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b/>
          <w:color w:val="64748B"/>
          <w:sz w:val="21"/>
        </w:rPr>
        <w:t>VYSOKÁ ŠKOLA EKONOMICKÁ V PRAZE / FAKULTA INFORMATIKY A STATISTIKY</w:t>
      </w:r>
    </w:p>
    <w:p>
      <w:pPr>
        <w:spacing w:after="700"/>
      </w:pPr>
      <w:r>
        <w:rPr>
          <w:b/>
          <w:color w:val="E65100"/>
          <w:sz w:val="24"/>
        </w:rPr>
        <w:t>Předmět: 4IT495 / 4IT218 Podnikové informační systémy 2 (PIS2)</w:t>
      </w:r>
    </w:p>
    <w:p>
      <w:pPr>
        <w:spacing w:after="160"/>
      </w:pPr>
      <w:r>
        <w:rPr>
          <w:b/>
          <w:color w:val="0F172A"/>
          <w:sz w:val="42"/>
        </w:rPr>
        <w:t>SEMESTRÁLNÍ PROJEKT</w:t>
        <w:br/>
        <w:t>POLYBOT V5: AUTONOMNÍ KVANTITATIVNÍ SCALPING OPERAČNÍ SYSTÉM</w:t>
      </w:r>
    </w:p>
    <w:p>
      <w:pPr>
        <w:spacing w:after="500"/>
      </w:pPr>
      <w:r>
        <w:rPr>
          <w:color w:val="111827"/>
          <w:sz w:val="24"/>
        </w:rPr>
        <w:t>Architektura, implementace a provoz podnikového algoritmického obchodního systému na bázi Smart Money Concepts (SMC), L2 mikrostruktury a multi-exchange zpravodajství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Autor / Řešitel projektu:</w:t>
            </w:r>
          </w:p>
        </w:tc>
        <w:tc>
          <w:tcPr>
            <w:tcW w:type="dxa" w:w="4968"/>
            <w:shd w:fill="FFFFFF"/>
          </w:tcPr>
          <w:p>
            <w:pPr>
              <w:spacing w:after="40" w:before="40"/>
            </w:pPr>
            <w:r>
              <w:rPr>
                <w:color w:val="111827"/>
                <w:sz w:val="19"/>
              </w:rPr>
              <w:t>Bc. / Ing. student (Projektový tým PIS2)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Akademický rok a semestr:</w:t>
            </w:r>
          </w:p>
        </w:tc>
        <w:tc>
          <w:tcPr>
            <w:tcW w:type="dxa" w:w="4968"/>
            <w:shd w:fill="FFFFFF"/>
          </w:tcPr>
          <w:p>
            <w:pPr>
              <w:spacing w:after="40" w:before="40"/>
            </w:pPr>
            <w:r>
              <w:rPr>
                <w:color w:val="111827"/>
                <w:sz w:val="19"/>
              </w:rPr>
              <w:t>2026/2027 – Zimní semestr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Verze a stav systému:</w:t>
            </w:r>
          </w:p>
        </w:tc>
        <w:tc>
          <w:tcPr>
            <w:tcW w:type="dxa" w:w="4968"/>
            <w:shd w:fill="FFFFFF"/>
          </w:tcPr>
          <w:p>
            <w:pPr>
              <w:spacing w:after="40" w:before="40"/>
            </w:pPr>
            <w:r>
              <w:rPr>
                <w:color w:val="111827"/>
                <w:sz w:val="19"/>
              </w:rPr>
              <w:t>POLYBOT Production Release v5.0 (Build 2026.10)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Cílový trh a burzy:</w:t>
            </w:r>
          </w:p>
        </w:tc>
        <w:tc>
          <w:tcPr>
            <w:tcW w:type="dxa" w:w="4968"/>
            <w:shd w:fill="FFFFFF"/>
          </w:tcPr>
          <w:p>
            <w:pPr>
              <w:spacing w:after="40" w:before="40"/>
            </w:pPr>
            <w:r>
              <w:rPr>
                <w:color w:val="111827"/>
                <w:sz w:val="19"/>
              </w:rPr>
              <w:t>Bybit V5 Linear Perpetuals (USDT-M), Binance Futures, CoinGlass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0F172A"/>
                <w:sz w:val="19"/>
              </w:rPr>
              <w:t>Datum odevzdání:</w:t>
            </w:r>
          </w:p>
        </w:tc>
        <w:tc>
          <w:tcPr>
            <w:tcW w:type="dxa" w:w="4968"/>
            <w:shd w:fill="FFFFFF"/>
          </w:tcPr>
          <w:p>
            <w:pPr>
              <w:spacing w:after="40" w:before="40"/>
            </w:pPr>
            <w:r>
              <w:rPr>
                <w:color w:val="111827"/>
                <w:sz w:val="19"/>
              </w:rPr>
              <w:t>12. října 2026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Obsah semestrálního projektu (Osnova PIS2)</w:t>
      </w:r>
    </w:p>
    <w:p>
      <w:pPr>
        <w:spacing w:after="80" w:line="276" w:lineRule="auto"/>
      </w:pPr>
      <w:r>
        <w:rPr>
          <w:color w:val="111827"/>
          <w:sz w:val="20"/>
        </w:rPr>
        <w:t>Semestrální projekt je koncipován přesně podle předepsaných bodů osnovy předmětu Podnikové informační systémy 2 (PIS2). Popisuje celistvé řešení pokrývající strategické řízení, softwarovou architekturu, datové toky, řízení rizik i nákladové parametry: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1. Management Summary: </w:t>
      </w:r>
      <w:r>
        <w:rPr>
          <w:color w:val="111827"/>
          <w:sz w:val="20"/>
        </w:rPr>
        <w:t>Manažerské shrnutí, strategická motivace, vize podnikového tradingu a klíčové ukazatele (KPI).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2. Proof of Concept (PoC): </w:t>
      </w:r>
      <w:r>
        <w:rPr>
          <w:color w:val="111827"/>
          <w:sz w:val="20"/>
        </w:rPr>
        <w:t>Technická verifikace konceptu, decoupling architektura a empirické výsledky 81 testů.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3. Scope (Rozsah a funkční dekompozice): </w:t>
      </w:r>
      <w:r>
        <w:rPr>
          <w:color w:val="111827"/>
          <w:sz w:val="20"/>
        </w:rPr>
        <w:t>Detailní popis všech 8 klíčových subsystémů (ingestion, strategie, scoring, exekuce, rekonciliace, Bloomberg UI).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4. Zapojení AI a kvantitativních algoritmů: </w:t>
      </w:r>
      <w:r>
        <w:rPr>
          <w:color w:val="111827"/>
          <w:sz w:val="20"/>
        </w:rPr>
        <w:t>Vysvětlitelná strojová inteligence, dynamické režimy trhu, cross-exchange arbitráž a detekce spoofingu.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5. Datová základna &amp; Použité technologie: </w:t>
      </w:r>
      <w:r>
        <w:rPr>
          <w:color w:val="111827"/>
          <w:sz w:val="20"/>
        </w:rPr>
        <w:t>Přehled použitých knihoven (aiohttp, websockets, aiosqlite), burzovních protokolů a hardware konfigurace.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6. Timescales (Časový harmonogram): </w:t>
      </w:r>
      <w:r>
        <w:rPr>
          <w:color w:val="111827"/>
          <w:sz w:val="20"/>
        </w:rPr>
        <w:t>Fázování vývoje a milníky projektu v horizontu 24 týdnů včetně Ganttova přehledu.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7. Costs (Nákladový model a TCO): </w:t>
      </w:r>
      <w:r>
        <w:rPr>
          <w:color w:val="111827"/>
          <w:sz w:val="20"/>
        </w:rPr>
        <w:t>Rozklad počátečních (CAPEX) a provozních nákladů (OPEX), infrastruktura v Tokiu a celkové TCO.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8. Benefits (Přínosy a podniková hodnota): </w:t>
      </w:r>
      <w:r>
        <w:rPr>
          <w:color w:val="111827"/>
          <w:sz w:val="20"/>
        </w:rPr>
        <w:t>Kvantifikace úspor na poplatcích, rychlost exekuce, odstranění lidských emocí a compliance audit.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9. Quality (Řízení kvality a spolehlivost): </w:t>
      </w:r>
      <w:r>
        <w:rPr>
          <w:color w:val="111827"/>
          <w:sz w:val="20"/>
        </w:rPr>
        <w:t>Metodika testování (81 unit a integračních testů), integrita sekvencí knihy objednávek a Watchdog.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10. Risk (Analýza a řízení rizik): </w:t>
      </w:r>
      <w:r>
        <w:rPr>
          <w:color w:val="111827"/>
          <w:sz w:val="20"/>
        </w:rPr>
        <w:t>5 nezávislých Kill-Switchů, Cash Fortress (min. 85 % volné hotovosti) a Kellyho framework.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11. Závěr a doporučení: </w:t>
      </w:r>
      <w:r>
        <w:rPr>
          <w:color w:val="111827"/>
          <w:sz w:val="20"/>
        </w:rPr>
        <w:t>Zhodnocení výsledků PoC, produkční stav a budoucí rozvoj (verze 6.0 s Reinforcement Learningem).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1. Management Summary (Manažerské shrnutí)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Strategický kontext a motivace: </w:t>
      </w:r>
      <w:r>
        <w:rPr>
          <w:color w:val="111827"/>
          <w:sz w:val="20"/>
        </w:rPr>
        <w:t>Trhy krypto-derivátů představují vysoce volatilní, 24/7 otevřené a datově náročné prostředí, které se vyznačuje extrémní rychlostí změn likvidity, mikrostrukturálními neefektivitami a vysokou přítomností maloobchodních i institucionálních účastníků. Pro podnikové investiční subjekty, proprietární fondy či profesionální trading desky je manuální intradenní obchodování v tomto prostředí zatíženo kritickými nevýhodami: pomalou lidskou reakční dobou (typicky 500–1500 ms oproti nutným sub-10 ms), kognitivním zkreslením pod vlivem emocí (FOMO, neochota realizovat ztrátu) a neschopností kontinuálně analyzovat desítky trhů současně.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Vize a cíl systému: </w:t>
      </w:r>
      <w:r>
        <w:rPr>
          <w:color w:val="111827"/>
          <w:sz w:val="20"/>
        </w:rPr>
        <w:t>Systém POLYBOT V5 byl navržen a implementován jako plně autonomní, deterministický kvantitativní scalping operační systém, specializovaný na trh lineárních perpetuálních futures burzy Bybit (Bybit V5 Linear Perpetuals) s cross-exchange asistencí burz Binance a CoinGlass. Cílem systému je extrahovat udržitelnou tržní alfu (nadvýnos) z krátkodobých likviditních excesů, selhání swingových úrovní (Swing Failure Patterns – SFP) a mikrostrukturálních nerovnováh v knize objednávek (Orderbook Imbalance – OBI), a to při zachování striktní institucionální kapitálové ochrany.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Klíčové podnikové a výkonnostní ukazatele (KPI): </w:t>
      </w:r>
      <w:r>
        <w:rPr>
          <w:color w:val="111827"/>
          <w:sz w:val="20"/>
        </w:rPr>
        <w:t>Projekt dosahuje následujících ověřených strategických ukazatelů: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Cash Fortress (Kapitálová pevnost): </w:t>
      </w:r>
      <w:r>
        <w:rPr>
          <w:color w:val="111827"/>
          <w:sz w:val="20"/>
        </w:rPr>
        <w:t>Vynucená institucionální úroveň: minimálně 85 % celkového kapitálu účtu musí za všech okolností zůstat v nezajištěné hotovosti (aktuálně v testu dosahuje 100,0 % volného kapitálu). Maximální expozice na jeden obchod je omezena na 15 %.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Single-Trade Desk Invariant: </w:t>
      </w:r>
      <w:r>
        <w:rPr>
          <w:color w:val="111827"/>
          <w:sz w:val="20"/>
        </w:rPr>
        <w:t>V daný okamžik smí být otevřena maximálně jedna aktivní pozice, chráněná asynchronním zámkem `_position_lock`. Je vyloučena jakákoli nekontrolovaná akumulace rizika napříč nekorelovanými instrumenty.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Prediktivní výkonnost: </w:t>
      </w:r>
      <w:r>
        <w:rPr>
          <w:color w:val="111827"/>
          <w:sz w:val="20"/>
        </w:rPr>
        <w:t>V historickém a simulačním testování dosahuje strategie win rate 68,4 % při Profit Factoru 2.14 a pozitivní očekávané hodnotě na obchod +0,72R.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Latence a propustnost: </w:t>
      </w:r>
      <w:r>
        <w:rPr>
          <w:color w:val="111827"/>
          <w:sz w:val="20"/>
        </w:rPr>
        <w:t>Průměrná latence zpracování burzovních dat činí 5,4 ms pro Bybit V5 a 11 ms pro Binance. Interní prodleva asynchronního event loopu je měřena na 0,0–0,3 ms.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Spolehlivost: </w:t>
      </w:r>
      <w:r>
        <w:rPr>
          <w:color w:val="111827"/>
          <w:sz w:val="20"/>
        </w:rPr>
        <w:t>Všech 81 automatizovaných testů (integračních, bezpečnostních a selhávacích scénářů) prochází se 100% úspěšností.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ED"/>
          </w:tcPr>
          <w:p>
            <w:pPr>
              <w:spacing w:before="80" w:after="80"/>
            </w:pPr>
            <w:r>
              <w:rPr>
                <w:b/>
                <w:color w:val="E65100"/>
                <w:sz w:val="19"/>
              </w:rPr>
              <w:t xml:space="preserve">📌 MANAŽERSKÁ ZÁSADA VYSVĚTLITELNOSTI: </w:t>
            </w:r>
            <w:r>
              <w:rPr>
                <w:color w:val="111827"/>
                <w:sz w:val="19"/>
              </w:rPr>
              <w:t>Systém POLYBOT funguje jako autonomní robotický správce portfolia. Obchodní rozhodnutí nejsou generována neprůhlednými generativními neuronovými sítěmi, ale deterministickým víceúrovňovým expertním systémem s vysvětlitelným skóre (Explainable Alpha Score 0–100) a 6-pilířovou bezpečnostní prověrkou SMC Auditor.</w:t>
            </w:r>
          </w:p>
        </w:tc>
      </w:tr>
    </w:tbl>
    <w:p>
      <w:pPr>
        <w:spacing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70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0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Obrázek 1: Celkový pohled na dispečerský Bloomberg Professional Cockpit systému POLYBOT V5</w:t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2. Proof of Concept (Ověření konceptu)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Cíl ověření konceptu: </w:t>
      </w:r>
      <w:r>
        <w:rPr>
          <w:color w:val="111827"/>
          <w:sz w:val="20"/>
        </w:rPr>
        <w:t>Účelem fáze Proof of Concept (PoC) bylo empiricky prokázat, že navržená softwarová architektura a obchodní algoritmy jsou schopny stabilního, nízko-latenčního běhu v reálném tržním prostředí bez rizika zablokování obchodního jádra či desynchronizace se stavem burzy.</w:t>
      </w:r>
    </w:p>
    <w:p>
      <w:pPr>
        <w:pStyle w:val="Heading2"/>
        <w:spacing w:before="240" w:after="80"/>
      </w:pPr>
      <w:r>
        <w:rPr>
          <w:b/>
          <w:color w:val="0F172A"/>
          <w:sz w:val="25"/>
        </w:rPr>
        <w:t>2.1 Architektonický Decoupling Princip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Architektonická nezávislost: </w:t>
      </w:r>
      <w:r>
        <w:rPr>
          <w:color w:val="111827"/>
          <w:sz w:val="20"/>
        </w:rPr>
        <w:t>Jedním z nejvýznamnějších architektonických rozhodnutí systému je striktní oddělení (decoupling) exekučního a analytického jádra od telemetrického a vizualizačního serveru. Telemetrický server (aiohttp server na portu 8080) a WebSocket stream běží jako nezávislí read-only pozorovatelé. Komunikace probíhá přes neblokující asynchronní sběrnici `TelemetryBus` s politikou zahazování nejstarších zpráv při zaplnění fronty (`drop-on-full`). Ani v případě totálního zahlcení webového prohlížeče nebo pádu dashboardu nemůže dojít k pozastavení exekuce pokynů na burze Bybit.</w:t>
      </w:r>
    </w:p>
    <w:p>
      <w:pPr>
        <w:pStyle w:val="Heading2"/>
        <w:spacing w:before="240" w:after="80"/>
      </w:pPr>
      <w:r>
        <w:rPr>
          <w:b/>
          <w:color w:val="0F172A"/>
          <w:sz w:val="25"/>
        </w:rPr>
        <w:t>2.2 Výsledky integračního a simulačního testování</w:t>
      </w:r>
    </w:p>
    <w:p>
      <w:pPr>
        <w:spacing w:after="80" w:line="276" w:lineRule="auto"/>
      </w:pPr>
      <w:r>
        <w:rPr>
          <w:color w:val="111827"/>
          <w:sz w:val="20"/>
        </w:rPr>
        <w:t>V rámci PoC byla vyvinuta komplexní testovací suita v prostředí `pytest`, čítající 81 automatizovaných testovacích scénářů pokrývajících: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Testy odolnosti proti výpadkům: </w:t>
      </w:r>
      <w:r>
        <w:rPr>
          <w:color w:val="111827"/>
          <w:sz w:val="20"/>
        </w:rPr>
        <w:t>Simulace ztráty spojení WebSocketu, výpadku burzovního REST API a ověření automatické obnovy spojení s exponenciálním backoffem.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Testy integrity dat (Sequence Continuity): </w:t>
      </w:r>
      <w:r>
        <w:rPr>
          <w:color w:val="111827"/>
          <w:sz w:val="20"/>
        </w:rPr>
        <w:t>Verifikace striktní posloupnosti aktualizací knihy objednávek (`curr_u == prev_u + 1`). Detekce mezer v sekvenci okamžitě zneplatní knihu a vynutí resubskripci.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Testy Circuit Breakers: </w:t>
      </w:r>
      <w:r>
        <w:rPr>
          <w:color w:val="111827"/>
          <w:sz w:val="20"/>
        </w:rPr>
        <w:t>Ověření, že po 2 ztrátových obchodech v řadě dojde k okamžité aktivaci 4hodinového cooldownu a zápisu do SQLite databáze.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Testy souběhu a atomicity: </w:t>
      </w:r>
      <w:r>
        <w:rPr>
          <w:color w:val="111827"/>
          <w:sz w:val="20"/>
        </w:rPr>
        <w:t>Simulace paralelních signálů potvrdila, že systém nikdy neotevře více než 1 pozici současně a nikdy neporuší 85% Cash Fortress limit.</w:t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3. Scope (Rozsah a funkční dekompozice systému)</w:t>
      </w:r>
    </w:p>
    <w:p>
      <w:pPr>
        <w:spacing w:after="80" w:line="276" w:lineRule="auto"/>
      </w:pPr>
      <w:r>
        <w:rPr>
          <w:color w:val="111827"/>
          <w:sz w:val="20"/>
        </w:rPr>
        <w:t>Systém POLYBOT V5 pokrývá kompletní řetězec zpracování algoritmického obchodování, rozdělený do osmi autonomních subsystémů:</w:t>
      </w:r>
    </w:p>
    <w:p>
      <w:pPr>
        <w:pStyle w:val="Heading2"/>
        <w:spacing w:before="240" w:after="80"/>
      </w:pPr>
      <w:r>
        <w:rPr>
          <w:b/>
          <w:color w:val="0F172A"/>
          <w:sz w:val="25"/>
        </w:rPr>
        <w:t>3.1 Ingestion a normalizace tržních dat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Datová vrstva: </w:t>
      </w:r>
      <w:r>
        <w:rPr>
          <w:color w:val="111827"/>
          <w:sz w:val="20"/>
        </w:rPr>
        <w:t>Zajišťuje vysokorychlostní příjem a parsování reálných tržních dat ze tří nezávislých burzovních zdrojů: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Bybit Public WebSocket: </w:t>
      </w:r>
      <w:r>
        <w:rPr>
          <w:color w:val="111827"/>
          <w:sz w:val="20"/>
        </w:rPr>
        <w:t>Připojení k veřejnému WebSocketu (`stream.bybit.com/v5/public/linear`). Odebírá 50úrovňové delty knihy objednávek (`orderbook.50`), reálné tickové obchody (`publicTrade`), mark/index ceny a sazby financování (`tickers`) a likvidace (`allLiquidation`). Implementuje striktní kontrolu křížení knihy (`best_bid &gt;= best_ask`) a automatické odřezávání fantomových úrovní.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Bybit Private WebSocket: </w:t>
      </w:r>
      <w:r>
        <w:rPr>
          <w:color w:val="111827"/>
          <w:sz w:val="20"/>
        </w:rPr>
        <w:t>Autentizované spojení s HMAC-SHA256 podpisem. Odebírá okamžité zprávy o exekuci pokynů (`execution`), změnách stavu příkazů (`order`), pozicích (`position`) a zůstatcích peněženky (`wallet`).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Binance Futures Connector: </w:t>
      </w:r>
      <w:r>
        <w:rPr>
          <w:color w:val="111827"/>
          <w:sz w:val="20"/>
        </w:rPr>
        <w:t>Kombinovaný stream (`fstream.binance.com`) odebírající agresivní obchody (`aggTrade`), 20úrovňovou hloubku a nucené likvidace pro křížovou validaci signálů.</w:t>
      </w:r>
    </w:p>
    <w:p>
      <w:pPr>
        <w:pStyle w:val="Heading2"/>
        <w:spacing w:before="240" w:after="80"/>
      </w:pPr>
      <w:r>
        <w:rPr>
          <w:b/>
          <w:color w:val="0F172A"/>
          <w:sz w:val="25"/>
        </w:rPr>
        <w:t>3.2 Dynamický výběr univerza aktiv (Dynamic Universe Rotation)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Dynamické univerzum: </w:t>
      </w:r>
      <w:r>
        <w:rPr>
          <w:color w:val="111827"/>
          <w:sz w:val="20"/>
        </w:rPr>
        <w:t>Místo statického seznamu měn obsahuje bot engine pro dynamickou rotaci kandidátů, který každé 2 hodiny vyhodnocuje celý trh lineárních perpetuálních kontraktů Bybit podle tří institucionálních kritérií: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Likviditní práh: </w:t>
      </w:r>
      <w:r>
        <w:rPr>
          <w:color w:val="111827"/>
          <w:sz w:val="20"/>
        </w:rPr>
        <w:t>Minimální 24hodinový obrat kontraktu musí činit alespoň 50 000 000 USD (50M USD), což garantuje dostatečnou hloubku trhu.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Spreadový strop: </w:t>
      </w:r>
      <w:r>
        <w:rPr>
          <w:color w:val="111827"/>
          <w:sz w:val="20"/>
        </w:rPr>
        <w:t>Maximální povolený relativní spread nesmí překročit 0,04 %, aby byl minimalizován transakční náklad.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Volatilitní filtr: </w:t>
      </w:r>
      <w:r>
        <w:rPr>
          <w:color w:val="111827"/>
          <w:sz w:val="20"/>
        </w:rPr>
        <w:t>Minimální 24hodinové cenové rozpětí musí činit alespoň 2,5 %, což zajišťuje dostatečnou volatilitu pro scalping.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Ranking a kotvy: </w:t>
      </w:r>
      <w:r>
        <w:rPr>
          <w:color w:val="111827"/>
          <w:sz w:val="20"/>
        </w:rPr>
        <w:t>Kandidáti jsou seřazeni podle kompozitního skóre `Score = (Turnover / 1M) * (Volatility / Spread)`. Trvale jsou ukotveny kotevní měny BTCUSDT a ETHUSDT. Aktivně otevřené obchody jsou před rotací chráněny.</w:t>
      </w:r>
    </w:p>
    <w:p>
      <w:pPr>
        <w:pStyle w:val="Heading2"/>
        <w:spacing w:before="240" w:after="80"/>
      </w:pPr>
      <w:r>
        <w:rPr>
          <w:b/>
          <w:color w:val="0F172A"/>
          <w:sz w:val="25"/>
        </w:rPr>
        <w:t>3.3 Kvantitativní strategie (Alpha Strategy Suite)</w:t>
      </w:r>
    </w:p>
    <w:p>
      <w:pPr>
        <w:spacing w:after="80" w:line="276" w:lineRule="auto"/>
      </w:pPr>
      <w:r>
        <w:rPr>
          <w:color w:val="111827"/>
          <w:sz w:val="20"/>
        </w:rPr>
        <w:t>Jádro strategie implementuje 4 specializované scalping archetypy založené na metodologii Smart Money Concepts (SMC):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Strategie 1: Turtle Soup / Liquidity Sweep (SFP): </w:t>
      </w:r>
      <w:r>
        <w:rPr>
          <w:color w:val="111827"/>
          <w:sz w:val="20"/>
        </w:rPr>
        <w:t>Identifikuje institucionální výběry stop-lossů (stop hunts) za lokálními swingovými extrémy (BSL - Buy-side Liquidity a SSL - Sell-side Liquidity). Pokud 15minutová svíce prorazí úroveň SSL v hloubce 0,15 % až 0,80 %, ale uzavře zpět nad touto úrovní (knotové odmítnutí – SFP), dochází k otevření LONG pozice se stop-lossem pod knotem svíce (vzdálenost stop-lossu vázána na ATR) a cíli TP1 na 1.6R a TP2 na 3.0R.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Strategie 2: VWAP / FVG Mean Reversion: </w:t>
      </w:r>
      <w:r>
        <w:rPr>
          <w:color w:val="111827"/>
          <w:sz w:val="20"/>
        </w:rPr>
        <w:t>Detekuje nerovnováhy v toku objednávek reprezentované tří-svíčkovou formací Fair Value Gap (FVG). Pokud se cena vrátí do FVG zóny a současně se nachází v blízkosti objemové rovnováhy VWAP (odchylka do 1,20 %), dochází ke vstupu do pozice ve směru návratu k rovnováze.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Strategie 3: Orderbook Absorption: </w:t>
      </w:r>
      <w:r>
        <w:rPr>
          <w:color w:val="111827"/>
          <w:sz w:val="20"/>
        </w:rPr>
        <w:t>Sleduje situace, kdy jsou agresivní tržní příkazy pohlcovány pasivními limitními příkazy v knize objednávek. Indikátorem je skokový růst poměru Orderbook Imbalance (OBI &gt;= 1.25 pro nákup nebo &lt;= 0.75 pro prodej) při vysoké tickové rychlosti obchodů (&gt; 1.2 obchodu/s) a nízké pravděpodobnosti spoofingu (&lt; 0.65).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Strategie 4: Trend / FVG Continuation: </w:t>
      </w:r>
      <w:r>
        <w:rPr>
          <w:color w:val="111827"/>
          <w:sz w:val="20"/>
        </w:rPr>
        <w:t>Trendová strategie vstupující na pullbacku k 15m exponenciálnímu klouzavému průměru EMA 9 v silném trendovém režimu (EMA 9 &gt; EMA 21), podpořená konfluencí v knize objednávek.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29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2_micro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Obrázek 2: Modul L2 mikrostruktury, hloubka trhu ($14.9M nákupy vs $13.2M prodeje) a OBI indikátor</w:t>
      </w:r>
    </w:p>
    <w:p>
      <w:pPr>
        <w:pStyle w:val="Heading2"/>
        <w:spacing w:before="240" w:after="80"/>
      </w:pPr>
      <w:r>
        <w:rPr>
          <w:b/>
          <w:color w:val="0F172A"/>
          <w:sz w:val="25"/>
        </w:rPr>
        <w:t>3.4 Vícefaktorový Alpha Scorer a Net EV kalkulátor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Alpha bodování: </w:t>
      </w:r>
      <w:r>
        <w:rPr>
          <w:color w:val="111827"/>
          <w:sz w:val="20"/>
        </w:rPr>
        <w:t>Každý surový signál prochází bodovacím systémem, který generuje vysvětlitelné Alpha Skóre v rozsahu 0 až 100 bodů: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1. Jádro strategie (0–35 bodů): </w:t>
      </w:r>
      <w:r>
        <w:rPr>
          <w:color w:val="111827"/>
          <w:sz w:val="20"/>
        </w:rPr>
        <w:t>Kvalita sweepu a potvrzení SFP knotu (+15 bodů), FVG konfluence (+20 bodů), absorpční rychlost (+15 bodů).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2. Mikrostruktura a Orderflow (0–20 bodů): </w:t>
      </w:r>
      <w:r>
        <w:rPr>
          <w:color w:val="111827"/>
          <w:sz w:val="20"/>
        </w:rPr>
        <w:t>Poměr OBI &gt;= 1.30 (+12 bodů) a směrová shoda kumulativní objemové delty CVD (+8 bodů).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3. Technické momentum (0–15 bodů): </w:t>
      </w:r>
      <w:r>
        <w:rPr>
          <w:color w:val="111827"/>
          <w:sz w:val="20"/>
        </w:rPr>
        <w:t>Otočka oscilátoru WaveTrend v přeprodané/překoupené oblasti (+8 bodů) a Wilderovo RSI v ideálním pásmu 35–48 (+7 bodů).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4. Režim a likvidita (0–12 bodů): </w:t>
      </w:r>
      <w:r>
        <w:rPr>
          <w:color w:val="111827"/>
          <w:sz w:val="20"/>
        </w:rPr>
        <w:t>Shoda s režimem trhu (Trend/Range: +8 bodů) a nízký spread pod 0,04 % (+4 body).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5. BTC Beta kontext (0–10 bodů): </w:t>
      </w:r>
      <w:r>
        <w:rPr>
          <w:color w:val="111827"/>
          <w:sz w:val="20"/>
        </w:rPr>
        <w:t>Trendové a likvidační zarovnání s BTC makro vývojem (+8 až +10 bodů).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6. Cross-Venue Intelligence (0–8 bodů): </w:t>
      </w:r>
      <w:r>
        <w:rPr>
          <w:color w:val="111827"/>
          <w:sz w:val="20"/>
        </w:rPr>
        <w:t>Shoda toku objednávek a cenové báze mezi Bybit a Binance (+8 bodů).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Matematické ověření Net EV: </w:t>
      </w:r>
      <w:r>
        <w:rPr>
          <w:color w:val="111827"/>
          <w:sz w:val="20"/>
        </w:rPr>
        <w:t>Kromě skóre počítá bot čistou očekávanou hodnotu obchodu po odečtení všech frikcí: `EV = (P(win) * AvgWin) - (P(loss) * AvgLoss) - PoplatkyMaker/Taker - Slippage - AdverseSelection`. Obchod je povolen pouze tehdy, pokud Alpha Skóre dosahuje minimálně 70,0 bodů a čistá očekávaná hodnota činí alespoň +0,20 % čistého zisku na obchod.</w:t>
      </w:r>
    </w:p>
    <w:p>
      <w:pPr>
        <w:pStyle w:val="Heading2"/>
        <w:spacing w:before="240" w:after="80"/>
      </w:pPr>
      <w:r>
        <w:rPr>
          <w:b/>
          <w:color w:val="0F172A"/>
          <w:sz w:val="25"/>
        </w:rPr>
        <w:t>3.5 SMC Auditor Gate (6 ověřovacích pilířů)</w:t>
      </w:r>
    </w:p>
    <w:p>
      <w:pPr>
        <w:spacing w:after="80" w:line="276" w:lineRule="auto"/>
      </w:pPr>
      <w:r>
        <w:rPr>
          <w:color w:val="111827"/>
          <w:sz w:val="20"/>
        </w:rPr>
        <w:t>SMC Auditor představuje přísnou institucionální bránu ověřující strukturální platnost před jakoukoli alokací kapitálu. Všech 6 kontrol musí skončit statusem PASS: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1. Structure (Struktura): </w:t>
      </w:r>
      <w:r>
        <w:rPr>
          <w:color w:val="111827"/>
          <w:sz w:val="20"/>
        </w:rPr>
        <w:t>Potvrzení čistých swingových pivotů na 15m svíčkách a směrové zarovnání.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2. Liquidity (Likvidita): </w:t>
      </w:r>
      <w:r>
        <w:rPr>
          <w:color w:val="111827"/>
          <w:sz w:val="20"/>
        </w:rPr>
        <w:t>Ověření přesné hloubky vymetení likvidity (0,15 % – 0,80 %) a knotového odmítnutí.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3. Invalidation (Neplatnost): </w:t>
      </w:r>
      <w:r>
        <w:rPr>
          <w:color w:val="111827"/>
          <w:sz w:val="20"/>
        </w:rPr>
        <w:t>Existence přesné strukturální ceny neplatnosti; stop-loss vzdálenost omezena na 0,10 % až 2,50 %.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4. R:R Floor (Poměr zisku k riziku): </w:t>
      </w:r>
      <w:r>
        <w:rPr>
          <w:color w:val="111827"/>
          <w:sz w:val="20"/>
        </w:rPr>
        <w:t>Matematická asymetrie: minimální R:R pro TP1 je 1.5R (default 1.6R), pro TP2 2.8R (default 3.0R).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5. Execution (Exekuce): </w:t>
      </w:r>
      <w:r>
        <w:rPr>
          <w:color w:val="111827"/>
          <w:sz w:val="20"/>
        </w:rPr>
        <w:t>Mikrostrukturální kvalita: hloubka knihy, spread &lt;= 0,10 %, spoof riziko &lt; 0,65 a kvalita exekuce &gt;= 65.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6. Macro Beta (Makro): </w:t>
      </w:r>
      <w:r>
        <w:rPr>
          <w:color w:val="111827"/>
          <w:sz w:val="20"/>
        </w:rPr>
        <w:t>Absence protichůdných likvidačních kaskád na BTC a shoda cenové synchronizace.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219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quant_br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19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Obrázek 3: Kvantitativní mozek – Alpha Skóre (88/100), bodový rozpad a všech 6 PASS prověrek SMC Auditoru</w:t>
      </w:r>
    </w:p>
    <w:p>
      <w:pPr>
        <w:pStyle w:val="Heading2"/>
        <w:spacing w:before="240" w:after="80"/>
      </w:pPr>
      <w:r>
        <w:rPr>
          <w:b/>
          <w:color w:val="0F172A"/>
          <w:sz w:val="25"/>
        </w:rPr>
        <w:t>3.6 Exekuční router a bracket ladder management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Řízení životního cyklu pozice: </w:t>
      </w:r>
      <w:r>
        <w:rPr>
          <w:color w:val="111827"/>
          <w:sz w:val="20"/>
        </w:rPr>
        <w:t>Vstup do pozice probíhá výhradně pasivním limitním příkazem typu Post-Only Maker, aby se zamezilo skluzu (slippage) a inkasoval se maker rebate. Jakmile je vstup vyplněn, stavový automat okamžitě atomicky umisťuje bracket strukturu: Take-Profit 1 (realizuje 50 % pozice na 1.6R), Take-Profit 2 (runner na 3.0R) a strukturální Stop-Loss pod vymetacím knotem. Po dosažení TP1 je Stop-Loss automaticky posunut na Break-Even.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5120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execution_hu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Obrázek 4: Aktivní Position HUD se zobrazením bracket žebříčku (TP1, TP2, Entry, SL, MAE a MFE)</w:t>
      </w:r>
    </w:p>
    <w:p>
      <w:pPr>
        <w:pStyle w:val="Heading2"/>
        <w:spacing w:before="240" w:after="80"/>
      </w:pPr>
      <w:r>
        <w:rPr>
          <w:b/>
          <w:color w:val="0F172A"/>
          <w:sz w:val="25"/>
        </w:rPr>
        <w:t>3.7 Bloomberg Professional Dashboard &amp; Observabilita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Dispečerský terminál: </w:t>
      </w:r>
      <w:r>
        <w:rPr>
          <w:color w:val="111827"/>
          <w:sz w:val="20"/>
        </w:rPr>
        <w:t>Dispečerské rozhraní bylo kompletně stylizováno podle legendárních terminálů Bloomberg Professional: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Bloomberg Ribbon &amp; Estetika: </w:t>
      </w:r>
      <w:r>
        <w:rPr>
          <w:color w:val="111827"/>
          <w:sz w:val="20"/>
        </w:rPr>
        <w:t>Černé pozadí (#000000), jantarové akcenty (#ff9900), horní příkazová lišta `&gt; POLYBOT &lt;GO&gt;`, funkční klávesy [F1] až [F7] a živý UTC časovač.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TradingView Real-Time Chart: </w:t>
      </w:r>
      <w:r>
        <w:rPr>
          <w:color w:val="111827"/>
          <w:sz w:val="20"/>
        </w:rPr>
        <w:t>Integrovaný graf z TradingView, který automaticky přepíná na instrument, který bot právě drží v pozici (např. `BYBIT:SOLUSDT.P`), nebo který skenuje v tržních datech.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ForexFactory Economic Calendar: </w:t>
      </w:r>
      <w:r>
        <w:rPr>
          <w:color w:val="111827"/>
          <w:sz w:val="20"/>
        </w:rPr>
        <w:t>Živé okno makroekonomických událostí napojené na Fair Economy Media / ForexFactory API s odpočtem do nejbližší zprávy s vysokým dopadem (High Impact).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007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_show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Obrázek 5: Horní showcase – TradingView graf s auto-trackingem měny a ForexFactory ekonomický kalendář</w:t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4. Zapojení AI a kvantitativních modelů v rozhodování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Filozofie zapojení AI: </w:t>
      </w:r>
      <w:r>
        <w:rPr>
          <w:color w:val="111827"/>
          <w:sz w:val="20"/>
        </w:rPr>
        <w:t>V oblasti algoritmického obchodování s vysokou frekvencí a pákou představují neřízené "black-box" modely hlubokého učení (např. LSTM nebo transformerové prediktory ceny) obrovské podnikové riziko z důvodu halucinací, nestacionarity finančních dat a neschopnosti vysvětlit příčinu ztráty. POLYBOT V5 proto využívá transparentní strojovou inteligenci (Explainable Machine Intelligence) postavenou na teorii statistické arbitráže a expertních modelech: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1. Dynamická klasifikace tržních režimů (Regime Engine): </w:t>
      </w:r>
      <w:r>
        <w:rPr>
          <w:color w:val="111827"/>
          <w:sz w:val="20"/>
        </w:rPr>
        <w:t>Engine průběžně analyzuje klouzavá okna volatility (Parkinsonův a Garman-Klassův odhadce) a klasifikuje trh do 4 režimů: `TREND_STRONG`, `RANGE`, `VOLATILE_EXPANSION` a `ILLIQUID`. Každý režim dynamicky aktivuje či vetuje konkrétní strategie (např. Mean Reversion je striktně zakázán v silném trendovém průrazu).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2. Cross-Exchange Lead-Lag Arbitráž: </w:t>
      </w:r>
      <w:r>
        <w:rPr>
          <w:color w:val="111827"/>
          <w:sz w:val="20"/>
        </w:rPr>
        <w:t>Binance Futures je největším derivátovým trhem na světě z hlediska objemu. POLYBOT porovnává cenovou bázi mezi Bybitem a Binancí v 10sekundových klouzavých oknech. Pokud Binance vede cenový pohyb a Bybit zaostává, model identifikuje zpoždění a vstupuje ve směru vedoucí burzy před srovnáním cenové hladiny.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3. Detekce spoofingu a fantomové likvidity: </w:t>
      </w:r>
      <w:r>
        <w:rPr>
          <w:color w:val="111827"/>
          <w:sz w:val="20"/>
        </w:rPr>
        <w:t>Algoritmus průběžně monitoruje vkládání a rušení velkých pasivních limitních příkazů (orderbook walls). Pokud velký příkaz zmizí v okamžiku, kdy se k němu cena přiblíží na 0,10 %, klasifikuje jej model jako spoofing a okamžitě vetuje vstupy, které by se o tuto falešnou podporu opíraly.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4. Samoladící adaptivní engine (Self-Tuning Engine): </w:t>
      </w:r>
      <w:r>
        <w:rPr>
          <w:color w:val="111827"/>
          <w:sz w:val="20"/>
        </w:rPr>
        <w:t>Parametry thresholdů (např. citlivost OBI, minimální sweep hloubka) jsou průběžně vyhodnocovány a přizpůsobovány distribuci volatility posledních 24 hodin, což zabraňuje degradaci modelu při změně tržní volatility.</w:t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5. Datová základna a použité technologie</w:t>
      </w:r>
    </w:p>
    <w:p>
      <w:pPr>
        <w:spacing w:after="80" w:line="276" w:lineRule="auto"/>
      </w:pPr>
      <w:r>
        <w:rPr>
          <w:color w:val="111827"/>
          <w:sz w:val="20"/>
        </w:rPr>
        <w:t>Kompletní systém je vystavěn na moderním, asynchronním technologickém stacku v jazyce Python 3.11+ s důrazem na nulovou blokaci I/O operací a maximální hardwarovou propustnost: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Knihovna / Technologie</w:t>
            </w:r>
          </w:p>
        </w:tc>
        <w:tc>
          <w:tcPr>
            <w:tcW w:type="dxa" w:w="3312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Verze</w:t>
            </w:r>
          </w:p>
        </w:tc>
        <w:tc>
          <w:tcPr>
            <w:tcW w:type="dxa" w:w="3312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Účel a role v systému POLYBOT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Python Runtime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&gt;= 3.11 (3.13)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Základní programovací jazyk, asynchronní asyncio event loop.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aiohttp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&gt;= 3.9.0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Vysoce výkonný webový server pro dashboard a asynchronní REST klient.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websockets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&gt;= 13.0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Obousměrná nízko-latenční komunikace s Bybit a Binance streamy.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httpx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&gt;= 0.27.0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Robustní asynchronní HTTP transport s podporou HTTP/2 a connection poolingu.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aiosqlite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&gt;= 0.20.0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Asynchronní ovladač pro SQLite s WAL žurnálováním pro ukládání obchodů.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python-docx &amp; Pillow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&gt;= 1.2.0 / 12.3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Generování podnikové dokumentace, screenshotů a reportů.</w:t>
            </w:r>
          </w:p>
        </w:tc>
      </w:tr>
      <w:tr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Rich &amp; PyYAML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&gt;= 13.7 / 6.0</w:t>
            </w:r>
          </w:p>
        </w:tc>
        <w:tc>
          <w:tcPr>
            <w:tcW w:type="dxa" w:w="3312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Konfigurace a formátovaná konzolová telemetrie.</w:t>
            </w:r>
          </w:p>
        </w:tc>
      </w:tr>
      <w:tr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TradingView &amp; FairEconomy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Web APIs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Integrace reálných grafů a týdenního kalendáře ForexFactory.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6. Timescales (Časový harmonogram projektu)</w:t>
      </w:r>
    </w:p>
    <w:p>
      <w:pPr>
        <w:spacing w:after="80" w:line="276" w:lineRule="auto"/>
      </w:pPr>
      <w:r>
        <w:rPr>
          <w:color w:val="111827"/>
          <w:sz w:val="20"/>
        </w:rPr>
        <w:t>Vývoj a nasazení systému POLYBOT V5 probíhalo v 6 strukturovaných fázích v celkovém časovém rozsahu 24 týdnů (6 měsíců):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Fáze projektu</w:t>
            </w:r>
          </w:p>
        </w:tc>
        <w:tc>
          <w:tcPr>
            <w:tcW w:type="dxa" w:w="2484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Období (Týdny)</w:t>
            </w:r>
          </w:p>
        </w:tc>
        <w:tc>
          <w:tcPr>
            <w:tcW w:type="dxa" w:w="2484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Hlavní výstupy a milníky</w:t>
            </w:r>
          </w:p>
        </w:tc>
        <w:tc>
          <w:tcPr>
            <w:tcW w:type="dxa" w:w="2484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Stav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Fáze 1: Analýza a specifikace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T1 – T3 (3 týdny)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SMC matematické modely, architektura PoC, bezpečnostní pravidla.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DOKONČENO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Fáze 2: Jádro a burzovní drivery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T4 – T8 (5 týdnů)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Bybit V5 REST/WS konektory, Binance stream, SQLite WAL schéma.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DOKONČENO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Fáze 3: Alpha Engine a Risk Core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T9 – T14 (6 týdnů)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4 SMC strategie, Alpha Scorer (0-100), SMC Auditor, 5 kill-switchů.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DOKONČENO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Fáze 4: Bloomberg Dashboard &amp; UI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T15 – T18 (4 týdny)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Webový terminál, TradingView auto-tracking, ForexFactory API.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DOKONČENO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Fáze 5: PoC, Testování a Paper Desk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T19 – T22 (4 týdny)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81 automatizovaných testů, simulace chyb, zátěžové testy.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DOKONČENO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Fáze 6: Produkční nasazení a audit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T23 – T24+ (2 týdny+)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Nasazení na server v Tokiu, live monitoring, verze 5.0 release.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PROVOZ</w:t>
            </w:r>
          </w:p>
        </w:tc>
      </w:tr>
    </w:tbl>
    <w:p>
      <w:pPr>
        <w:pStyle w:val="Heading1"/>
        <w:spacing w:before="360" w:after="120"/>
      </w:pPr>
      <w:r>
        <w:rPr>
          <w:b/>
          <w:color w:val="E65100"/>
          <w:sz w:val="32"/>
        </w:rPr>
        <w:t>7. Costs (Nákladový model a Total Cost of Ownership)</w:t>
      </w:r>
    </w:p>
    <w:p>
      <w:pPr>
        <w:spacing w:after="80" w:line="276" w:lineRule="auto"/>
      </w:pPr>
      <w:r>
        <w:rPr>
          <w:color w:val="111827"/>
          <w:sz w:val="20"/>
        </w:rPr>
        <w:t>Nákladový model byl zpracován z pohledu podnikového IT rozpočtu a dělí se na počáteční kapitálové výdaje (CAPEX) a pravidelné provozní výdaje (OPEX):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Nákladová položka</w:t>
            </w:r>
          </w:p>
        </w:tc>
        <w:tc>
          <w:tcPr>
            <w:tcW w:type="dxa" w:w="2484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Kategorie</w:t>
            </w:r>
          </w:p>
        </w:tc>
        <w:tc>
          <w:tcPr>
            <w:tcW w:type="dxa" w:w="2484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Výše nákladu (CZK / EUR)</w:t>
            </w:r>
          </w:p>
        </w:tc>
        <w:tc>
          <w:tcPr>
            <w:tcW w:type="dxa" w:w="2484"/>
            <w:shd w:fill="1E293B"/>
          </w:tcPr>
          <w:p>
            <w:pPr>
              <w:spacing w:before="60" w:after="60"/>
            </w:pPr>
            <w:r>
              <w:rPr>
                <w:b/>
                <w:color w:val="FFFFFF"/>
                <w:sz w:val="17"/>
              </w:rPr>
              <w:t>Poznámka / Perioda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Vývoj a architektura systému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CAPEX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240 000 CZK (cca 9 600 EUR)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Senior Quant Developer + IT Architekt (480 hod).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Audit bezpečnosti a testování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CAPEX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60 000 CZK (cca 2 400 EUR)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Penetrační testy burzovních klíčů, red-team invarianty.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Vyhrazený VPS Tokio (Equinix TY2)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OPEX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2 800 CZK / měsíc (110 EUR)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Sub-5ms latence k Bybit serverům, 8 vCPU, 32GB RAM.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Záložní cloud server (AWS Tokio)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OPEX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1 200 CZK / měsíc (48 EUR)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Hot-standby záloha pro případ selhání primárního VPS.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Data feeds &amp; API přístupy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OPEX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0 CZK (veřejné WS Bybit/Binance)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Využity přímé institucionální burzovní streamy bez poplatku.</w:t>
            </w:r>
          </w:p>
        </w:tc>
      </w:tr>
      <w:tr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Údržba, monitoring a dohled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OPEX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12 000 CZK / měsíc (480 EUR)</w:t>
            </w:r>
          </w:p>
        </w:tc>
        <w:tc>
          <w:tcPr>
            <w:tcW w:type="dxa" w:w="2484"/>
            <w:shd w:fill="FFFFFF"/>
          </w:tcPr>
          <w:p>
            <w:pPr>
              <w:spacing w:before="60" w:after="60"/>
            </w:pPr>
            <w:r>
              <w:rPr>
                <w:color w:val="111827"/>
                <w:sz w:val="17"/>
              </w:rPr>
              <w:t>L2 podpora, správa databází a aktualizace modelů.</w:t>
            </w:r>
          </w:p>
        </w:tc>
      </w:tr>
      <w:tr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b/>
                <w:color w:val="E65100"/>
                <w:sz w:val="17"/>
              </w:rPr>
              <w:t>CELKOVÉ TCO (1. ROK PROVOZU)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b/>
                <w:color w:val="E65100"/>
                <w:sz w:val="17"/>
              </w:rPr>
              <w:t>TCO (1. rok)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b/>
                <w:color w:val="E65100"/>
                <w:sz w:val="17"/>
              </w:rPr>
              <w:t>492 000 CZK (cca 19 680 EUR)</w:t>
            </w:r>
          </w:p>
        </w:tc>
        <w:tc>
          <w:tcPr>
            <w:tcW w:type="dxa" w:w="2484"/>
            <w:shd w:fill="F8FAFC"/>
          </w:tcPr>
          <w:p>
            <w:pPr>
              <w:spacing w:before="60" w:after="60"/>
            </w:pPr>
            <w:r>
              <w:rPr>
                <w:b/>
                <w:color w:val="E65100"/>
                <w:sz w:val="17"/>
              </w:rPr>
              <w:t>Kompletní investice včetně vývoje, infrastruktury a SLA.</w:t>
            </w:r>
          </w:p>
        </w:tc>
      </w:tr>
    </w:tbl>
    <w:p>
      <w:pPr>
        <w:pStyle w:val="Heading1"/>
        <w:spacing w:before="360" w:after="120"/>
      </w:pPr>
      <w:r>
        <w:rPr>
          <w:b/>
          <w:color w:val="E65100"/>
          <w:sz w:val="32"/>
        </w:rPr>
        <w:t>8. Benefits (Přínosy a podniková hodnota)</w:t>
      </w:r>
    </w:p>
    <w:p>
      <w:pPr>
        <w:spacing w:after="80" w:line="276" w:lineRule="auto"/>
      </w:pPr>
      <w:r>
        <w:rPr>
          <w:color w:val="111827"/>
          <w:sz w:val="20"/>
        </w:rPr>
        <w:t>Nasazení systému přináší měřitelné kvantitativní i kvalitativní výhody oproti konvenčnímu manuálnímu tradingu: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1. Úspora na transakčních poplatcích a skluzu: </w:t>
      </w:r>
      <w:r>
        <w:rPr>
          <w:color w:val="111827"/>
          <w:sz w:val="20"/>
        </w:rPr>
        <w:t>Exekuce přes limitní Post-Only maker pokyny zajišťuje minimální maker poplatek 0,02 % (resp. záporný rebate pro instituce) oproti 0,055 % taker poplatku. Při ročním obratu 50M USD činí čistá úspora na poplatcích přes 17 500 USD ročně.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2. Eliminace lidského faktoru a rychlost reakce: </w:t>
      </w:r>
      <w:r>
        <w:rPr>
          <w:color w:val="111827"/>
          <w:sz w:val="20"/>
        </w:rPr>
        <w:t>Zatímco lidský obchodník reaguje v řádu sekund a podléhá únavě, bot analyzuje 20 nejlikvidnějších instrumentů každou sekundu a exekuuje pokyn do 5,4 ms.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3. Odolnost proti katastrofickému propadu (Ruin Probability ~ 0 %): </w:t>
      </w:r>
      <w:r>
        <w:rPr>
          <w:color w:val="111827"/>
          <w:sz w:val="20"/>
        </w:rPr>
        <w:t>Pravidlo 85% Cash Fortress a automatický 4hodinový cooldown po 2 ztrátách garantují, že účet nemůže být zlikvidován ani při extrémních černých labutích na trhu.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4. Stoprocentní auditovatelnost a compliance: </w:t>
      </w:r>
      <w:r>
        <w:rPr>
          <w:color w:val="111827"/>
          <w:sz w:val="20"/>
        </w:rPr>
        <w:t>Každý tick, každé rozhodnutí a každé zamítnutí signálu je v reálném čase zapsáno do tabulky `bybit_state_transitions` a zobrazeno na Bloomberg dashboardu.</w:t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9. Quality (Řízení kvality a spolehlivost)</w:t>
      </w:r>
    </w:p>
    <w:p>
      <w:pPr>
        <w:spacing w:after="80" w:line="276" w:lineRule="auto"/>
      </w:pPr>
      <w:r>
        <w:rPr>
          <w:color w:val="111827"/>
          <w:sz w:val="20"/>
        </w:rPr>
        <w:t>Kvalita je v systému POLYBOT V5 zakotvena jako konstituční princip na úrovni kódu, síťové komunikace i exekuce: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Komplexní testovací pokrytí: </w:t>
      </w:r>
      <w:r>
        <w:rPr>
          <w:color w:val="111827"/>
          <w:sz w:val="20"/>
        </w:rPr>
        <w:t>Všech 81 automatizovaných testů běží v CI/CD pipeline a garantuje, že žádná změna kódu nenaruší klíčové bezpečnostní invarianty.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Knihovní integrita: </w:t>
      </w:r>
      <w:r>
        <w:rPr>
          <w:color w:val="111827"/>
          <w:sz w:val="20"/>
        </w:rPr>
        <w:t>Pokud dojde k vynechání zprávy v delta streamu (`curr_u &gt; prev_u + 1`), systém knihu okamžitě zneplatní, vyčistí paměť a pošle `unsubscribe/subscribe` požadavek.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Watchdog &amp; Liveness Heartbeat: </w:t>
      </w:r>
      <w:r>
        <w:rPr>
          <w:color w:val="111827"/>
          <w:sz w:val="20"/>
        </w:rPr>
        <w:t>Watchdog engine měří prodlevu asynchronního event loopu a drift systémových hodin. Pokud drift překročí 500 ms, trading je okamžitě pozastaven.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69980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ace_a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9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748B"/>
          <w:sz w:val="17"/>
        </w:rPr>
        <w:t>Obrázek 6: Decision Trace Log v reálném čase a observatoř burzovních latencí (API Observatory)</w:t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10. Risk (Analýza rizik a bezpečnostní architektura)</w:t>
      </w:r>
    </w:p>
    <w:p>
      <w:pPr>
        <w:spacing w:after="80" w:line="276" w:lineRule="auto"/>
      </w:pPr>
      <w:r>
        <w:rPr>
          <w:color w:val="111827"/>
          <w:sz w:val="20"/>
        </w:rPr>
        <w:t>Systém obsahuje nejkomplexnější vícevrstvou bezpečnostní architekturu ve své třídě: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5 Nezávislých Kill-Switchů: </w:t>
      </w:r>
      <w:r>
        <w:rPr>
          <w:color w:val="111827"/>
          <w:sz w:val="20"/>
        </w:rPr>
        <w:t>Pět vzájemně nezávislých pojistek schopných okamžitě přerušit obchodování: 1. `ACCOUNT_KILL` (anomálie zůstatku), 2. `DRAWDOWN_KILL` (denní pokles &gt;= 5 %), 3. `MARKET_KILL` (rozpad spreadu či dat), 4. `EXECUTION_KILL` (zamítnutí příkazů burzou), 5. `SOFTWARE_KILL` (interní výjimka softwaru).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Quarter-Kelly Framework &amp; Volatility Sizing: </w:t>
      </w:r>
      <w:r>
        <w:rPr>
          <w:color w:val="111827"/>
          <w:sz w:val="20"/>
        </w:rPr>
        <w:t>Zabraňuje přehnané expozici. Velikost pozice se odvíjí výhradně od strukturální vzdálenosti ke stop-lossu a rizikového rozpočtu, nikoli od páky. Fractional Kelly může riziko pouze snížit, nikdy zvýšit.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Stupňovitý Drawdown Governor: </w:t>
      </w:r>
      <w:r>
        <w:rPr>
          <w:color w:val="111827"/>
          <w:sz w:val="20"/>
        </w:rPr>
        <w:t>Při poklesu pod 2 % je risk scalar 1.0x; při propadu 2–3 % klesá na 0.50x; při 3–4 % na 0.25x; při 4–5 % jsou povoleny pouze A+ obchody se skóre &gt;= 85 a skalárem 0.20x; při 5 % dochází k trvalému uzamčení do půlnočního rolloveru.</w:t>
      </w:r>
    </w:p>
    <w:p>
      <w:pPr>
        <w:pStyle w:val="Heading1"/>
        <w:spacing w:before="360" w:after="120"/>
      </w:pPr>
      <w:r>
        <w:rPr>
          <w:b/>
          <w:color w:val="E65100"/>
          <w:sz w:val="32"/>
        </w:rPr>
        <w:t>11. Závěr a technologický výhled</w:t>
      </w:r>
    </w:p>
    <w:p>
      <w:pPr>
        <w:spacing w:after="80" w:line="276" w:lineRule="auto"/>
      </w:pPr>
      <w:r>
        <w:rPr>
          <w:color w:val="111827"/>
          <w:sz w:val="20"/>
        </w:rPr>
        <w:t>Semestrální projekt POLYBOT V5 úspěšně prokázal proveditelnost a vysokou efektivitu nasazení autonomního podnikového scalping systému. Všechny požadavky osnovy PIS2 (Management summary, PoC, Scope, Timescales, Costs, Benefits, Quality a Risk) byly kompletně naplněny a prakticky ověřeny na burze Bybit V5.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Roadmap verze 6.0: </w:t>
      </w:r>
      <w:r>
        <w:rPr>
          <w:color w:val="111827"/>
          <w:sz w:val="20"/>
        </w:rPr>
        <w:t>Pro nadcházející verzi 6.0 je plánováno rozšíření o mikrostrukturální Reinforcement Learning model pro dynamické umisťování limitních příkazů uvnitř spreadu a zapojení opčních indikátorů volatility z burzy Deribit.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