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МОСКОВСКИЙ УНИВЕРСИТЕТ ИМЕНИ С.Ю. ВИТТЕ</w:t>
      </w:r>
    </w:p>
    <w:p>
      <w:pPr>
        <w:ind w:firstLine="0"/>
        <w:jc w:val="center"/>
      </w:pPr>
      <w:r>
        <w:t>Факультет информационных технологий</w:t>
      </w:r>
    </w:p>
    <w:p>
      <w:pPr>
        <w:ind w:firstLine="0"/>
        <w:jc w:val="center"/>
      </w:pPr>
      <w:r>
        <w:t>Кафедра информационных систем</w:t>
      </w:r>
    </w:p>
    <w:p>
      <w:pPr>
        <w:ind w:firstLine="0"/>
        <w:jc w:val="center"/>
      </w:pPr>
      <w:r>
        <w:t>Направление подготовки 09.03.03 «Прикладная информатика»</w:t>
      </w:r>
    </w:p>
    <w:p>
      <w:pPr>
        <w:ind w:firstLine="0"/>
        <w:jc w:val="center"/>
      </w:pPr>
      <w:r>
        <w:t>Профиль «Корпоративные информационные системы»</w:t>
      </w:r>
    </w:p>
    <w:p>
      <w:r/>
    </w:p>
    <w:p>
      <w:r/>
    </w:p>
    <w:p>
      <w:r/>
    </w:p>
    <w:p>
      <w:r/>
    </w:p>
    <w:p>
      <w:r/>
    </w:p>
    <w:p>
      <w:pPr>
        <w:ind w:firstLine="0"/>
        <w:jc w:val="center"/>
      </w:pPr>
      <w:r>
        <w:rPr>
          <w:b/>
          <w:sz w:val="36"/>
        </w:rPr>
        <w:t>ОТЧЕТ</w:t>
      </w:r>
    </w:p>
    <w:p>
      <w:pPr>
        <w:ind w:firstLine="0"/>
        <w:jc w:val="center"/>
      </w:pPr>
      <w:r>
        <w:t>о прохождении производственной практики</w:t>
      </w:r>
    </w:p>
    <w:p>
      <w:pPr>
        <w:ind w:firstLine="0"/>
        <w:jc w:val="center"/>
      </w:pPr>
      <w:r>
        <w:t>(преддипломная практика)</w:t>
      </w:r>
    </w:p>
    <w:p>
      <w:pPr>
        <w:ind w:firstLine="0"/>
        <w:jc w:val="center"/>
      </w:pPr>
      <w:r>
        <w:rPr>
          <w:b/>
        </w:rPr>
        <w:t>«Разработка автоматизированной системы учета заявок на обслуживание систем защиты информации»</w:t>
      </w:r>
    </w:p>
    <w:p>
      <w:r/>
    </w:p>
    <w:p>
      <w:r/>
    </w:p>
    <w:p>
      <w:r/>
    </w:p>
    <w:p>
      <w:r/>
    </w:p>
    <w:p>
      <w:pPr>
        <w:ind w:firstLine="0"/>
      </w:pPr>
      <w:r>
        <w:t>Студент: Коробейникова Мария Вячеславовна</w:t>
      </w:r>
    </w:p>
    <w:p>
      <w:pPr>
        <w:ind w:firstLine="0"/>
      </w:pPr>
      <w:r>
        <w:t>Группа: з.ИЗДтс 23.1/Б1-20</w:t>
      </w:r>
    </w:p>
    <w:p>
      <w:pPr>
        <w:ind w:firstLine="0"/>
      </w:pPr>
      <w:r>
        <w:t>Место практики: кафедра информационных систем МУИВ</w:t>
      </w:r>
    </w:p>
    <w:p>
      <w:pPr/>
      <w:r>
        <w:t>Дата разработки и проверки приложенного программного прототипа: октябрь 2026 г.</w:t>
      </w:r>
    </w:p>
    <w:p>
      <w:pPr>
        <w:ind w:firstLine="0"/>
      </w:pPr>
      <w:r>
        <w:t>Период практики: 03.06.2024 - 30.06.2024</w:t>
      </w:r>
    </w:p>
    <w:p>
      <w:r/>
    </w:p>
    <w:p>
      <w:r/>
    </w:p>
    <w:p>
      <w:r/>
    </w:p>
    <w:p>
      <w:pPr>
        <w:ind w:firstLine="0"/>
        <w:jc w:val="center"/>
      </w:pPr>
      <w:r>
        <w:rPr>
          <w:rFonts w:ascii="Times New Roman" w:hAnsi="Times New Roman"/>
          <w:sz w:val="28"/>
        </w:rPr>
        <w:t>Москва, 2026</w:t>
      </w:r>
    </w:p>
    <w:p>
      <w:r>
        <w:br w:type="page"/>
      </w:r>
    </w:p>
    <w:p>
      <w:pPr>
        <w:pStyle w:val="Heading1"/>
      </w:pPr>
      <w:r>
        <w:t>СОДЕРЖАНИЕ</w:t>
      </w:r>
    </w:p>
    <w:p>
      <w:pPr>
        <w:tabs>
          <w:tab w:pos="8901" w:val="right" w:leader="dot"/>
        </w:tabs>
        <w:spacing w:line="312" w:lineRule="auto" w:after="60"/>
        <w:ind w:firstLine="0"/>
      </w:pPr>
      <w:r>
        <w:t>ВВЕДЕНИЕ</w:t>
        <w:tab/>
        <w:t>4</w:t>
      </w:r>
    </w:p>
    <w:p>
      <w:pPr>
        <w:tabs>
          <w:tab w:pos="8901" w:val="right" w:leader="dot"/>
        </w:tabs>
        <w:spacing w:line="312" w:lineRule="auto" w:after="60"/>
        <w:ind w:firstLine="0"/>
      </w:pPr>
      <w:r>
        <w:t>1 АНАЛИЗ ПРЕДМЕТНОЙ ОБЛАСТИ И ТРЕБОВАНИЙ</w:t>
        <w:tab/>
        <w:t>6</w:t>
      </w:r>
    </w:p>
    <w:p>
      <w:pPr>
        <w:tabs>
          <w:tab w:pos="8901" w:val="right" w:leader="dot"/>
        </w:tabs>
        <w:spacing w:line="312" w:lineRule="auto" w:after="60"/>
        <w:ind w:firstLine="0"/>
      </w:pPr>
      <w:r>
        <w:t>1.1 Характеристика объекта практики и процесса</w:t>
        <w:tab/>
        <w:t>6</w:t>
      </w:r>
    </w:p>
    <w:p>
      <w:pPr>
        <w:tabs>
          <w:tab w:pos="8901" w:val="right" w:leader="dot"/>
        </w:tabs>
        <w:spacing w:line="312" w:lineRule="auto" w:after="60"/>
        <w:ind w:firstLine="0"/>
      </w:pPr>
      <w:r>
        <w:t>1.2 Анализ ИТ-инфраструктуры и нормативных требований</w:t>
        <w:tab/>
        <w:t>7</w:t>
      </w:r>
    </w:p>
    <w:p>
      <w:pPr>
        <w:tabs>
          <w:tab w:pos="8901" w:val="right" w:leader="dot"/>
        </w:tabs>
        <w:spacing w:line="312" w:lineRule="auto" w:after="60"/>
        <w:ind w:firstLine="0"/>
      </w:pPr>
      <w:r>
        <w:t>1.3 Анализ требований пользователей</w:t>
        <w:tab/>
        <w:t>9</w:t>
      </w:r>
    </w:p>
    <w:p>
      <w:pPr>
        <w:tabs>
          <w:tab w:pos="8901" w:val="right" w:leader="dot"/>
        </w:tabs>
        <w:spacing w:line="312" w:lineRule="auto" w:after="60"/>
        <w:ind w:firstLine="0"/>
      </w:pPr>
      <w:r>
        <w:t>1.4 Разработка предложений по архитектуре</w:t>
        <w:tab/>
        <w:t>10</w:t>
      </w:r>
    </w:p>
    <w:p>
      <w:pPr>
        <w:tabs>
          <w:tab w:pos="8901" w:val="right" w:leader="dot"/>
        </w:tabs>
        <w:spacing w:line="312" w:lineRule="auto" w:after="60"/>
        <w:ind w:firstLine="0"/>
      </w:pPr>
      <w:r>
        <w:t>1.5 Спецификация компонентов системы</w:t>
        <w:tab/>
        <w:t>12</w:t>
      </w:r>
    </w:p>
    <w:p>
      <w:pPr>
        <w:tabs>
          <w:tab w:pos="8901" w:val="right" w:leader="dot"/>
        </w:tabs>
        <w:spacing w:line="312" w:lineRule="auto" w:after="60"/>
        <w:ind w:firstLine="0"/>
      </w:pPr>
      <w:r>
        <w:t>1.6 Выводы по первому разделу</w:t>
        <w:tab/>
        <w:t>12</w:t>
      </w:r>
    </w:p>
    <w:p>
      <w:pPr>
        <w:tabs>
          <w:tab w:pos="8901" w:val="right" w:leader="dot"/>
        </w:tabs>
        <w:spacing w:line="312" w:lineRule="auto" w:after="60"/>
        <w:ind w:firstLine="0"/>
      </w:pPr>
      <w:r>
        <w:t>2 ПРОЕКТИРОВАНИЕ И РАЗРАБОТКА СИСТЕМЫ</w:t>
        <w:tab/>
        <w:t>13</w:t>
      </w:r>
    </w:p>
    <w:p>
      <w:pPr>
        <w:tabs>
          <w:tab w:pos="8901" w:val="right" w:leader="dot"/>
        </w:tabs>
        <w:spacing w:line="312" w:lineRule="auto" w:after="60"/>
        <w:ind w:firstLine="0"/>
      </w:pPr>
      <w:r>
        <w:t>2.1 Перечень выполняемых работ</w:t>
        <w:tab/>
        <w:t>13</w:t>
      </w:r>
    </w:p>
    <w:p>
      <w:pPr>
        <w:tabs>
          <w:tab w:pos="8901" w:val="right" w:leader="dot"/>
        </w:tabs>
        <w:spacing w:line="312" w:lineRule="auto" w:after="60"/>
        <w:ind w:firstLine="0"/>
      </w:pPr>
      <w:r>
        <w:t>2.2 Техническое задание</w:t>
        <w:tab/>
        <w:t>13</w:t>
      </w:r>
    </w:p>
    <w:p>
      <w:pPr>
        <w:tabs>
          <w:tab w:pos="8901" w:val="right" w:leader="dot"/>
        </w:tabs>
        <w:spacing w:line="312" w:lineRule="auto" w:after="60"/>
        <w:ind w:firstLine="0"/>
      </w:pPr>
      <w:r>
        <w:t>2.3 Проектирование пользовательского интерфейса</w:t>
        <w:tab/>
        <w:t>15</w:t>
      </w:r>
    </w:p>
    <w:p>
      <w:pPr>
        <w:tabs>
          <w:tab w:pos="8901" w:val="right" w:leader="dot"/>
        </w:tabs>
        <w:spacing w:line="312" w:lineRule="auto" w:after="60"/>
        <w:ind w:firstLine="0"/>
      </w:pPr>
      <w:r>
        <w:t>2.4 Проектирование базы данных</w:t>
        <w:tab/>
        <w:t>18</w:t>
      </w:r>
    </w:p>
    <w:p>
      <w:pPr>
        <w:tabs>
          <w:tab w:pos="8901" w:val="right" w:leader="dot"/>
        </w:tabs>
        <w:spacing w:line="312" w:lineRule="auto" w:after="60"/>
        <w:ind w:firstLine="0"/>
      </w:pPr>
      <w:r>
        <w:t>2.5 Реализация программного обеспечения</w:t>
        <w:tab/>
        <w:t>20</w:t>
      </w:r>
    </w:p>
    <w:p>
      <w:pPr>
        <w:tabs>
          <w:tab w:pos="8901" w:val="right" w:leader="dot"/>
        </w:tabs>
        <w:spacing w:line="312" w:lineRule="auto" w:after="60"/>
        <w:ind w:firstLine="0"/>
      </w:pPr>
      <w:r>
        <w:t>2.6 Верификация и тестирование</w:t>
        <w:tab/>
        <w:t>22</w:t>
      </w:r>
    </w:p>
    <w:p>
      <w:pPr>
        <w:tabs>
          <w:tab w:pos="8901" w:val="right" w:leader="dot"/>
        </w:tabs>
        <w:spacing w:line="312" w:lineRule="auto" w:after="60"/>
        <w:ind w:firstLine="0"/>
      </w:pPr>
      <w:r>
        <w:t>2.7 Выводы по второму разделу</w:t>
        <w:tab/>
        <w:t>23</w:t>
      </w:r>
    </w:p>
    <w:p>
      <w:pPr>
        <w:pageBreakBefore/>
        <w:tabs>
          <w:tab w:pos="8901" w:val="right" w:leader="dot"/>
        </w:tabs>
        <w:spacing w:line="312" w:lineRule="auto" w:after="60"/>
        <w:ind w:firstLine="0"/>
      </w:pPr>
      <w:r>
        <w:t>3 ДОСТУП, РАЗВЕРТЫВАНИЕ И СОПРОВОЖДЕНИЕ</w:t>
        <w:tab/>
        <w:t>24</w:t>
      </w:r>
    </w:p>
    <w:p>
      <w:pPr>
        <w:tabs>
          <w:tab w:pos="8901" w:val="right" w:leader="dot"/>
        </w:tabs>
        <w:spacing w:line="312" w:lineRule="auto" w:after="60"/>
        <w:ind w:firstLine="0"/>
      </w:pPr>
      <w:r>
        <w:t>3.1 Модель разграничения доступа</w:t>
        <w:tab/>
        <w:t>24</w:t>
      </w:r>
    </w:p>
    <w:p>
      <w:pPr>
        <w:tabs>
          <w:tab w:pos="8901" w:val="right" w:leader="dot"/>
        </w:tabs>
        <w:spacing w:line="312" w:lineRule="auto" w:after="60"/>
        <w:ind w:firstLine="0"/>
      </w:pPr>
      <w:r>
        <w:t>3.2 План установки и развертывания</w:t>
        <w:tab/>
        <w:t>25</w:t>
      </w:r>
    </w:p>
    <w:p>
      <w:pPr>
        <w:tabs>
          <w:tab w:pos="8901" w:val="right" w:leader="dot"/>
        </w:tabs>
        <w:spacing w:line="312" w:lineRule="auto" w:after="60"/>
        <w:ind w:firstLine="0"/>
      </w:pPr>
      <w:r>
        <w:t>3.3 Возможности интеграции</w:t>
        <w:tab/>
        <w:t>26</w:t>
      </w:r>
    </w:p>
    <w:p>
      <w:pPr>
        <w:tabs>
          <w:tab w:pos="8901" w:val="right" w:leader="dot"/>
        </w:tabs>
        <w:spacing w:line="312" w:lineRule="auto" w:after="60"/>
        <w:ind w:firstLine="0"/>
      </w:pPr>
      <w:r>
        <w:t>3.4 Обновление и техническая поддержка</w:t>
        <w:tab/>
        <w:t>27</w:t>
      </w:r>
    </w:p>
    <w:p>
      <w:pPr>
        <w:tabs>
          <w:tab w:pos="8901" w:val="right" w:leader="dot"/>
        </w:tabs>
        <w:spacing w:line="312" w:lineRule="auto" w:after="60"/>
        <w:ind w:firstLine="0"/>
      </w:pPr>
      <w:r>
        <w:t>3.5 Выводы по третьему разделу</w:t>
        <w:tab/>
        <w:t>28</w:t>
      </w:r>
    </w:p>
    <w:p>
      <w:pPr>
        <w:tabs>
          <w:tab w:pos="8901" w:val="right" w:leader="dot"/>
        </w:tabs>
        <w:spacing w:line="312" w:lineRule="auto" w:after="60"/>
        <w:ind w:firstLine="0"/>
      </w:pPr>
      <w:r>
        <w:t>ЗАКЛЮЧЕНИЕ</w:t>
        <w:tab/>
        <w:t>28</w:t>
      </w:r>
    </w:p>
    <w:p>
      <w:pPr>
        <w:tabs>
          <w:tab w:pos="8901" w:val="right" w:leader="dot"/>
        </w:tabs>
        <w:spacing w:line="312" w:lineRule="auto" w:after="60"/>
        <w:ind w:firstLine="0"/>
      </w:pPr>
      <w:r>
        <w:t>СПИСОК ИСПОЛЬЗОВАННЫХ ИСТОЧНИКОВ</w:t>
        <w:tab/>
        <w:t>30</w:t>
      </w:r>
    </w:p>
    <w:p>
      <w:pPr>
        <w:tabs>
          <w:tab w:pos="8901" w:val="right" w:leader="dot"/>
        </w:tabs>
        <w:spacing w:line="312" w:lineRule="auto" w:after="60"/>
        <w:ind w:firstLine="0"/>
      </w:pPr>
      <w:r>
        <w:t>ПРИЛОЖЕНИЕ А. Функциональные требования</w:t>
        <w:tab/>
        <w:t>31</w:t>
      </w:r>
    </w:p>
    <w:p>
      <w:pPr>
        <w:tabs>
          <w:tab w:pos="8901" w:val="right" w:leader="dot"/>
        </w:tabs>
        <w:spacing w:line="312" w:lineRule="auto" w:after="60"/>
        <w:ind w:firstLine="0"/>
      </w:pPr>
      <w:r>
        <w:t>ПРИЛОЖЕНИЕ Б. Инструкция по запуску и проверке</w:t>
        <w:tab/>
        <w:t>32</w:t>
      </w:r>
    </w:p>
    <w:p>
      <w:pPr>
        <w:pageBreakBefore w:val="0"/>
        <w:tabs>
          <w:tab w:pos="8901" w:val="right" w:leader="dot"/>
        </w:tabs>
        <w:spacing w:line="312" w:lineRule="auto" w:after="60"/>
        <w:ind w:firstLine="0"/>
      </w:pPr>
      <w:r>
        <w:t>ПРИЛОЖЕНИЕ В. Контрольные сценарии</w:t>
        <w:tab/>
        <w:t>34</w:t>
      </w:r>
    </w:p>
    <w:p>
      <w:r>
        <w:br w:type="page"/>
      </w:r>
    </w:p>
    <w:p>
      <w:pPr>
        <w:pStyle w:val="Heading1"/>
      </w:pPr>
      <w:r>
        <w:t>ВВЕДЕНИЕ</w:t>
      </w:r>
    </w:p>
    <w:p>
      <w:r>
        <w:t>При организации обслуживания средств защиты важно сохранять не только сведения о неисправности, но и последовательность решений по каждой заявке. Например, после сообщения о сбое доступа специалисту необходимо установить, к какому оборудованию относится обращение, кто принял его в работу и чем закончилась проверка. Если обсуждение ведется в разных каналах связи, эти сведения приходится собирать вручную. Для проектируемой системы это означает три практические задачи: собрать обращения в одном реестре, связать их с объектами обслуживания и сохранять историю изменения состояния.</w:t>
      </w:r>
    </w:p>
    <w:p>
      <w:r>
        <w:t>Предмет данного проекта - учет обращений, связанных с эксплуатацией систем защиты информации. Рассматривается законченный сценарий: пользователь сообщает о проблеме, уполномоченный сотрудник назначает исполнителя, фиксирует ход работы и закрывает обращение. Для проверки этого сценария подготовлено веб-приложение InfoSec Service Desk. Оно хранит сведения в SQLite и определяет доступность операций по роли вошедшего пользователя. Описание программного прототипа относится к разработке 2026 года; период первоначального индивидуального задания указан отдельно.</w:t>
      </w:r>
    </w:p>
    <w:p>
      <w:r>
        <w:t>Цель проектной части состоит в том, чтобы проверить на работающем прототипе, можно ли обеспечить последовательный учет заявок без выделенного сервера базы данных. Для этого определены данные, которые нельзя терять при передаче обращения между сотрудниками; спроектированы ограничения БД и переходы между статусами; реализованы операции для трех ролей. Технические результаты рассматриваются как материал по теме ВКР, а не как доказательство разработки в июне 2024 года.</w:t>
      </w:r>
    </w:p>
    <w:p>
      <w:r>
        <w:t>Для достижения цели решаются следующие задачи:</w:t>
      </w:r>
    </w:p>
    <w:p>
      <w:pPr>
        <w:ind w:firstLine="0" w:left="709"/>
      </w:pPr>
      <w:r>
        <w:t>- исследовать порядок регистрации и обработки обращений, определить участников процесса;</w:t>
      </w:r>
    </w:p>
    <w:p>
      <w:pPr>
        <w:ind w:firstLine="0" w:left="709"/>
      </w:pPr>
      <w:r>
        <w:t>- сформулировать функциональные и нефункциональные требования;</w:t>
      </w:r>
    </w:p>
    <w:p>
      <w:pPr>
        <w:ind w:firstLine="0" w:left="709"/>
      </w:pPr>
      <w:r>
        <w:t>- описать архитектуру приложения и модель хранения данных;</w:t>
      </w:r>
    </w:p>
    <w:p>
      <w:pPr>
        <w:ind w:firstLine="0" w:left="709"/>
      </w:pPr>
      <w:r>
        <w:t>- разработать веб-интерфейс, бизнес-операции, разграничение полномочий и журнал изменений;</w:t>
      </w:r>
    </w:p>
    <w:p>
      <w:pPr>
        <w:ind w:firstLine="0" w:left="709"/>
      </w:pPr>
      <w:r>
        <w:t>- проверить правила переходов статусов, целостность данных и защиту операций;</w:t>
      </w:r>
    </w:p>
    <w:p>
      <w:pPr>
        <w:ind w:firstLine="0" w:left="709"/>
      </w:pPr>
      <w:r>
        <w:t>- подготовить единый порядок запуска на Windows и Ubuntu, инструкции и отчетные материалы.</w:t>
      </w:r>
    </w:p>
    <w:p>
      <w:r>
        <w:t>Объект исследования - организационный процесс приема и сопровождения заявок на обслуживание систем защиты информации. Предмет исследования - модели данных, программные механизмы обработки обращений и разграничения полномочий пользователей.</w:t>
      </w:r>
    </w:p>
    <w:p>
      <w:r>
        <w:t>Результат технической части проверяется по нескольким независимым артефактам. Структуру хранения можно сопоставить с SQL-схемой, действия пользователя - с работающим интерфейсом, а правила ограничения доступа - с тестовыми сценариями. В комплект входят исходные файлы, инструкция запуска и автоматизированные тесты. Эта совокупность подтверждает наличие локального прототипа, но не свидетельствует о фактическом внедрении в информационные системы университета.</w:t>
      </w:r>
    </w:p>
    <w:p>
      <w:r>
        <w:t>Внешние источники использованы для проверки отдельных требований, а не как готовое описание созданной программы. ГОСТ 34.602-2020 определяет ориентиры для структуры технического задания [1]. Федеральные законы 149-ФЗ и 152-ФЗ приняты во внимание при выделении информации, требующей разграничения доступа [2, 3]. Устройство таблиц, проверка переходов статуса и команды запуска описаны по исходному коду проекта.</w:t>
      </w:r>
    </w:p>
    <w:p>
      <w:pPr/>
      <w:r>
        <w:t>Примечание о хронологии. Индивидуальное задание относится к периоду 03.06.2024 - 30.06.2024. Описанное ниже веб-приложение, репозиторий и результаты автоматических проверок подготовлены в октябре 2026 года. Они характеризуют последующую техническую реализацию учебной темы и не подтверждают фактическое выполнение этих действий в июне 2024 года. Подтверждение исходной практики требует дневника, отметок руководителя и первичных материалов за соответствующий период.</w:t>
      </w:r>
    </w:p>
    <w:p>
      <w:pPr>
        <w:pStyle w:val="Heading1"/>
      </w:pPr>
      <w:r>
        <w:t>1 АНАЛИЗ ПРЕДМЕТНОЙ ОБЛАСТИ И ТРЕБОВАНИЙ</w:t>
      </w:r>
    </w:p>
    <w:p>
      <w:pPr>
        <w:pStyle w:val="Heading2"/>
      </w:pPr>
      <w:r>
        <w:t>1.1 Характеристика объекта практики и процесса</w:t>
      </w:r>
    </w:p>
    <w:p>
      <w:r>
        <w:t>В индивидуальном задании в качестве места практики указана кафедра информационных систем МУИВ. Публичные материалы университета подтверждают существование электронной образовательной среды, однако доступных данных недостаточно, чтобы восстановить фактический маршрут внутренних обращений по защите информации. Поэтому далее используется проектный сценарий обслуживания: сотрудник сообщает о неисправности, специалист изучает заявку, а администратор поддерживает состав пользователей и реестр обслуживаемых средств. Этот сценарий следует рассматривать как модель, предложенную для разработки, а не как описание обследованного подразделения.</w:t>
      </w:r>
    </w:p>
    <w:p>
      <w:r>
        <w:t>Минимальный набор сведений выбирался исходя из вопросов, которые возникают при обработке обращения. По теме и описанию определяется содержание проблемы, категория и приоритет помогают упорядочить работу, а ссылка на средство защиты позволяет отличить повторную неисправность оборудования от нового случая. После сохранения возникает запись с идентификатором и начальным статусом. Далее специалист может взять ее в работу, назначить исполнителя и документировать результат. Изменения фиксируются отдельно, чтобы по одной только текущей карточке не терялась история.</w:t>
      </w:r>
    </w:p>
    <w:p>
      <w:r>
        <w:t>Разделение пользователей на три роли следует из различия их задач. Заявителю необходимо отправить сообщение и отслеживать собственные обращения, но просмотр чужих карточек не требуется. Специалисту нужен общий реестр, смена статусов и назначение исполнителей. Администратору дополнительно предоставлены операции с учетными записями и реестром средств защиты. Поэтому доступность страницы и право изменить конкретную запись проверяются сервером независимо от того, видна ли соответствующая кнопка в интерфейсе.</w:t>
      </w:r>
    </w:p>
    <w:p>
      <w:r>
        <w:t>Для сравнения вариантов учета принята исходная модель, при которой сведения о заявках ведутся вручную. Ее недостаток проявляется не в самом способе связи с сотрудником, а в отсутствии однозначной записи: обсуждение может продолжаться вне реестра, неясно, кто выполнял действие, а сведения об объекте обслуживания хранятся отдельно. Проверка этой модели не включала интервью с работниками МУИВ или анализ действующей корпоративной системы. Поэтому выводы характеризуют риски выбранного сценария, а не установленное состояние ИТ-службы университета.</w:t>
      </w:r>
    </w:p>
    <w:tbl>
      <w:tblPr>
        <w:tblStyle w:val="TableGrid"/>
        <w:tblW w:type="auto" w:w="0"/>
        <w:jc w:val="center"/>
        <w:tblLayout w:type="fixed"/>
        <w:tblLook w:firstColumn="1" w:firstRow="1" w:lastColumn="0" w:lastRow="0" w:noHBand="0" w:noVBand="1" w:val="04A0"/>
      </w:tblPr>
      <w:tblGrid>
        <w:gridCol w:w="1871"/>
        <w:gridCol w:w="2438"/>
        <w:gridCol w:w="4365"/>
      </w:tblGrid>
      <w:tr>
        <w:trPr>
          <w:cantSplit/>
          <w:tblHeader w:val="true"/>
          <w:tblHeader w:val="true"/>
          <w:cantSplit/>
        </w:trPr>
        <w:tc>
          <w:tcPr>
            <w:tcW w:type="dxa" w:w="2088"/>
            <w:vAlign w:val="center"/>
          </w:tcPr>
          <w:p>
            <w:pPr>
              <w:pStyle w:val="TableText"/>
              <w:spacing w:before="0" w:after="0" w:line="240" w:lineRule="auto"/>
              <w:jc w:val="center"/>
            </w:pPr>
            <w:r>
              <w:rPr>
                <w:rFonts w:ascii="Times New Roman" w:hAnsi="Times New Roman" w:eastAsia="Times New Roman"/>
                <w:b/>
                <w:sz w:val="21"/>
              </w:rPr>
              <w:t>Этап</w:t>
            </w:r>
          </w:p>
        </w:tc>
        <w:tc>
          <w:tcPr>
            <w:tcW w:type="dxa" w:w="3096"/>
            <w:vAlign w:val="center"/>
          </w:tcPr>
          <w:p>
            <w:pPr>
              <w:pStyle w:val="TableText"/>
              <w:spacing w:before="0" w:after="0" w:line="240" w:lineRule="auto"/>
              <w:jc w:val="center"/>
            </w:pPr>
            <w:r>
              <w:rPr>
                <w:rFonts w:ascii="Times New Roman" w:hAnsi="Times New Roman" w:eastAsia="Times New Roman"/>
                <w:b/>
                <w:sz w:val="21"/>
              </w:rPr>
              <w:t>Исходный способ</w:t>
            </w:r>
          </w:p>
        </w:tc>
        <w:tc>
          <w:tcPr>
            <w:tcW w:type="dxa" w:w="4176"/>
            <w:vAlign w:val="center"/>
          </w:tcPr>
          <w:p>
            <w:pPr>
              <w:pStyle w:val="TableText"/>
              <w:spacing w:before="0" w:after="0" w:line="240" w:lineRule="auto"/>
              <w:jc w:val="center"/>
            </w:pPr>
            <w:r>
              <w:rPr>
                <w:rFonts w:ascii="Times New Roman" w:hAnsi="Times New Roman" w:eastAsia="Times New Roman"/>
                <w:b/>
                <w:sz w:val="21"/>
              </w:rPr>
              <w:t>Решение в системе</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Подача обращения</w:t>
            </w:r>
          </w:p>
        </w:tc>
        <w:tc>
          <w:tcPr>
            <w:tcW w:type="dxa" w:w="3096"/>
            <w:vAlign w:val="center"/>
          </w:tcPr>
          <w:p>
            <w:pPr>
              <w:pStyle w:val="TableText"/>
              <w:spacing w:before="0" w:after="0" w:line="240" w:lineRule="auto"/>
              <w:jc w:val="left"/>
            </w:pPr>
            <w:r>
              <w:rPr>
                <w:rFonts w:ascii="Times New Roman" w:hAnsi="Times New Roman" w:eastAsia="Times New Roman"/>
                <w:b w:val="0"/>
                <w:sz w:val="21"/>
              </w:rPr>
              <w:t>Сообщение специалисту</w:t>
            </w:r>
          </w:p>
        </w:tc>
        <w:tc>
          <w:tcPr>
            <w:tcW w:type="dxa" w:w="4176"/>
            <w:vAlign w:val="center"/>
          </w:tcPr>
          <w:p>
            <w:pPr>
              <w:pStyle w:val="TableText"/>
              <w:spacing w:before="0" w:after="0" w:line="240" w:lineRule="auto"/>
              <w:jc w:val="left"/>
            </w:pPr>
            <w:r>
              <w:rPr>
                <w:rFonts w:ascii="Times New Roman" w:hAnsi="Times New Roman" w:eastAsia="Times New Roman"/>
                <w:b w:val="0"/>
                <w:sz w:val="21"/>
              </w:rPr>
              <w:t>Форма создания заявки</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Фиксация</w:t>
            </w:r>
          </w:p>
        </w:tc>
        <w:tc>
          <w:tcPr>
            <w:tcW w:type="dxa" w:w="3096"/>
            <w:vAlign w:val="center"/>
          </w:tcPr>
          <w:p>
            <w:pPr>
              <w:pStyle w:val="TableText"/>
              <w:spacing w:before="0" w:after="0" w:line="240" w:lineRule="auto"/>
              <w:jc w:val="left"/>
            </w:pPr>
            <w:r>
              <w:rPr>
                <w:rFonts w:ascii="Times New Roman" w:hAnsi="Times New Roman" w:eastAsia="Times New Roman"/>
                <w:b w:val="0"/>
                <w:sz w:val="21"/>
              </w:rPr>
              <w:t>Ручной список</w:t>
            </w:r>
          </w:p>
        </w:tc>
        <w:tc>
          <w:tcPr>
            <w:tcW w:type="dxa" w:w="4176"/>
            <w:vAlign w:val="center"/>
          </w:tcPr>
          <w:p>
            <w:pPr>
              <w:pStyle w:val="TableText"/>
              <w:spacing w:before="0" w:after="0" w:line="240" w:lineRule="auto"/>
              <w:jc w:val="left"/>
            </w:pPr>
            <w:r>
              <w:rPr>
                <w:rFonts w:ascii="Times New Roman" w:hAnsi="Times New Roman" w:eastAsia="Times New Roman"/>
                <w:b w:val="0"/>
                <w:sz w:val="21"/>
              </w:rPr>
              <w:t>Запись в централизованной БД</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Назначение</w:t>
            </w:r>
          </w:p>
        </w:tc>
        <w:tc>
          <w:tcPr>
            <w:tcW w:type="dxa" w:w="3096"/>
            <w:vAlign w:val="center"/>
          </w:tcPr>
          <w:p>
            <w:pPr>
              <w:pStyle w:val="TableText"/>
              <w:spacing w:before="0" w:after="0" w:line="240" w:lineRule="auto"/>
              <w:jc w:val="left"/>
            </w:pPr>
            <w:r>
              <w:rPr>
                <w:rFonts w:ascii="Times New Roman" w:hAnsi="Times New Roman" w:eastAsia="Times New Roman"/>
                <w:b w:val="0"/>
                <w:sz w:val="21"/>
              </w:rPr>
              <w:t>Переписка и звонки</w:t>
            </w:r>
          </w:p>
        </w:tc>
        <w:tc>
          <w:tcPr>
            <w:tcW w:type="dxa" w:w="4176"/>
            <w:vAlign w:val="center"/>
          </w:tcPr>
          <w:p>
            <w:pPr>
              <w:pStyle w:val="TableText"/>
              <w:spacing w:before="0" w:after="0" w:line="240" w:lineRule="auto"/>
              <w:jc w:val="left"/>
            </w:pPr>
            <w:r>
              <w:rPr>
                <w:rFonts w:ascii="Times New Roman" w:hAnsi="Times New Roman" w:eastAsia="Times New Roman"/>
                <w:b w:val="0"/>
                <w:sz w:val="21"/>
              </w:rPr>
              <w:t>Связь с учетной записью исполнителя</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Исполнение</w:t>
            </w:r>
          </w:p>
        </w:tc>
        <w:tc>
          <w:tcPr>
            <w:tcW w:type="dxa" w:w="3096"/>
            <w:vAlign w:val="center"/>
          </w:tcPr>
          <w:p>
            <w:pPr>
              <w:pStyle w:val="TableText"/>
              <w:spacing w:before="0" w:after="0" w:line="240" w:lineRule="auto"/>
              <w:jc w:val="left"/>
            </w:pPr>
            <w:r>
              <w:rPr>
                <w:rFonts w:ascii="Times New Roman" w:hAnsi="Times New Roman" w:eastAsia="Times New Roman"/>
                <w:b w:val="0"/>
                <w:sz w:val="21"/>
              </w:rPr>
              <w:t>Отдельные заметки</w:t>
            </w:r>
          </w:p>
        </w:tc>
        <w:tc>
          <w:tcPr>
            <w:tcW w:type="dxa" w:w="4176"/>
            <w:vAlign w:val="center"/>
          </w:tcPr>
          <w:p>
            <w:pPr>
              <w:pStyle w:val="TableText"/>
              <w:spacing w:before="0" w:after="0" w:line="240" w:lineRule="auto"/>
              <w:jc w:val="left"/>
            </w:pPr>
            <w:r>
              <w:rPr>
                <w:rFonts w:ascii="Times New Roman" w:hAnsi="Times New Roman" w:eastAsia="Times New Roman"/>
                <w:b w:val="0"/>
                <w:sz w:val="21"/>
              </w:rPr>
              <w:t>Комментарии и статусы</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Контроль</w:t>
            </w:r>
          </w:p>
        </w:tc>
        <w:tc>
          <w:tcPr>
            <w:tcW w:type="dxa" w:w="3096"/>
            <w:vAlign w:val="center"/>
          </w:tcPr>
          <w:p>
            <w:pPr>
              <w:pStyle w:val="TableText"/>
              <w:spacing w:before="0" w:after="0" w:line="240" w:lineRule="auto"/>
              <w:jc w:val="left"/>
            </w:pPr>
            <w:r>
              <w:rPr>
                <w:rFonts w:ascii="Times New Roman" w:hAnsi="Times New Roman" w:eastAsia="Times New Roman"/>
                <w:b w:val="0"/>
                <w:sz w:val="21"/>
              </w:rPr>
              <w:t>Ручная сверка</w:t>
            </w:r>
          </w:p>
        </w:tc>
        <w:tc>
          <w:tcPr>
            <w:tcW w:type="dxa" w:w="4176"/>
            <w:vAlign w:val="center"/>
          </w:tcPr>
          <w:p>
            <w:pPr>
              <w:pStyle w:val="TableText"/>
              <w:spacing w:before="0" w:after="0" w:line="240" w:lineRule="auto"/>
              <w:jc w:val="left"/>
            </w:pPr>
            <w:r>
              <w:rPr>
                <w:rFonts w:ascii="Times New Roman" w:hAnsi="Times New Roman" w:eastAsia="Times New Roman"/>
                <w:b w:val="0"/>
                <w:sz w:val="21"/>
              </w:rPr>
              <w:t>Реестр, фильтры и сводные показатели</w:t>
            </w:r>
          </w:p>
        </w:tc>
      </w:tr>
    </w:tbl>
    <w:p>
      <w:pPr>
        <w:pStyle w:val="FigCaption"/>
        <w:keepNext w:val="0"/>
        <w:keepLines/>
        <w:jc w:val="center"/>
      </w:pPr>
      <w:r>
        <w:t>Таблица 1 - Сопоставление способов обработки обращений</w:t>
      </w:r>
    </w:p>
    <w:p>
      <w:r>
        <w:t>Критерием полезности автоматизации принят не объем интерфейса, а возможность восстановить ход обработки одной заявки. В записи должны оставаться автор, даты, текущий исполнитель, комментарии и события смены состояния. При таком наборе полей можно отдельно ответить на вопросы о содержании обращения и о действиях специалистов. Для этой цели в схему включена таблица событий, связанная с заявками и пользователями; без нее оставался бы только последний статус.</w:t>
      </w:r>
    </w:p>
    <w:p>
      <w:pPr>
        <w:pStyle w:val="Heading2"/>
      </w:pPr>
      <w:r>
        <w:t>1.2 Анализ ИТ-инфраструктуры и нормативных требований</w:t>
      </w:r>
    </w:p>
    <w:p>
      <w:r>
        <w:t>Условия демонстрации определили технологические ограничения проекта. Проверяющий должен скачать каталог исходников, установить Python и запустить приложение без отдельного сервера БД или настройки контейнеров. Поэтому выбрана SQLite и одна команда запуска для Windows и Ubuntu. Этот выбор уменьшает число внешних зависимостей в учебном сценарии. Он не означает, что локальное размещение пригодно для всех вариантов производственной эксплуатации.</w:t>
      </w:r>
    </w:p>
    <w:p>
      <w:r>
        <w:t>При переносе приложения на сервер меняется модель угроз и обслуживания. Вместо обращения только с одного компьютера появляются сетевые подключения, постоянное хранение ключа сеанса, контроль прав на каталог данных, резервное копирование и TLS. В данной работе перечисленные меры зафиксированы как условия дальнейшего внедрения, а не как уже настроенные компоненты прототипа. Такое разграничение позволяет не смешивать доказанные свойства программы и требования к инфраструктуре организации.</w:t>
      </w:r>
    </w:p>
    <w:p>
      <w:r>
        <w:t>Состав хранимых сведений выявлен непосредственно по полям базы: ФИО, логин, сведения о заявках и история операций. Доступ к ним ограничен ролью и принадлежностью заявки; исходные пароли не помещаются в таблицу пользователей, а формы изменения состояния требуют проверочного токена. Применение этих решений является технической мерой защиты. Вопросы организационного порядка обработки персональных данных, предусмотренные законодательством, должны решаться отдельно при эксплуатации [2, 3].</w:t>
      </w:r>
    </w:p>
    <w:p>
      <w:r>
        <w:t>Технологии подбирались под проверяемые операции. FastAPI обеспечивает обработку HTTP-запросов и разделение маршрутов, Jinja2 формирует серверные HTML-страницы без отдельной сборки клиентского приложения, а SQLite хранит связанные записи в одном файле. Преимущество этой комбинации в данном проекте - воспроизводимый запуск на учебной рабочей станции. Ее ограничение - отсутствие готовой корпоративной инфраструктуры и внешних подключений. Синтаксис и возможности компонентов сверялись с официальной документацией [4-6, 9].</w:t>
      </w:r>
    </w:p>
    <w:p>
      <w:r>
        <w:t>Оценка результата ведется применительно к границам реализации. В прототипе можно зарегистрировать обращение, просмотреть его историю, проверить ограничения ролей и выгрузить данные. Он не обеспечивает отказоустойчивую работу нескольких узлов, подключение к доменной службе или управление сетевым оборудованием. Следовательно, успешные локальные тесты подтверждают корректность проверенных операций, но не являются свидетельством готовности к промышленной эксплуатации.</w:t>
      </w:r>
    </w:p>
    <w:p>
      <w:pPr/>
      <w:r>
        <w:t>Проверка открытых материалов МУИВ выявила описание образовательного сервиса «Электронный Университет» и инструкции для взаимодействия обучающихся с преподавателями [15-17]. Из этих материалов следует, что в университете документированы отдельные пользовательские цифровые процессы. Однако они не дают сведений о применяемых средствах информационной безопасности, корпоративном реестре инцидентов или распределении обязанностей внутри ИТ-подразделений. Поэтому использовать их для утверждений о внутреннем устройстве службы защиты было бы неправильно.</w:t>
      </w:r>
    </w:p>
    <w:p>
      <w:pPr/>
      <w:r>
        <w:t>Для завершения организационного обследования потребовались бы актуальная схема подразделений, перечень информационных систем и средств защиты, регламент регистрации обращений и интервью с ответственными сотрудниками. Эти данные отсутствуют в приложенных материалах. В данном отчете они не подменяются предположениями. Аналитическая справка по открытым источникам отделяет проверенные сведения о цифровых сервисах университета от предложенной модели обслуживания.</w:t>
      </w:r>
    </w:p>
    <w:p>
      <w:pPr>
        <w:pStyle w:val="Heading2"/>
      </w:pPr>
      <w:r>
        <w:t>1.3 Анализ требований пользователей</w:t>
      </w:r>
    </w:p>
    <w:p>
      <w:r>
        <w:t>Сначала для каждой роли был составлен перечень допустимых действий, затем из него выделены ситуации отказа. Наиболее существенные из них: обращение заявителя к чужой записи, попытка закрыть новую заявку без этапа работы и назначение исполнителя, не имеющего роли специалиста. Эти случаи важны, поскольку обычная проверка создания заявки не показывает, сохранены ли ограничения доступа. В тестах отрицательные сценарии проверяются на уровне сервисных операций и HTTP-обработчиков.</w:t>
      </w:r>
    </w:p>
    <w:tbl>
      <w:tblPr>
        <w:tblStyle w:val="TableGrid"/>
        <w:tblW w:type="auto" w:w="0"/>
        <w:jc w:val="center"/>
        <w:tblLayout w:type="fixed"/>
        <w:tblLook w:firstColumn="1" w:firstRow="1" w:lastColumn="0" w:lastRow="0" w:noHBand="0" w:noVBand="1" w:val="04A0"/>
      </w:tblPr>
      <w:tblGrid>
        <w:gridCol w:w="1191"/>
        <w:gridCol w:w="3402"/>
        <w:gridCol w:w="4082"/>
      </w:tblGrid>
      <w:tr>
        <w:trPr>
          <w:cantSplit/>
          <w:tblHeader w:val="true"/>
          <w:tblHeader w:val="true"/>
          <w:cantSplit/>
        </w:trPr>
        <w:tc>
          <w:tcPr>
            <w:tcW w:type="dxa" w:w="1152"/>
            <w:vAlign w:val="center"/>
          </w:tcPr>
          <w:p>
            <w:pPr>
              <w:pStyle w:val="TableText"/>
              <w:spacing w:before="0" w:after="0" w:line="240" w:lineRule="auto"/>
              <w:jc w:val="center"/>
            </w:pPr>
            <w:r>
              <w:rPr>
                <w:rFonts w:ascii="Times New Roman" w:hAnsi="Times New Roman" w:eastAsia="Times New Roman"/>
                <w:b/>
                <w:sz w:val="21"/>
              </w:rPr>
              <w:t>Код</w:t>
            </w:r>
          </w:p>
        </w:tc>
        <w:tc>
          <w:tcPr>
            <w:tcW w:type="dxa" w:w="4464"/>
            <w:vAlign w:val="center"/>
          </w:tcPr>
          <w:p>
            <w:pPr>
              <w:pStyle w:val="TableText"/>
              <w:spacing w:before="0" w:after="0" w:line="240" w:lineRule="auto"/>
              <w:jc w:val="center"/>
            </w:pPr>
            <w:r>
              <w:rPr>
                <w:rFonts w:ascii="Times New Roman" w:hAnsi="Times New Roman" w:eastAsia="Times New Roman"/>
                <w:b/>
                <w:sz w:val="21"/>
              </w:rPr>
              <w:t>Требование</w:t>
            </w:r>
          </w:p>
        </w:tc>
        <w:tc>
          <w:tcPr>
            <w:tcW w:type="dxa" w:w="3672"/>
            <w:vAlign w:val="center"/>
          </w:tcPr>
          <w:p>
            <w:pPr>
              <w:pStyle w:val="TableText"/>
              <w:spacing w:before="0" w:after="0" w:line="240" w:lineRule="auto"/>
              <w:jc w:val="center"/>
            </w:pPr>
            <w:r>
              <w:rPr>
                <w:rFonts w:ascii="Times New Roman" w:hAnsi="Times New Roman" w:eastAsia="Times New Roman"/>
                <w:b/>
                <w:sz w:val="21"/>
              </w:rPr>
              <w:t>Проверяемый результат</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ФТ-01</w:t>
            </w:r>
          </w:p>
        </w:tc>
        <w:tc>
          <w:tcPr>
            <w:tcW w:type="dxa" w:w="4464"/>
            <w:vAlign w:val="center"/>
          </w:tcPr>
          <w:p>
            <w:pPr>
              <w:pStyle w:val="TableText"/>
              <w:spacing w:before="0" w:after="0" w:line="240" w:lineRule="auto"/>
              <w:jc w:val="left"/>
            </w:pPr>
            <w:r>
              <w:rPr>
                <w:rFonts w:ascii="Times New Roman" w:hAnsi="Times New Roman" w:eastAsia="Times New Roman"/>
                <w:b w:val="0"/>
                <w:sz w:val="21"/>
              </w:rPr>
              <w:t>Аутентификация</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Вход по логину и паролю</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ФТ-02</w:t>
            </w:r>
          </w:p>
        </w:tc>
        <w:tc>
          <w:tcPr>
            <w:tcW w:type="dxa" w:w="4464"/>
            <w:vAlign w:val="center"/>
          </w:tcPr>
          <w:p>
            <w:pPr>
              <w:pStyle w:val="TableText"/>
              <w:spacing w:before="0" w:after="0" w:line="240" w:lineRule="auto"/>
              <w:jc w:val="left"/>
            </w:pPr>
            <w:r>
              <w:rPr>
                <w:rFonts w:ascii="Times New Roman" w:hAnsi="Times New Roman" w:eastAsia="Times New Roman"/>
                <w:b w:val="0"/>
                <w:sz w:val="21"/>
              </w:rPr>
              <w:t>Регистрация заявки</w:t>
            </w:r>
          </w:p>
        </w:tc>
        <w:tc>
          <w:tcPr>
            <w:tcW w:type="dxa" w:w="3672"/>
            <w:vAlign w:val="center"/>
          </w:tcPr>
          <w:p>
            <w:pPr>
              <w:pStyle w:val="TableText"/>
              <w:spacing w:before="0" w:after="0" w:line="240" w:lineRule="auto"/>
              <w:jc w:val="left"/>
            </w:pPr>
            <w:r>
              <w:rPr>
                <w:rFonts w:ascii="Times New Roman" w:hAnsi="Times New Roman" w:eastAsia="Times New Roman"/>
                <w:b w:val="0"/>
                <w:sz w:val="21"/>
              </w:rPr>
              <w:t>Уникальный номер и запись в БД</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ФТ-03</w:t>
            </w:r>
          </w:p>
        </w:tc>
        <w:tc>
          <w:tcPr>
            <w:tcW w:type="dxa" w:w="4464"/>
            <w:vAlign w:val="center"/>
          </w:tcPr>
          <w:p>
            <w:pPr>
              <w:pStyle w:val="TableText"/>
              <w:spacing w:before="0" w:after="0" w:line="240" w:lineRule="auto"/>
              <w:jc w:val="left"/>
            </w:pPr>
            <w:r>
              <w:rPr>
                <w:rFonts w:ascii="Times New Roman" w:hAnsi="Times New Roman" w:eastAsia="Times New Roman"/>
                <w:b w:val="0"/>
                <w:sz w:val="21"/>
              </w:rPr>
              <w:t>Поиск обращений</w:t>
            </w:r>
          </w:p>
        </w:tc>
        <w:tc>
          <w:tcPr>
            <w:tcW w:type="dxa" w:w="3672"/>
            <w:vAlign w:val="center"/>
          </w:tcPr>
          <w:p>
            <w:pPr>
              <w:pStyle w:val="TableText"/>
              <w:spacing w:before="0" w:after="0" w:line="240" w:lineRule="auto"/>
              <w:jc w:val="left"/>
            </w:pPr>
            <w:r>
              <w:rPr>
                <w:rFonts w:ascii="Times New Roman" w:hAnsi="Times New Roman" w:eastAsia="Times New Roman"/>
                <w:b w:val="0"/>
                <w:sz w:val="21"/>
              </w:rPr>
              <w:t>Фильтрация списка по статусу и тексту</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ФТ-04</w:t>
            </w:r>
          </w:p>
        </w:tc>
        <w:tc>
          <w:tcPr>
            <w:tcW w:type="dxa" w:w="4464"/>
            <w:vAlign w:val="center"/>
          </w:tcPr>
          <w:p>
            <w:pPr>
              <w:pStyle w:val="TableText"/>
              <w:spacing w:before="0" w:after="0" w:line="240" w:lineRule="auto"/>
              <w:jc w:val="left"/>
            </w:pPr>
            <w:r>
              <w:rPr>
                <w:rFonts w:ascii="Times New Roman" w:hAnsi="Times New Roman" w:eastAsia="Times New Roman"/>
                <w:b w:val="0"/>
                <w:sz w:val="21"/>
              </w:rPr>
              <w:t>Смена статуса</w:t>
            </w:r>
          </w:p>
        </w:tc>
        <w:tc>
          <w:tcPr>
            <w:tcW w:type="dxa" w:w="3672"/>
            <w:vAlign w:val="center"/>
          </w:tcPr>
          <w:p>
            <w:pPr>
              <w:pStyle w:val="TableText"/>
              <w:spacing w:before="0" w:after="0" w:line="240" w:lineRule="auto"/>
              <w:jc w:val="left"/>
            </w:pPr>
            <w:r>
              <w:rPr>
                <w:rFonts w:ascii="Times New Roman" w:hAnsi="Times New Roman" w:eastAsia="Times New Roman"/>
                <w:b w:val="0"/>
                <w:sz w:val="21"/>
              </w:rPr>
              <w:t>Только допустимые переходы</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ФТ-05</w:t>
            </w:r>
          </w:p>
        </w:tc>
        <w:tc>
          <w:tcPr>
            <w:tcW w:type="dxa" w:w="4464"/>
            <w:vAlign w:val="center"/>
          </w:tcPr>
          <w:p>
            <w:pPr>
              <w:pStyle w:val="TableText"/>
              <w:spacing w:before="0" w:after="0" w:line="240" w:lineRule="auto"/>
              <w:jc w:val="left"/>
            </w:pPr>
            <w:r>
              <w:rPr>
                <w:rFonts w:ascii="Times New Roman" w:hAnsi="Times New Roman" w:eastAsia="Times New Roman"/>
                <w:b w:val="0"/>
                <w:sz w:val="21"/>
              </w:rPr>
              <w:t>Назначение исполнителя</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Выбор активного специалиста</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ФТ-06</w:t>
            </w:r>
          </w:p>
        </w:tc>
        <w:tc>
          <w:tcPr>
            <w:tcW w:type="dxa" w:w="4464"/>
            <w:vAlign w:val="center"/>
          </w:tcPr>
          <w:p>
            <w:pPr>
              <w:pStyle w:val="TableText"/>
              <w:spacing w:before="0" w:after="0" w:line="240" w:lineRule="auto"/>
              <w:jc w:val="left"/>
            </w:pPr>
            <w:r>
              <w:rPr>
                <w:rFonts w:ascii="Times New Roman" w:hAnsi="Times New Roman" w:eastAsia="Times New Roman"/>
                <w:b w:val="0"/>
                <w:sz w:val="21"/>
              </w:rPr>
              <w:t>Комментарии</w:t>
            </w:r>
          </w:p>
        </w:tc>
        <w:tc>
          <w:tcPr>
            <w:tcW w:type="dxa" w:w="3672"/>
            <w:vAlign w:val="center"/>
          </w:tcPr>
          <w:p>
            <w:pPr>
              <w:pStyle w:val="TableText"/>
              <w:spacing w:before="0" w:after="0" w:line="240" w:lineRule="auto"/>
              <w:jc w:val="left"/>
            </w:pPr>
            <w:r>
              <w:rPr>
                <w:rFonts w:ascii="Times New Roman" w:hAnsi="Times New Roman" w:eastAsia="Times New Roman"/>
                <w:b w:val="0"/>
                <w:sz w:val="21"/>
              </w:rPr>
              <w:t>Привязка к заявке и автору</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ФТ-07</w:t>
            </w:r>
          </w:p>
        </w:tc>
        <w:tc>
          <w:tcPr>
            <w:tcW w:type="dxa" w:w="4464"/>
            <w:vAlign w:val="center"/>
          </w:tcPr>
          <w:p>
            <w:pPr>
              <w:pStyle w:val="TableText"/>
              <w:spacing w:before="0" w:after="0" w:line="240" w:lineRule="auto"/>
              <w:jc w:val="left"/>
            </w:pPr>
            <w:r>
              <w:rPr>
                <w:rFonts w:ascii="Times New Roman" w:hAnsi="Times New Roman" w:eastAsia="Times New Roman"/>
                <w:b w:val="0"/>
                <w:sz w:val="21"/>
              </w:rPr>
              <w:t>Средства защиты</w:t>
            </w:r>
          </w:p>
        </w:tc>
        <w:tc>
          <w:tcPr>
            <w:tcW w:type="dxa" w:w="3672"/>
            <w:vAlign w:val="center"/>
          </w:tcPr>
          <w:p>
            <w:pPr>
              <w:pStyle w:val="TableText"/>
              <w:spacing w:before="0" w:after="0" w:line="240" w:lineRule="auto"/>
              <w:jc w:val="left"/>
            </w:pPr>
            <w:r>
              <w:rPr>
                <w:rFonts w:ascii="Times New Roman" w:hAnsi="Times New Roman" w:eastAsia="Times New Roman"/>
                <w:b w:val="0"/>
                <w:sz w:val="21"/>
              </w:rPr>
              <w:t>Учет инвентарных объектов</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ФТ-08</w:t>
            </w:r>
          </w:p>
        </w:tc>
        <w:tc>
          <w:tcPr>
            <w:tcW w:type="dxa" w:w="4464"/>
            <w:vAlign w:val="center"/>
          </w:tcPr>
          <w:p>
            <w:pPr>
              <w:pStyle w:val="TableText"/>
              <w:spacing w:before="0" w:after="0" w:line="240" w:lineRule="auto"/>
              <w:jc w:val="left"/>
            </w:pPr>
            <w:r>
              <w:rPr>
                <w:rFonts w:ascii="Times New Roman" w:hAnsi="Times New Roman" w:eastAsia="Times New Roman"/>
                <w:b w:val="0"/>
                <w:sz w:val="21"/>
              </w:rPr>
              <w:t>Журнал действий</w:t>
            </w:r>
          </w:p>
        </w:tc>
        <w:tc>
          <w:tcPr>
            <w:tcW w:type="dxa" w:w="3672"/>
            <w:vAlign w:val="center"/>
          </w:tcPr>
          <w:p>
            <w:pPr>
              <w:pStyle w:val="TableText"/>
              <w:spacing w:before="0" w:after="0" w:line="240" w:lineRule="auto"/>
              <w:jc w:val="left"/>
            </w:pPr>
            <w:r>
              <w:rPr>
                <w:rFonts w:ascii="Times New Roman" w:hAnsi="Times New Roman" w:eastAsia="Times New Roman"/>
                <w:b w:val="0"/>
                <w:sz w:val="21"/>
              </w:rPr>
              <w:t>Фиксация значимых операций</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ФТ-09</w:t>
            </w:r>
          </w:p>
        </w:tc>
        <w:tc>
          <w:tcPr>
            <w:tcW w:type="dxa" w:w="4464"/>
            <w:vAlign w:val="center"/>
          </w:tcPr>
          <w:p>
            <w:pPr>
              <w:pStyle w:val="TableText"/>
              <w:spacing w:before="0" w:after="0" w:line="240" w:lineRule="auto"/>
              <w:jc w:val="left"/>
            </w:pPr>
            <w:r>
              <w:rPr>
                <w:rFonts w:ascii="Times New Roman" w:hAnsi="Times New Roman" w:eastAsia="Times New Roman"/>
                <w:b w:val="0"/>
                <w:sz w:val="21"/>
              </w:rPr>
              <w:t>Экспорт</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Вывод реестра в CSV</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ФТ-10</w:t>
            </w:r>
          </w:p>
        </w:tc>
        <w:tc>
          <w:tcPr>
            <w:tcW w:type="dxa" w:w="4464"/>
            <w:vAlign w:val="center"/>
          </w:tcPr>
          <w:p>
            <w:pPr>
              <w:pStyle w:val="TableText"/>
              <w:spacing w:before="0" w:after="0" w:line="240" w:lineRule="auto"/>
              <w:jc w:val="left"/>
            </w:pPr>
            <w:r>
              <w:rPr>
                <w:rFonts w:ascii="Times New Roman" w:hAnsi="Times New Roman" w:eastAsia="Times New Roman"/>
                <w:b w:val="0"/>
                <w:sz w:val="21"/>
              </w:rPr>
              <w:t>Разграничение прав</w:t>
            </w:r>
          </w:p>
        </w:tc>
        <w:tc>
          <w:tcPr>
            <w:tcW w:type="dxa" w:w="3672"/>
            <w:vAlign w:val="center"/>
          </w:tcPr>
          <w:p>
            <w:pPr>
              <w:pStyle w:val="TableText"/>
              <w:spacing w:before="0" w:after="0" w:line="240" w:lineRule="auto"/>
              <w:jc w:val="left"/>
            </w:pPr>
            <w:r>
              <w:rPr>
                <w:rFonts w:ascii="Times New Roman" w:hAnsi="Times New Roman" w:eastAsia="Times New Roman"/>
                <w:b w:val="0"/>
                <w:sz w:val="21"/>
              </w:rPr>
              <w:t>Контроль доступа по роли</w:t>
            </w:r>
          </w:p>
        </w:tc>
      </w:tr>
    </w:tbl>
    <w:p>
      <w:pPr>
        <w:pStyle w:val="FigCaption"/>
        <w:keepNext w:val="0"/>
        <w:keepLines/>
        <w:jc w:val="center"/>
      </w:pPr>
      <w:r>
        <w:t>Таблица 2 - Основные функциональные требования</w:t>
      </w:r>
    </w:p>
    <w:p>
      <w:r>
        <w:t>Нефункциональные требования привязаны к наблюдаемому поведению программы: запуск одной командой на двух ОС, сохранение записей после перезапуска, проверка допустимости полей и отказ в действиях за пределами роли. Для SQL-запросов предусмотрена передача пользовательских значений через параметры. Отдельный критерий - возможность выполнить тесты на временной БД, не затрагивая файл с данными локального пользователя.</w:t>
      </w:r>
    </w:p>
    <w:p>
      <w:r>
        <w:t>В качестве подтверждения качества выбраны действия, для которых можно установить однозначный ожидаемый результат. Например, новая заявка должна получить номер и начальный статус, запрещенный переход не должен менять строку в БД, а попытка просмотра чужой карточки должна завершиться отказом. Такое описание позволяет сопоставлять требования не с заявлениями разработчика, а с тестами и фактическим состоянием данных.</w:t>
      </w:r>
    </w:p>
    <w:p>
      <w:pPr>
        <w:pStyle w:val="Heading2"/>
      </w:pPr>
      <w:r>
        <w:t>1.4 Разработка предложений по архитектуре</w:t>
      </w:r>
    </w:p>
    <w:p>
      <w:r>
        <w:t>В прототипе выделены три границы ответственности: представление информации в браузере, выполнение предметных операций на сервере и сохранение данных в SQLite. Дополнительно вынесены вспомогательные средства проверки паролей и входных полей. Этот вариант выбран для того, чтобы правила назначения исполнителя или смены статуса можно было тестировать без запуска браузера, а изменение разметки страниц не затрагивало SQL-схему.</w:t>
      </w:r>
    </w:p>
    <w:p>
      <w:r>
        <w:t>Обработка обращения проходит по определенной цепочке. После отправки формы сервер устанавливает пользователя по сеансу, проверяет CSRF-токен и передает введенные значения предметной функции. Та проверяет правила операции и использует соединение с базой. Ответ отображается в HTML; для выгрузки реестра формируется CSV. Поскольку шаблон не имеет прямого доступа к таблицам, обход интерфейса не дает дополнительных прав на запись.</w:t>
      </w:r>
    </w:p>
    <w:p>
      <w:pPr>
        <w:keepNext/>
        <w:spacing w:before="160"/>
        <w:ind w:firstLine="0"/>
        <w:jc w:val="center"/>
      </w:pPr>
      <w:r>
        <w:drawing>
          <wp:inline xmlns:a="http://schemas.openxmlformats.org/drawingml/2006/main" xmlns:pic="http://schemas.openxmlformats.org/drawingml/2006/picture">
            <wp:extent cx="3816000" cy="436017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3816000" cy="4360171"/>
                    </a:xfrm>
                    <a:prstGeom prst="rect"/>
                  </pic:spPr>
                </pic:pic>
              </a:graphicData>
            </a:graphic>
          </wp:inline>
        </w:drawing>
      </w:r>
    </w:p>
    <w:p>
      <w:pPr>
        <w:pStyle w:val="FigCaption"/>
        <w:keepNext/>
        <w:jc w:val="center"/>
      </w:pPr>
      <w:r>
        <w:t>Рисунок 1 - Общая архитектура информационной системы</w:t>
      </w:r>
    </w:p>
    <w:p>
      <w:r>
        <w:t>При изучении границ модулей основной риск состоял в переносе проверок полномочий в разметку страницы. От такого варианта отказались: скрытая кнопка не препятствует отправке HTTP-запроса напрямую. Проверка роли выполняется в веб-слое, а ограничения переходов заявки повторно контролируются предметной функцией. Модуль БД отвечает за транзакции, но не принимает решения о правах пользователя. Такое разделение отражено в схемах и тестах проекта.</w:t>
      </w:r>
    </w:p>
    <w:p>
      <w:r>
        <w:t>Каталог данных определяется относительно корня проекта, а адрес сервера и порт доступны через параметры запуска. В результате один и тот же исходный код работает в каталогах с разными именами на Windows и Ubuntu. Файл с пользовательской базой находится в instance и исключен из версионирования; резервную копию также следует хранить вне публичного репозитория.</w:t>
      </w:r>
    </w:p>
    <w:p>
      <w:pPr>
        <w:pStyle w:val="Heading2"/>
      </w:pPr>
      <w:r>
        <w:t>1.5 Спецификация компонентов системы</w:t>
      </w:r>
    </w:p>
    <w:tbl>
      <w:tblPr>
        <w:tblStyle w:val="TableGrid"/>
        <w:tblW w:type="auto" w:w="0"/>
        <w:jc w:val="center"/>
        <w:tblLayout w:type="fixed"/>
        <w:tblLook w:firstColumn="1" w:firstRow="1" w:lastColumn="0" w:lastRow="0" w:noHBand="0" w:noVBand="1" w:val="04A0"/>
      </w:tblPr>
      <w:tblGrid>
        <w:gridCol w:w="1984"/>
        <w:gridCol w:w="3288"/>
        <w:gridCol w:w="3402"/>
      </w:tblGrid>
      <w:tr>
        <w:trPr>
          <w:cantSplit/>
          <w:tblHeader w:val="true"/>
          <w:tblHeader w:val="true"/>
          <w:cantSplit/>
        </w:trPr>
        <w:tc>
          <w:tcPr>
            <w:tcW w:type="dxa" w:w="1728"/>
            <w:vAlign w:val="center"/>
          </w:tcPr>
          <w:p>
            <w:pPr>
              <w:pStyle w:val="TableText"/>
              <w:spacing w:before="0" w:after="0" w:line="240" w:lineRule="auto"/>
              <w:jc w:val="center"/>
            </w:pPr>
            <w:r>
              <w:rPr>
                <w:rFonts w:ascii="Times New Roman" w:hAnsi="Times New Roman" w:eastAsia="Times New Roman"/>
                <w:b/>
                <w:sz w:val="21"/>
              </w:rPr>
              <w:t>Компонент</w:t>
            </w:r>
          </w:p>
        </w:tc>
        <w:tc>
          <w:tcPr>
            <w:tcW w:type="dxa" w:w="3600"/>
            <w:vAlign w:val="center"/>
          </w:tcPr>
          <w:p>
            <w:pPr>
              <w:pStyle w:val="TableText"/>
              <w:spacing w:before="0" w:after="0" w:line="240" w:lineRule="auto"/>
              <w:jc w:val="center"/>
            </w:pPr>
            <w:r>
              <w:rPr>
                <w:rFonts w:ascii="Times New Roman" w:hAnsi="Times New Roman" w:eastAsia="Times New Roman"/>
                <w:b/>
                <w:sz w:val="21"/>
              </w:rPr>
              <w:t>Назначение</w:t>
            </w:r>
          </w:p>
        </w:tc>
        <w:tc>
          <w:tcPr>
            <w:tcW w:type="dxa" w:w="3960"/>
            <w:vAlign w:val="center"/>
          </w:tcPr>
          <w:p>
            <w:pPr>
              <w:pStyle w:val="TableText"/>
              <w:spacing w:before="0" w:after="0" w:line="240" w:lineRule="auto"/>
              <w:jc w:val="center"/>
            </w:pPr>
            <w:r>
              <w:rPr>
                <w:rFonts w:ascii="Times New Roman" w:hAnsi="Times New Roman" w:eastAsia="Times New Roman"/>
                <w:b/>
                <w:sz w:val="21"/>
              </w:rPr>
              <w:t>Результат</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run.py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Единая точка запуска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Запуск сервера на обеих ОС</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db.py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Схема данных, транзакции</w:t>
            </w:r>
          </w:p>
        </w:tc>
        <w:tc>
          <w:tcPr>
            <w:tcW w:type="dxa" w:w="3960"/>
            <w:vAlign w:val="center"/>
          </w:tcPr>
          <w:p>
            <w:pPr>
              <w:pStyle w:val="TableText"/>
              <w:spacing w:before="0" w:after="0" w:line="240" w:lineRule="auto"/>
              <w:jc w:val="left"/>
            </w:pPr>
            <w:r>
              <w:rPr>
                <w:rFonts w:ascii="Times New Roman" w:hAnsi="Times New Roman" w:eastAsia="Times New Roman"/>
                <w:b w:val="0"/>
                <w:sz w:val="21"/>
              </w:rPr>
              <w:t>Хранение в SQLite</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security.py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Пароли, проверка полей, CSRF</w:t>
            </w:r>
          </w:p>
        </w:tc>
        <w:tc>
          <w:tcPr>
            <w:tcW w:type="dxa" w:w="3960"/>
            <w:vAlign w:val="center"/>
          </w:tcPr>
          <w:p>
            <w:pPr>
              <w:pStyle w:val="TableText"/>
              <w:spacing w:before="0" w:after="0" w:line="240" w:lineRule="auto"/>
              <w:jc w:val="left"/>
            </w:pPr>
            <w:r>
              <w:rPr>
                <w:rFonts w:ascii="Times New Roman" w:hAnsi="Times New Roman" w:eastAsia="Times New Roman"/>
                <w:b w:val="0"/>
                <w:sz w:val="21"/>
              </w:rPr>
              <w:t>Защита базовых операций</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service.py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Бизнес-правила заявок</w:t>
            </w:r>
          </w:p>
        </w:tc>
        <w:tc>
          <w:tcPr>
            <w:tcW w:type="dxa" w:w="3960"/>
            <w:vAlign w:val="center"/>
          </w:tcPr>
          <w:p>
            <w:pPr>
              <w:pStyle w:val="TableText"/>
              <w:spacing w:before="0" w:after="0" w:line="240" w:lineRule="auto"/>
              <w:jc w:val="left"/>
            </w:pPr>
            <w:r>
              <w:rPr>
                <w:rFonts w:ascii="Times New Roman" w:hAnsi="Times New Roman" w:eastAsia="Times New Roman"/>
                <w:b w:val="0"/>
                <w:sz w:val="21"/>
              </w:rPr>
              <w:t>Выполнение предметных операций</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web.py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Маршруты и права доступа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HTML-страницы и CSV</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templates/</w:t>
            </w:r>
          </w:p>
        </w:tc>
        <w:tc>
          <w:tcPr>
            <w:tcW w:type="dxa" w:w="3600"/>
            <w:vAlign w:val="center"/>
          </w:tcPr>
          <w:p>
            <w:pPr>
              <w:pStyle w:val="TableText"/>
              <w:spacing w:before="0" w:after="0" w:line="240" w:lineRule="auto"/>
              <w:jc w:val="left"/>
            </w:pPr>
            <w:r>
              <w:rPr>
                <w:rFonts w:ascii="Times New Roman" w:hAnsi="Times New Roman" w:eastAsia="Times New Roman"/>
                <w:b w:val="0"/>
                <w:sz w:val="21"/>
              </w:rPr>
              <w:t>Отображение данных</w:t>
            </w:r>
          </w:p>
        </w:tc>
        <w:tc>
          <w:tcPr>
            <w:tcW w:type="dxa" w:w="3960"/>
            <w:vAlign w:val="center"/>
          </w:tcPr>
          <w:p>
            <w:pPr>
              <w:pStyle w:val="TableText"/>
              <w:spacing w:before="0" w:after="0" w:line="240" w:lineRule="auto"/>
              <w:jc w:val="left"/>
            </w:pPr>
            <w:r>
              <w:rPr>
                <w:rFonts w:ascii="Times New Roman" w:hAnsi="Times New Roman" w:eastAsia="Times New Roman"/>
                <w:b w:val="0"/>
                <w:sz w:val="21"/>
              </w:rPr>
              <w:t>Формы и таблицы</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static/</w:t>
            </w:r>
          </w:p>
        </w:tc>
        <w:tc>
          <w:tcPr>
            <w:tcW w:type="dxa" w:w="3600"/>
            <w:vAlign w:val="center"/>
          </w:tcPr>
          <w:p>
            <w:pPr>
              <w:pStyle w:val="TableText"/>
              <w:spacing w:before="0" w:after="0" w:line="240" w:lineRule="auto"/>
              <w:jc w:val="left"/>
            </w:pPr>
            <w:r>
              <w:rPr>
                <w:rFonts w:ascii="Times New Roman" w:hAnsi="Times New Roman" w:eastAsia="Times New Roman"/>
                <w:b w:val="0"/>
                <w:sz w:val="21"/>
              </w:rPr>
              <w:t>Оформление интерфейса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Адаптивные стили</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tests/</w:t>
            </w:r>
          </w:p>
        </w:tc>
        <w:tc>
          <w:tcPr>
            <w:tcW w:type="dxa" w:w="3600"/>
            <w:vAlign w:val="center"/>
          </w:tcPr>
          <w:p>
            <w:pPr>
              <w:pStyle w:val="TableText"/>
              <w:spacing w:before="0" w:after="0" w:line="240" w:lineRule="auto"/>
              <w:jc w:val="left"/>
            </w:pPr>
            <w:r>
              <w:rPr>
                <w:rFonts w:ascii="Times New Roman" w:hAnsi="Times New Roman" w:eastAsia="Times New Roman"/>
                <w:b w:val="0"/>
                <w:sz w:val="21"/>
              </w:rPr>
              <w:t>Автоматизированная проверка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Воспроизводимые тесты</w:t>
            </w:r>
          </w:p>
        </w:tc>
      </w:tr>
    </w:tbl>
    <w:p>
      <w:pPr>
        <w:pStyle w:val="FigCaption"/>
        <w:keepNext w:val="0"/>
        <w:keepLines/>
        <w:jc w:val="center"/>
      </w:pPr>
      <w:r>
        <w:t>Таблица 3 - Архитектурная спецификация модулей</w:t>
      </w:r>
    </w:p>
    <w:p>
      <w:r>
        <w:t>Сценарии командной строки разделены по назначению: обычный запуск, создание структуры БД, создание администратора, восстановление доступа и заполнение отдельной демонстрационной базы. Первоначальный пароль возникает только при создании первой учетной записи, поэтому повторный запуск не может показать его снова. Для восстановления предусмотрена отдельная локальная операция смены пароля, не удаляющая пользователя или его заявки.</w:t>
      </w:r>
    </w:p>
    <w:p>
      <w:r>
        <w:t>Единая команда python run.py работает как точка входа, а не как привязка к конкретной операционной системе. Скрипт выбирает каталог виртуального окружения с учетом платформы, проверяет зависимости и после установки передает управление приложению. При уже подготовленном окружении повторная установка пакетов не выполняется. Это проверяется отдельно, поскольку неудобства первого запуска способны затруднить демонстрацию даже при исправной бизнес-логике.</w:t>
      </w:r>
    </w:p>
    <w:p>
      <w:pPr>
        <w:pStyle w:val="Heading2"/>
      </w:pPr>
      <w:r>
        <w:t>1.6 Выводы по первому разделу</w:t>
      </w:r>
    </w:p>
    <w:p>
      <w:r>
        <w:t>Аналитический этап привел к конкретному перечню проектных решений: хранить автора и объект обслуживания раздельно, ограничивать видимость заявок для заявителя, сохранять события при изменении карточки и проверять переходы между статусами. Не удалось подтвердить фактический порядок работы ИТ-службы МУИВ по внутренним документам; поэтому практическая оценка проведена относительно подготовленной предметной модели.</w:t>
      </w:r>
    </w:p>
    <w:p>
      <w:pPr>
        <w:pStyle w:val="Heading1"/>
      </w:pPr>
      <w:r>
        <w:t>2 ПРОЕКТИРОВАНИЕ И РАЗРАБОТКА СИСТЕМЫ</w:t>
      </w:r>
    </w:p>
    <w:p>
      <w:pPr>
        <w:pStyle w:val="Heading2"/>
      </w:pPr>
      <w:r>
        <w:t>2.1 Перечень выполняемых работ</w:t>
      </w:r>
    </w:p>
    <w:p>
      <w:r>
        <w:t>Порядок реализации строился вокруг зависимостей между результатами. Сначала были определены роли и допустимые статусы, поскольку без них нельзя однозначно задать ограничения таблиц. Затем спроектированы связи между заявками, пользователями и средствами защиты. После этого реализованы серверные операции, формы и проверочные сценарии. Завершающий этап включал повторный запуск приложения и проверку, что данные не исчезают при завершении процесса.</w:t>
      </w:r>
    </w:p>
    <w:tbl>
      <w:tblPr>
        <w:tblStyle w:val="TableGrid"/>
        <w:tblW w:type="auto" w:w="0"/>
        <w:jc w:val="center"/>
        <w:tblLayout w:type="fixed"/>
        <w:tblLook w:firstColumn="1" w:firstRow="1" w:lastColumn="0" w:lastRow="0" w:noHBand="0" w:noVBand="1" w:val="04A0"/>
      </w:tblPr>
      <w:tblGrid>
        <w:gridCol w:w="1757"/>
        <w:gridCol w:w="3685"/>
        <w:gridCol w:w="3458"/>
      </w:tblGrid>
      <w:tr>
        <w:trPr>
          <w:cantSplit/>
          <w:tblHeader w:val="true"/>
          <w:tblHeader w:val="true"/>
          <w:cantSplit/>
        </w:trPr>
        <w:tc>
          <w:tcPr>
            <w:tcW w:type="dxa" w:w="1584"/>
            <w:vAlign w:val="center"/>
          </w:tcPr>
          <w:p>
            <w:pPr>
              <w:pStyle w:val="TableText"/>
              <w:spacing w:before="0" w:after="0" w:line="240" w:lineRule="auto"/>
              <w:jc w:val="center"/>
            </w:pPr>
            <w:r>
              <w:rPr>
                <w:rFonts w:ascii="Times New Roman" w:hAnsi="Times New Roman" w:eastAsia="Times New Roman"/>
                <w:b/>
                <w:sz w:val="21"/>
              </w:rPr>
              <w:t>Этап</w:t>
            </w:r>
          </w:p>
        </w:tc>
        <w:tc>
          <w:tcPr>
            <w:tcW w:type="dxa" w:w="4536"/>
            <w:vAlign w:val="center"/>
          </w:tcPr>
          <w:p>
            <w:pPr>
              <w:pStyle w:val="TableText"/>
              <w:spacing w:before="0" w:after="0" w:line="240" w:lineRule="auto"/>
              <w:jc w:val="center"/>
            </w:pPr>
            <w:r>
              <w:rPr>
                <w:rFonts w:ascii="Times New Roman" w:hAnsi="Times New Roman" w:eastAsia="Times New Roman"/>
                <w:b/>
                <w:sz w:val="21"/>
              </w:rPr>
              <w:t>Содержание</w:t>
            </w:r>
          </w:p>
        </w:tc>
        <w:tc>
          <w:tcPr>
            <w:tcW w:type="dxa" w:w="3168"/>
            <w:vAlign w:val="center"/>
          </w:tcPr>
          <w:p>
            <w:pPr>
              <w:pStyle w:val="TableText"/>
              <w:spacing w:before="0" w:after="0" w:line="240" w:lineRule="auto"/>
              <w:jc w:val="center"/>
            </w:pPr>
            <w:r>
              <w:rPr>
                <w:rFonts w:ascii="Times New Roman" w:hAnsi="Times New Roman" w:eastAsia="Times New Roman"/>
                <w:b/>
                <w:sz w:val="21"/>
              </w:rPr>
              <w:t>Контрольный результат</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Аналитический</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Анализ требований, роли, сценарии</w:t>
            </w:r>
          </w:p>
        </w:tc>
        <w:tc>
          <w:tcPr>
            <w:tcW w:type="dxa" w:w="3168"/>
            <w:vAlign w:val="center"/>
          </w:tcPr>
          <w:p>
            <w:pPr>
              <w:pStyle w:val="TableText"/>
              <w:spacing w:before="0" w:after="0" w:line="240" w:lineRule="auto"/>
              <w:jc w:val="left"/>
            </w:pPr>
            <w:r>
              <w:rPr>
                <w:rFonts w:ascii="Times New Roman" w:hAnsi="Times New Roman" w:eastAsia="Times New Roman"/>
                <w:b w:val="0"/>
                <w:sz w:val="21"/>
              </w:rPr>
              <w:t>Спецификация функций</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Проектный</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Архитектура, структура БД, статусы</w:t>
            </w:r>
          </w:p>
        </w:tc>
        <w:tc>
          <w:tcPr>
            <w:tcW w:type="dxa" w:w="3168"/>
            <w:vAlign w:val="center"/>
          </w:tcPr>
          <w:p>
            <w:pPr>
              <w:pStyle w:val="TableText"/>
              <w:spacing w:before="0" w:after="0" w:line="240" w:lineRule="auto"/>
              <w:jc w:val="left"/>
            </w:pPr>
            <w:r>
              <w:rPr>
                <w:rFonts w:ascii="Times New Roman" w:hAnsi="Times New Roman" w:eastAsia="Times New Roman"/>
                <w:b w:val="0"/>
                <w:sz w:val="21"/>
              </w:rPr>
              <w:t>Схемы и ограничения</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Реализация</w:t>
            </w:r>
          </w:p>
        </w:tc>
        <w:tc>
          <w:tcPr>
            <w:tcW w:type="dxa" w:w="4536"/>
            <w:vAlign w:val="center"/>
          </w:tcPr>
          <w:p>
            <w:pPr>
              <w:pStyle w:val="TableText"/>
              <w:spacing w:before="0" w:after="0" w:line="240" w:lineRule="auto"/>
              <w:jc w:val="left"/>
            </w:pPr>
            <w:r>
              <w:rPr>
                <w:rFonts w:ascii="Times New Roman" w:hAnsi="Times New Roman" w:eastAsia="Times New Roman"/>
                <w:b w:val="0"/>
                <w:sz w:val="21"/>
              </w:rPr>
              <w:t>Маршруты, сервисы, шаблоны</w:t>
            </w:r>
          </w:p>
        </w:tc>
        <w:tc>
          <w:tcPr>
            <w:tcW w:type="dxa" w:w="3168"/>
            <w:vAlign w:val="center"/>
          </w:tcPr>
          <w:p>
            <w:pPr>
              <w:pStyle w:val="TableText"/>
              <w:spacing w:before="0" w:after="0" w:line="240" w:lineRule="auto"/>
              <w:jc w:val="left"/>
            </w:pPr>
            <w:r>
              <w:rPr>
                <w:rFonts w:ascii="Times New Roman" w:hAnsi="Times New Roman" w:eastAsia="Times New Roman"/>
                <w:b w:val="0"/>
                <w:sz w:val="21"/>
              </w:rPr>
              <w:t>Работающее приложение</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Контроль</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Автоматические и ручные проверки</w:t>
            </w:r>
          </w:p>
        </w:tc>
        <w:tc>
          <w:tcPr>
            <w:tcW w:type="dxa" w:w="3168"/>
            <w:vAlign w:val="center"/>
          </w:tcPr>
          <w:p>
            <w:pPr>
              <w:pStyle w:val="TableText"/>
              <w:spacing w:before="0" w:after="0" w:line="240" w:lineRule="auto"/>
              <w:jc w:val="left"/>
            </w:pPr>
            <w:r>
              <w:rPr>
                <w:rFonts w:ascii="Times New Roman" w:hAnsi="Times New Roman" w:eastAsia="Times New Roman"/>
                <w:b w:val="0"/>
                <w:sz w:val="21"/>
              </w:rPr>
              <w:t>Протокол тестирования</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Оформление</w:t>
            </w:r>
          </w:p>
        </w:tc>
        <w:tc>
          <w:tcPr>
            <w:tcW w:type="dxa" w:w="4536"/>
            <w:vAlign w:val="center"/>
          </w:tcPr>
          <w:p>
            <w:pPr>
              <w:pStyle w:val="TableText"/>
              <w:spacing w:before="0" w:after="0" w:line="240" w:lineRule="auto"/>
              <w:jc w:val="left"/>
            </w:pPr>
            <w:r>
              <w:rPr>
                <w:rFonts w:ascii="Times New Roman" w:hAnsi="Times New Roman" w:eastAsia="Times New Roman"/>
                <w:b w:val="0"/>
                <w:sz w:val="21"/>
              </w:rPr>
              <w:t>Инструкции и отчет</w:t>
            </w:r>
          </w:p>
        </w:tc>
        <w:tc>
          <w:tcPr>
            <w:tcW w:type="dxa" w:w="3168"/>
            <w:vAlign w:val="center"/>
          </w:tcPr>
          <w:p>
            <w:pPr>
              <w:pStyle w:val="TableText"/>
              <w:spacing w:before="0" w:after="0" w:line="240" w:lineRule="auto"/>
              <w:jc w:val="left"/>
            </w:pPr>
            <w:r>
              <w:rPr>
                <w:rFonts w:ascii="Times New Roman" w:hAnsi="Times New Roman" w:eastAsia="Times New Roman"/>
                <w:b w:val="0"/>
                <w:sz w:val="21"/>
              </w:rPr>
              <w:t>Комплект материалов</w:t>
            </w:r>
          </w:p>
        </w:tc>
      </w:tr>
    </w:tbl>
    <w:p>
      <w:pPr>
        <w:pStyle w:val="FigCaption"/>
        <w:keepNext w:val="0"/>
        <w:keepLines/>
        <w:jc w:val="center"/>
      </w:pPr>
      <w:r>
        <w:t>Таблица 4 - Содержание и результаты проектных работ</w:t>
      </w:r>
    </w:p>
    <w:p>
      <w:r>
        <w:t>Тестирование велось на самостоятельной временной базе, а не в рабочем файле, расположенном в instance. Это позволяет выполнять сценарии, которые заведомо должны завершаться ошибкой: попытки некорректных переходов, нарушение ограничений роли и передачу неверных данных. После завершения теста временные записи не участвуют в последующем локальном запуске системы.</w:t>
      </w:r>
    </w:p>
    <w:p>
      <w:pPr>
        <w:pStyle w:val="Heading2"/>
      </w:pPr>
      <w:r>
        <w:t>2.2 Техническое задание</w:t>
      </w:r>
    </w:p>
    <w:p>
      <w:r>
        <w:t>Назначение информационной системы определяется по выходному результату операции: каждому обращению должен соответствовать один устойчивый идентификатор и просматриваемая история исполнения. В состав прототипа входят реестр заявок, учет пользователей, справочник средств защиты и журнал событий. Подробное техническое задание вынесено в отдельный документ; его подготовка в 2026 году не означает, что документ был согласован в период практики 2024 года.</w:t>
      </w:r>
    </w:p>
    <w:p>
      <w:r>
        <w:t>При создании обращения пользователь вводит тему, описание, категорию и приоритет; объект защиты выбирается из справочника при наличии нужной записи. Автор определяется по сеансу и не передается как доверенное поле формы. Исполнитель и статус изменяются в отдельной операции, доступной специалисту. Такое разделение входных данных не позволяет заявителю самостоятельно назначить себя исполнителем или создать заявку сразу в состоянии «Закрыта».</w:t>
      </w:r>
    </w:p>
    <w:p>
      <w:r>
        <w:t>Состояния рассматриваются как ограниченный граф, а не как произвольный список для редактирования. Из «Новой» заявка может перейти в работу либо быть приостановлена; из «В работе» возможны приостановка и решение; решенную заявку можно вернуть в работу или закрыть. У закрытой заявки дальнейших переходов нет. Проверка допустимости выполняется до SQL-обновления, поэтому отказ не должен оставлять частично измененную запись.</w:t>
      </w:r>
    </w:p>
    <w:p>
      <w:pPr>
        <w:keepNext/>
        <w:spacing w:before="160"/>
        <w:ind w:firstLine="0"/>
        <w:jc w:val="center"/>
      </w:pPr>
      <w:r>
        <w:drawing>
          <wp:inline xmlns:a="http://schemas.openxmlformats.org/drawingml/2006/main" xmlns:pic="http://schemas.openxmlformats.org/drawingml/2006/picture">
            <wp:extent cx="4860000" cy="1697450"/>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4860000" cy="1697450"/>
                    </a:xfrm>
                    <a:prstGeom prst="rect"/>
                  </pic:spPr>
                </pic:pic>
              </a:graphicData>
            </a:graphic>
          </wp:inline>
        </w:drawing>
      </w:r>
    </w:p>
    <w:p>
      <w:pPr>
        <w:pStyle w:val="FigCaption"/>
        <w:keepNext/>
        <w:jc w:val="center"/>
      </w:pPr>
      <w:r>
        <w:t>Рисунок 2 - Модель переходов состояний заявки</w:t>
      </w:r>
    </w:p>
    <w:p>
      <w:r>
        <w:t>База данных хранит пять групп сведений: учетные записи, средства защиты, заявки, комментарии и события. Поля связи позволяют получить автора, назначенного специалиста и историю одной заявки без повторения ФИО в каждой записи. Ограничения внешних ключей препятствуют появлению обращений с несуществующим автором. Для демонстрационного режима используется SQLite, поскольку ее схема и ограничения доступны для непосредственного тестирования.</w:t>
      </w:r>
    </w:p>
    <w:p>
      <w:r>
        <w:t>Надежность прототипа проверяется по отказным ситуациям. При ошибке входных значений операция не должна создавать запись; при неверном статусе существующие данные должны остаться без изменений. Для паролей применяется соль и вычисление проверочного значения, а изменяющие веб-формы проверяются на наличие CSRF-токена. Эти меры относятся к реализованным механизмам приложения и не заменяют организационную защиту сервера и резервных копий.</w:t>
      </w:r>
    </w:p>
    <w:p>
      <w:r>
        <w:t>Для проверки приемлемости функций подготовлены сценарии, каждый из которых содержит действие и наблюдаемый результат. Среди них регистрация заявки, назначение специалиста, повторное открытие карточки, отказ заявителю при просмотре чужой записи и сохранение истории после изменения статуса. Автоматизированные тесты подтверждают программное поведение; пользовательская приемка сотрудниками МУИВ документально не представлена.</w:t>
      </w:r>
    </w:p>
    <w:p>
      <w:pPr/>
      <w:r>
        <w:t>Отдельный файл технического задания включает назначение, ожидаемые функции, требования к данным и защите, порядок испытаний и ограничения эксплуатационного режима. Он служит проектной спецификацией прототипа 2026 года. Для утверждения в качестве документа заказчика потребовались бы согласованные организационные требования, перечень имеющихся ИС и подпись уполномоченного лица. Без этого статус документа остается проектным.</w:t>
      </w:r>
    </w:p>
    <w:p>
      <w:pPr>
        <w:pStyle w:val="Heading2"/>
      </w:pPr>
      <w:r>
        <w:t>2.3 Проектирование пользовательского интерфейса</w:t>
      </w:r>
    </w:p>
    <w:p>
      <w:r>
        <w:t>При проектировании страниц учитывалась частота действий пользователя. После входа специалисту нужен быстрый доступ к обращениям, тогда как при регистрации заявки важно исключить неоднозначность полей. Поэтому боковая навигация отделяет обзор, заявки, средства защиты и доступные по роли административные разделы. В формах названия полей вынесены над элементами ввода, а сообщения об ошибках возвращаются рядом с рабочим сценарием.</w:t>
      </w:r>
    </w:p>
    <w:p>
      <w:r>
        <w:t>Показатели обзорной страницы рассчитаны для ответа на четыре конкретных вопроса: сколько обращений создано, сколько еще требуют действий, сколько завершено и есть ли незакрытые заявки критического приоритета. Эти значения рассчитываются отдельным SQL-запросом, а не по ограниченному списку последних записей. Поэтому при увеличении реестра за пределы числа строк на странице показатели не должны становиться неполными.</w:t>
      </w:r>
    </w:p>
    <w:p>
      <w:pPr>
        <w:keepNext/>
        <w:spacing w:before="160"/>
        <w:ind w:firstLine="0"/>
        <w:jc w:val="center"/>
      </w:pPr>
      <w:r>
        <w:drawing>
          <wp:inline xmlns:a="http://schemas.openxmlformats.org/drawingml/2006/main" xmlns:pic="http://schemas.openxmlformats.org/drawingml/2006/picture">
            <wp:extent cx="5400000" cy="3393243"/>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00000" cy="3393243"/>
                    </a:xfrm>
                    <a:prstGeom prst="rect"/>
                  </pic:spPr>
                </pic:pic>
              </a:graphicData>
            </a:graphic>
          </wp:inline>
        </w:drawing>
      </w:r>
    </w:p>
    <w:p>
      <w:pPr>
        <w:pStyle w:val="FigCaption"/>
        <w:keepNext/>
        <w:jc w:val="center"/>
      </w:pPr>
      <w:r>
        <w:t>Рисунок 3 - Панель управления системой учета заявок</w:t>
      </w:r>
    </w:p>
    <w:p>
      <w:r>
        <w:t>Форма обращения не предлагает пользователю управлять полями, которые должны определяться системой. При сохранении сервер подставляет автора, дату и начальный статус самостоятельно. Для описания проблемы предусмотрено отдельное многострочное поле, а категория и приоритет ограничены списками допустимых значений. Такое устройство формы согласовано с проверками сервисного слоя и схемой данных.</w:t>
      </w:r>
    </w:p>
    <w:p>
      <w:r>
        <w:t>В карточке заявки сведения о проблеме и ход ее решения представлены раздельно. В основной части сохраняется исходное описание, справа доступны состояние и назначенный исполнитель, ниже выводятся комментарии и история событий. При проверке рассматривается не только наличие этих блоков, но и соответствие прав: заявитель видит собственную карточку, специалист может изменять состояние, а административные операции не должны становиться доступны при прямом обращении к URL.</w:t>
      </w:r>
    </w:p>
    <w:p>
      <w:pPr>
        <w:keepNext/>
        <w:spacing w:before="160"/>
        <w:ind w:firstLine="0"/>
        <w:jc w:val="center"/>
      </w:pPr>
      <w:r>
        <w:drawing>
          <wp:inline xmlns:a="http://schemas.openxmlformats.org/drawingml/2006/main" xmlns:pic="http://schemas.openxmlformats.org/drawingml/2006/picture">
            <wp:extent cx="5400000" cy="3506351"/>
            <wp:docPr id="4" name="Picture 4"/>
            <wp:cNvGraphicFramePr>
              <a:graphicFrameLocks noChangeAspect="1"/>
            </wp:cNvGraphicFramePr>
            <a:graphic>
              <a:graphicData uri="http://schemas.openxmlformats.org/drawingml/2006/picture">
                <pic:pic>
                  <pic:nvPicPr>
                    <pic:cNvPr id="0" name="ticket.png"/>
                    <pic:cNvPicPr/>
                  </pic:nvPicPr>
                  <pic:blipFill>
                    <a:blip r:embed="rId13"/>
                    <a:stretch>
                      <a:fillRect/>
                    </a:stretch>
                  </pic:blipFill>
                  <pic:spPr>
                    <a:xfrm>
                      <a:off x="0" y="0"/>
                      <a:ext cx="5400000" cy="3506351"/>
                    </a:xfrm>
                    <a:prstGeom prst="rect"/>
                  </pic:spPr>
                </pic:pic>
              </a:graphicData>
            </a:graphic>
          </wp:inline>
        </w:drawing>
      </w:r>
    </w:p>
    <w:p>
      <w:pPr>
        <w:pStyle w:val="FigCaption"/>
        <w:keepNext/>
        <w:jc w:val="center"/>
      </w:pPr>
      <w:r>
        <w:t>Рисунок 4 - Карточка обращения с историей обработки</w:t>
      </w:r>
    </w:p>
    <w:p>
      <w:r>
        <w:t>Отдельный справочник средств защиты введен для исключения повторного ввода названия оборудования в каждую заявку. Инвентарный номер используется как уникальный идентификатор в справочнике, а в заявке хранится ссылка на запись. Благодаря этому несколько обращений можно сопоставить с одним объектом. Возможность вести сам справочник предоставлена администратору; остальные роли используют его при создании и просмотре обращений.</w:t>
      </w:r>
    </w:p>
    <w:p>
      <w:pPr>
        <w:keepNext/>
        <w:spacing w:before="160"/>
        <w:ind w:firstLine="0"/>
        <w:jc w:val="center"/>
      </w:pPr>
      <w:r>
        <w:drawing>
          <wp:inline xmlns:a="http://schemas.openxmlformats.org/drawingml/2006/main" xmlns:pic="http://schemas.openxmlformats.org/drawingml/2006/picture">
            <wp:extent cx="5400000" cy="3393243"/>
            <wp:docPr id="5" name="Picture 5"/>
            <wp:cNvGraphicFramePr>
              <a:graphicFrameLocks noChangeAspect="1"/>
            </wp:cNvGraphicFramePr>
            <a:graphic>
              <a:graphicData uri="http://schemas.openxmlformats.org/drawingml/2006/picture">
                <pic:pic>
                  <pic:nvPicPr>
                    <pic:cNvPr id="0" name="assets.png"/>
                    <pic:cNvPicPr/>
                  </pic:nvPicPr>
                  <pic:blipFill>
                    <a:blip r:embed="rId14"/>
                    <a:stretch>
                      <a:fillRect/>
                    </a:stretch>
                  </pic:blipFill>
                  <pic:spPr>
                    <a:xfrm>
                      <a:off x="0" y="0"/>
                      <a:ext cx="5400000" cy="3393243"/>
                    </a:xfrm>
                    <a:prstGeom prst="rect"/>
                  </pic:spPr>
                </pic:pic>
              </a:graphicData>
            </a:graphic>
          </wp:inline>
        </w:drawing>
      </w:r>
    </w:p>
    <w:p>
      <w:pPr>
        <w:pStyle w:val="FigCaption"/>
        <w:keepNext/>
        <w:jc w:val="center"/>
      </w:pPr>
      <w:r>
        <w:t>Рисунок 5 - Реестр средств защиты информации</w:t>
      </w:r>
    </w:p>
    <w:p>
      <w:r>
        <w:t>Данные, введенные пользователем, возвращаются на страницу как текст шаблона Jinja2. Поэтому при отображении тем и комментариев важно не отключать экранирование HTML. В отдельном тесте в название заявки передается строка с разметкой; ожидаемый результат - отсутствие исполнения кода страницы. Визуальный стиль интерфейса не рассматривается как механизм защиты: проверка прав находится на сервере.</w:t>
      </w:r>
    </w:p>
    <w:p>
      <w:pPr/>
      <w:r>
        <w:t>Сценарии проверки интерфейса различаются по ролям. Для заявителя главным результатом считается доступ только к собственным обращениям, для специалиста - корректная обработка чужих заявок, для администратора - работа с пользователями и справочником. Автоматические тесты проверяют разрешения маршрутов и действия сервиса. Факт согласования удобства интерфейса конечными пользователями не заявляется без отдельного протокола приемки.</w:t>
      </w:r>
    </w:p>
    <w:p>
      <w:pPr>
        <w:pStyle w:val="Heading2"/>
      </w:pPr>
      <w:r>
        <w:t>2.4 Проектирование базы данных</w:t>
      </w:r>
    </w:p>
    <w:p>
      <w:r>
        <w:t>Пять таблиц выбраны не по количеству страниц интерфейса, а по самостоятельности объектов учета. Пользователь может быть автором одной заявки и исполнителем другой, поэтому оба отношения хранятся в tickets как ссылки на users. Средство защиты выделено в assets, чтобы не дублировать его инвентарные сведения. Комментарии вынесены в отдельные записи, а события аудита сохраняют информацию о действиях независимо от текущего состояния карточки.</w:t>
      </w:r>
    </w:p>
    <w:p>
      <w:pPr>
        <w:keepNext/>
        <w:spacing w:before="160"/>
        <w:ind w:firstLine="0"/>
        <w:jc w:val="center"/>
      </w:pPr>
      <w:r>
        <w:drawing>
          <wp:inline xmlns:a="http://schemas.openxmlformats.org/drawingml/2006/main" xmlns:pic="http://schemas.openxmlformats.org/drawingml/2006/picture">
            <wp:extent cx="5400000" cy="1546803"/>
            <wp:docPr id="6" name="Picture 6"/>
            <wp:cNvGraphicFramePr>
              <a:graphicFrameLocks noChangeAspect="1"/>
            </wp:cNvGraphicFramePr>
            <a:graphic>
              <a:graphicData uri="http://schemas.openxmlformats.org/drawingml/2006/picture">
                <pic:pic>
                  <pic:nvPicPr>
                    <pic:cNvPr id="0" name="database.png"/>
                    <pic:cNvPicPr/>
                  </pic:nvPicPr>
                  <pic:blipFill>
                    <a:blip r:embed="rId15"/>
                    <a:stretch>
                      <a:fillRect/>
                    </a:stretch>
                  </pic:blipFill>
                  <pic:spPr>
                    <a:xfrm>
                      <a:off x="0" y="0"/>
                      <a:ext cx="5400000" cy="1546803"/>
                    </a:xfrm>
                    <a:prstGeom prst="rect"/>
                  </pic:spPr>
                </pic:pic>
              </a:graphicData>
            </a:graphic>
          </wp:inline>
        </w:drawing>
      </w:r>
    </w:p>
    <w:p>
      <w:pPr>
        <w:pStyle w:val="FigCaption"/>
        <w:keepNext/>
        <w:jc w:val="center"/>
      </w:pPr>
      <w:r>
        <w:t>Рисунок 6 - Логическая схема базы данных системы</w:t>
      </w:r>
    </w:p>
    <w:p>
      <w:r>
        <w:t>Главная связь схемы - от пользователя к множеству заявок. Для назначения исполнителя предусмотрен отдельный необязательный внешний ключ: новая заявка еще может не иметь ответственного. Комментарий обязательно относится к существующему обращению и автору. Событие истории связано с заявкой, однако отдельные административные действия, такие как локальная смена пароля, могут не иметь идентификатора заявки. Эти различия учтены в правилах NULL и внешних ключах.</w:t>
      </w:r>
    </w:p>
    <w:tbl>
      <w:tblPr>
        <w:tblStyle w:val="TableGrid"/>
        <w:tblW w:type="auto" w:w="0"/>
        <w:jc w:val="center"/>
        <w:tblLayout w:type="fixed"/>
        <w:tblLook w:firstColumn="1" w:firstRow="1" w:lastColumn="0" w:lastRow="0" w:noHBand="0" w:noVBand="1" w:val="04A0"/>
      </w:tblPr>
      <w:tblGrid>
        <w:gridCol w:w="2154"/>
        <w:gridCol w:w="1701"/>
        <w:gridCol w:w="4535"/>
      </w:tblGrid>
      <w:tr>
        <w:trPr>
          <w:cantSplit/>
          <w:tblHeader w:val="true"/>
          <w:tblHeader w:val="true"/>
          <w:cantSplit/>
        </w:trPr>
        <w:tc>
          <w:tcPr>
            <w:tcW w:type="dxa" w:w="1944"/>
            <w:vAlign w:val="center"/>
          </w:tcPr>
          <w:p>
            <w:pPr>
              <w:pStyle w:val="TableText"/>
              <w:spacing w:before="0" w:after="0" w:line="240" w:lineRule="auto"/>
              <w:jc w:val="center"/>
            </w:pPr>
            <w:r>
              <w:rPr>
                <w:rFonts w:ascii="Times New Roman" w:hAnsi="Times New Roman" w:eastAsia="Times New Roman"/>
                <w:b/>
                <w:sz w:val="21"/>
              </w:rPr>
              <w:t>Таблица</w:t>
            </w:r>
          </w:p>
        </w:tc>
        <w:tc>
          <w:tcPr>
            <w:tcW w:type="dxa" w:w="1728"/>
            <w:vAlign w:val="center"/>
          </w:tcPr>
          <w:p>
            <w:pPr>
              <w:pStyle w:val="TableText"/>
              <w:spacing w:before="0" w:after="0" w:line="240" w:lineRule="auto"/>
              <w:jc w:val="center"/>
            </w:pPr>
            <w:r>
              <w:rPr>
                <w:rFonts w:ascii="Times New Roman" w:hAnsi="Times New Roman" w:eastAsia="Times New Roman"/>
                <w:b/>
                <w:sz w:val="21"/>
              </w:rPr>
              <w:t>Первичный ключ</w:t>
            </w:r>
          </w:p>
        </w:tc>
        <w:tc>
          <w:tcPr>
            <w:tcW w:type="dxa" w:w="5688"/>
            <w:vAlign w:val="center"/>
          </w:tcPr>
          <w:p>
            <w:pPr>
              <w:pStyle w:val="TableText"/>
              <w:spacing w:before="0" w:after="0" w:line="240" w:lineRule="auto"/>
              <w:jc w:val="center"/>
            </w:pPr>
            <w:r>
              <w:rPr>
                <w:rFonts w:ascii="Times New Roman" w:hAnsi="Times New Roman" w:eastAsia="Times New Roman"/>
                <w:b/>
                <w:sz w:val="21"/>
              </w:rPr>
              <w:t>Основные внешние ключи</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users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нет</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assets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нет</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tickets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author_id, assignee_id, asset_id</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comments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ticket_id, author_id</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audit_events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ticket_id, actor_id</w:t>
            </w:r>
          </w:p>
        </w:tc>
      </w:tr>
    </w:tbl>
    <w:p>
      <w:pPr>
        <w:pStyle w:val="FigCaption"/>
        <w:keepNext w:val="0"/>
        <w:keepLines/>
        <w:jc w:val="center"/>
      </w:pPr>
      <w:r>
        <w:t>Таблица 5 - Ключи сущностей базы данных</w:t>
      </w:r>
    </w:p>
    <w:p>
      <w:r>
        <w:t>Ограничения схемы применены там, где они предотвращают потерю смысла данных. Логин и инвентарный номер не могут повторяться; роль, приоритет, категория и статус выбираются только из заданных значений. Запись заявки без автора запрещена внешним ключом. Отдельно сервис проверяет допустимость переходов между состояниями, поскольку простой список разрешенных статусов в SQLite не отражает порядок обработки.</w:t>
      </w:r>
    </w:p>
    <w:p>
      <w:r>
        <w:t>Индексы созданы под фактические обращения к базе: выборку заявок по автору, отбор по статусу и поиск истории конкретного обращения. Они не ускоряют все запросы автоматически; при изменении нагрузки их состав потребует повторной оценки. Для текущего прототипа обоснование ограничено имеющимися фильтрами и маршрутами приложения, а не результатами нагрузочного испытания, которого не проводилось.</w:t>
      </w:r>
    </w:p>
    <w:p>
      <w:r>
        <w:t>Операции изменения данных выполняются внутри явной транзакции. Например, после обновления статуса должна сохраниться запись события аудита; в случае ошибки требуется отменить обе операции. Это особенно важно для восстановления истории: ситуация, когда статус изменился, а событие не записано, делала бы журнал неполным. Проверки целостности в тестах выполняются на отдельных экземплярах базы.</w:t>
      </w:r>
    </w:p>
    <w:p>
      <w:pPr>
        <w:pStyle w:val="Heading2"/>
      </w:pPr>
      <w:r>
        <w:t>2.5 Реализация программного обеспечения</w:t>
      </w:r>
    </w:p>
    <w:p>
      <w:r>
        <w:t>В исходном коде HTTP-обработчики не содержат всю предметную логику. Маршрут принимает запрос и собирает значения формы, функция сервиса проверяет правила, а модуль хранения формирует соединение с SQLite. Такой подход выбран из-за необходимости тестировать действия пользователя без запуска браузера. Шаблоны Jinja2 отвечают за представление данных, но не выполняют операции их изменения напрямую.</w:t>
      </w:r>
    </w:p>
    <w:p>
      <w:r>
        <w:t>При создании заявки вначале проверяются значения, которые нельзя исправить после записи без дополнительной операции: наличие темы и описания, их длина, допустимые категория и приоритет. Если пользователь указал объект обслуживания, его существование проверяется по справочнику. Только после этого добавляются заявка и событие регистрации. Такая последовательность исключает появление «пустых» карточек при обычных ошибках ввода.</w:t>
      </w:r>
    </w:p>
    <w:p>
      <w:r>
        <w:t>Особенность обработки состояний состоит в том, что разрешенный для специалиста выбор статуса еще не означает разрешенный переход. Сервис извлекает текущую запись, сопоставляет новый статус с таблицей переходов и отдельно проверяет, можно ли назначить выбранного исполнителя. Если условия не выполнены, транзакция не фиксируется. В тестах предусмотрен пример попытки перевести заявку из «Новой» непосредственно в «Закрыта».</w:t>
      </w:r>
    </w:p>
    <w:p>
      <w:r>
        <w:t>При создании учетной записи пароль преобразуется в проверочное значение PBKDF2-HMAC-SHA256 с индивидуально сгенерированной солью. Повторная обработка одинакового пароля дает разные хеши, что проверяется тестом. При входе вычисленное значение сравнивается с сохраненным без раскрытия исходного пароля. Механизм выбран в рамках локального прототипа; для промышленного сервера параметры хранения и политики учетных записей необходимо оценивать дополнительно [7].</w:t>
      </w:r>
    </w:p>
    <w:p>
      <w:r>
        <w:t>При передаче изменяющей формы сервер сопоставляет CSRF-токен запроса со значением, хранимым в сессии. При несовпадении операция отклоняется до обращения к предметной функции. Для проверки достаточно отправить форму без токена и убедиться, что сервер возвращает отказ, а данные не изменяются. Этот механизм снижает риск межсайтовой подделки запроса, но не заменяет настройку HTTPS и безопасного окружения [8].</w:t>
      </w:r>
    </w:p>
    <w:p>
      <w:r>
        <w:t>Экспорт заявок задуман как способ проверить данные вне веб-интерфейса. Файл формируется в CSV с разделителем «;» и кодировкой UTF-8, пригодной для распространенных табличных редакторов. При этом строки, начинающиеся с управляющих для электронных таблиц символов, обрабатываются как текст, а не как формулы. Доступ к выгрузке определяется ролью пользователя. Экспорт не является прямым подключением к корпоративной ИС.</w:t>
      </w:r>
    </w:p>
    <w:p>
      <w:r>
        <w:t>Один файл запуска устраняет необходимость поддерживать разные команды и инструкции для Windows и Ubuntu. При первом обращении он подготавливает окружение с нужными библиотеками, после чего запускает приложение. Для последующих запусков уже установленные пакеты не требуют повторного обращения к менеджеру зависимостей. Проверка переносимости входит в автоматический конвейер для трех версий Python на обеих операционных системах.</w:t>
      </w:r>
    </w:p>
    <w:p>
      <w:r>
        <w:t>Первый запуск выполняется по правилу минимальной первоначальной конфигурации. Если таблица пользователей пуста, создается администратор, а случайный пароль выводится в терминал один раз. При дальнейших запусках пароль не печатается и не заменяется автоматически. Для ситуации его утраты предусмотрена локальная команда reset-password, изменяющая существующее проверочное значение. Демонстрационные логины с известным паролем создаются только в отдельной тестовой базе.</w:t>
      </w:r>
    </w:p>
    <w:p>
      <w:pPr>
        <w:pStyle w:val="Heading2"/>
      </w:pPr>
      <w:r>
        <w:t>2.6 Верификация и тестирование</w:t>
      </w:r>
    </w:p>
    <w:p>
      <w:r>
        <w:t>Комплект тестов проверяет не только отдельные функции, но и согласованность HTTP-маршрутов, сервиса и базы. Для каждого сценария используется временное хранилище, что позволяет повторять проверки и получать одинаковые условия старта. Успешность определяется сравнением фактического результата с конкретным ожиданием: запись создана, статус соответствует разрешенному переходу или операция отклонена без изменения данных.</w:t>
      </w:r>
    </w:p>
    <w:p>
      <w:pPr>
        <w:jc w:val="both"/>
      </w:pPr>
      <w:r>
        <w:t>В проверенном коммите октября 2026 года выполняются 37 автоматизированных тестов. Конвейер GitHub Actions запускает их в шести сочетаниях: Windows и Ubuntu с Python 3.10, 3.12 и 3.13. Во всех проверенных заданиях конвейер завершился успешно. Это подтверждает воспроизводимость предусмотренных тестами действий, но не измеряет производительность под высокой нагрузкой и не заменяет приемочные испытания в инфраструктуре МУИВ.</w:t>
      </w:r>
    </w:p>
    <w:tbl>
      <w:tblPr>
        <w:tblStyle w:val="TableGrid"/>
        <w:tblW w:type="auto" w:w="0"/>
        <w:jc w:val="center"/>
        <w:tblLayout w:type="fixed"/>
        <w:tblLook w:firstColumn="1" w:firstRow="1" w:lastColumn="0" w:lastRow="0" w:noHBand="0" w:noVBand="1" w:val="04A0"/>
      </w:tblPr>
      <w:tblGrid>
        <w:gridCol w:w="2419"/>
        <w:gridCol w:w="5270"/>
        <w:gridCol w:w="1584"/>
      </w:tblGrid>
      <w:tr>
        <w:trPr>
          <w:cantSplit/>
          <w:tblHeader w:val="true"/>
          <w:tblHeader w:val="true"/>
          <w:cantSplit/>
        </w:trPr>
        <w:tc>
          <w:tcPr>
            <w:tcW w:type="dxa" w:w="2419"/>
            <w:vAlign w:val="center"/>
          </w:tcPr>
          <w:p>
            <w:pPr>
              <w:pStyle w:val="TableText"/>
              <w:spacing w:before="0" w:after="0" w:line="240" w:lineRule="auto"/>
              <w:jc w:val="center"/>
            </w:pPr>
            <w:r>
              <w:rPr>
                <w:rFonts w:ascii="Times New Roman" w:hAnsi="Times New Roman" w:eastAsia="Times New Roman"/>
                <w:b/>
                <w:sz w:val="20"/>
              </w:rPr>
              <w:t>Группа тестов</w:t>
            </w:r>
          </w:p>
        </w:tc>
        <w:tc>
          <w:tcPr>
            <w:tcW w:type="dxa" w:w="5270"/>
            <w:vAlign w:val="center"/>
          </w:tcPr>
          <w:p>
            <w:pPr>
              <w:pStyle w:val="TableText"/>
              <w:spacing w:before="0" w:after="0" w:line="240" w:lineRule="auto"/>
              <w:jc w:val="center"/>
            </w:pPr>
            <w:r>
              <w:rPr>
                <w:rFonts w:ascii="Times New Roman" w:hAnsi="Times New Roman" w:eastAsia="Times New Roman"/>
                <w:b/>
                <w:sz w:val="20"/>
              </w:rPr>
              <w:t>Проверяемые условия</w:t>
            </w:r>
          </w:p>
        </w:tc>
        <w:tc>
          <w:tcPr>
            <w:tcW w:type="dxa" w:w="1584"/>
            <w:vAlign w:val="center"/>
          </w:tcPr>
          <w:p>
            <w:pPr>
              <w:pStyle w:val="TableText"/>
              <w:spacing w:before="0" w:after="0" w:line="240" w:lineRule="auto"/>
              <w:jc w:val="center"/>
            </w:pPr>
            <w:r>
              <w:rPr>
                <w:rFonts w:ascii="Times New Roman" w:hAnsi="Times New Roman" w:eastAsia="Times New Roman"/>
                <w:b/>
                <w:sz w:val="20"/>
              </w:rPr>
              <w:t>Результат</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Учетные записи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Хеширование, вход, выход, неверный пароль</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Доступ</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Скрытие чужих заявок, запрет административных разделов</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Заявки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Создание, допустимые и запрещенные переходы</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Комментарии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Запись и событие истории</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Данные</w:t>
            </w:r>
          </w:p>
        </w:tc>
        <w:tc>
          <w:tcPr>
            <w:tcW w:type="dxa" w:w="5270"/>
            <w:vAlign w:val="center"/>
          </w:tcPr>
          <w:p>
            <w:pPr>
              <w:pStyle w:val="TableText"/>
              <w:spacing w:before="0" w:after="0" w:line="240" w:lineRule="auto"/>
              <w:jc w:val="left"/>
            </w:pPr>
            <w:r>
              <w:rPr>
                <w:rFonts w:ascii="Times New Roman" w:hAnsi="Times New Roman" w:eastAsia="Times New Roman"/>
                <w:b w:val="0"/>
                <w:sz w:val="20"/>
              </w:rPr>
              <w:t>Проверка длины, безопасные SQL-параметры</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Web</w:t>
            </w:r>
          </w:p>
        </w:tc>
        <w:tc>
          <w:tcPr>
            <w:tcW w:type="dxa" w:w="5270"/>
            <w:vAlign w:val="center"/>
          </w:tcPr>
          <w:p>
            <w:pPr>
              <w:pStyle w:val="TableText"/>
              <w:spacing w:before="0" w:after="0" w:line="240" w:lineRule="auto"/>
              <w:jc w:val="left"/>
            </w:pPr>
            <w:r>
              <w:rPr>
                <w:rFonts w:ascii="Times New Roman" w:hAnsi="Times New Roman" w:eastAsia="Times New Roman"/>
                <w:b w:val="0"/>
                <w:sz w:val="20"/>
              </w:rPr>
              <w:t>CSRF, экранирование текста, CSV</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Запуск</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Создание БД, администратора, запрет открытого сетевого старта</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bl>
    <w:p>
      <w:pPr>
        <w:pStyle w:val="FigCaption"/>
        <w:keepNext w:val="0"/>
        <w:keepLines/>
        <w:jc w:val="center"/>
      </w:pPr>
      <w:r>
        <w:t>Таблица 6 - Направления и итоги автоматизированной проверки</w:t>
      </w:r>
    </w:p>
    <w:p>
      <w:r>
        <w:t>Права проверяются на двух уровнях, поскольку одной проверки URL недостаточно. Веб-тест отправляет запрос заявителя к административному маршруту и ожидает отказ. Сервисный тест обращается к чужой карточке и пытается записать комментарий; в обоих случаях доступ должен быть заблокирован. Такой набор проверяет не только видимость пунктов меню, но и фактическую недоступность чужих данных.</w:t>
      </w:r>
    </w:p>
    <w:p>
      <w:r>
        <w:t>Отдельно исследованы два способа передачи нежелательных данных. Поисковая строка со специальными символами не должна изменять структуру SQL-запроса, поскольку значение передается параметром. Текст с HTML-разметкой при последующем выводе должен остаться обычной строкой. Эти тесты показывают отсутствие соответствующих дефектов в проверенных маршрутах; они не являются полным аудитом защищенности всего веб-приложения [8].</w:t>
      </w:r>
    </w:p>
    <w:p>
      <w:r>
        <w:t>Для проверки модели состояний сначала выполняется разрешенная цепочка «Новая» - «В работе» - «Решена» - «Закрыта». Затем тест пытается выполнить запрещенный переход непосредственно к закрытию и изменить статус от имени заявителя. Ожидаемый результат - исключение или отказ без повреждения ранее сохраненных значений. Дополнительно проверяется дата закрытия, позволяющая отличить завершенную заявку от записи, которая лишь отображает соответствующий текст.</w:t>
      </w:r>
    </w:p>
    <w:p>
      <w:r>
        <w:t>В конфигурации GitHub Actions присутствуют отдельные задания для нескольких версий интерпретатора на Windows и Ubuntu. В каждом задании выполняются установка зависимостей, проверка правил оформления кода и тесты. Поэтому вывод о переносимости относится именно к проверенным комбинациям ОС и Python. Работа в других средах и интеграция с внутренними сервисами университета этими результатами не подтверждается.</w:t>
      </w:r>
    </w:p>
    <w:p>
      <w:pPr>
        <w:pStyle w:val="Heading2"/>
      </w:pPr>
      <w:r>
        <w:t>2.7 Выводы по второму разделу</w:t>
      </w:r>
    </w:p>
    <w:p>
      <w:r>
        <w:t>Создан и проверен локальный прототип учета заявок. Пользовательская приемка и интеграция с ИС университета не проводились.</w:t>
      </w:r>
    </w:p>
    <w:p>
      <w:pPr>
        <w:pStyle w:val="Heading1"/>
        <w:pageBreakBefore/>
      </w:pPr>
      <w:r>
        <w:t>3 ДОСТУП, РАЗВЕРТЫВАНИЕ И СОПРОВОЖДЕНИЕ</w:t>
      </w:r>
    </w:p>
    <w:p>
      <w:pPr>
        <w:pStyle w:val="Heading2"/>
      </w:pPr>
      <w:r>
        <w:t>3.1 Модель разграничения доступа</w:t>
      </w:r>
    </w:p>
    <w:p>
      <w:r>
        <w:t>В модели доступа права не передаются из формы вместе с командой пользователя. При каждом запросе сервер извлекает учетную запись из сессии и определяет ее роль из БД. Проверка выполняется до изменения карточки или справочника. Это исключает простую подмену значения роли в HTML-форме. Для заявителя дополнительно учитывается авторство конкретной заявки, поэтому наличие действующей сессии само по себе не открывает все записи.</w:t>
      </w:r>
    </w:p>
    <w:tbl>
      <w:tblPr>
        <w:tblStyle w:val="TableGrid"/>
        <w:tblW w:type="auto" w:w="0"/>
        <w:jc w:val="center"/>
        <w:tblLayout w:type="fixed"/>
        <w:tblLook w:firstColumn="1" w:firstRow="1" w:lastColumn="0" w:lastRow="0" w:noHBand="0" w:noVBand="1" w:val="04A0"/>
      </w:tblPr>
      <w:tblGrid>
        <w:gridCol w:w="3427"/>
        <w:gridCol w:w="1541"/>
        <w:gridCol w:w="1800"/>
        <w:gridCol w:w="2520"/>
      </w:tblGrid>
      <w:tr>
        <w:trPr>
          <w:cantSplit/>
          <w:tblHeader w:val="true"/>
          <w:tblHeader w:val="true"/>
          <w:cantSplit/>
        </w:trPr>
        <w:tc>
          <w:tcPr>
            <w:tcW w:type="dxa" w:w="3427"/>
            <w:vAlign w:val="center"/>
          </w:tcPr>
          <w:p>
            <w:pPr>
              <w:pStyle w:val="TableText"/>
              <w:spacing w:before="0" w:after="0" w:line="240" w:lineRule="auto"/>
              <w:jc w:val="center"/>
            </w:pPr>
            <w:r>
              <w:rPr>
                <w:rFonts w:ascii="Times New Roman" w:hAnsi="Times New Roman" w:eastAsia="Times New Roman"/>
                <w:b/>
                <w:sz w:val="18"/>
              </w:rPr>
              <w:t>Операция</w:t>
            </w:r>
          </w:p>
        </w:tc>
        <w:tc>
          <w:tcPr>
            <w:tcW w:type="dxa" w:w="1541"/>
            <w:vAlign w:val="center"/>
          </w:tcPr>
          <w:p>
            <w:pPr>
              <w:pStyle w:val="TableText"/>
              <w:spacing w:before="0" w:after="0" w:line="240" w:lineRule="auto"/>
              <w:jc w:val="center"/>
            </w:pPr>
            <w:r>
              <w:rPr>
                <w:rFonts w:ascii="Times New Roman" w:hAnsi="Times New Roman" w:eastAsia="Times New Roman"/>
                <w:b/>
                <w:sz w:val="18"/>
              </w:rPr>
              <w:t>Заявитель</w:t>
            </w:r>
          </w:p>
        </w:tc>
        <w:tc>
          <w:tcPr>
            <w:tcW w:type="dxa" w:w="1800"/>
            <w:vAlign w:val="center"/>
          </w:tcPr>
          <w:p>
            <w:pPr>
              <w:pStyle w:val="TableText"/>
              <w:spacing w:before="0" w:after="0" w:line="240" w:lineRule="auto"/>
              <w:jc w:val="center"/>
            </w:pPr>
            <w:r>
              <w:rPr>
                <w:rFonts w:ascii="Times New Roman" w:hAnsi="Times New Roman" w:eastAsia="Times New Roman"/>
                <w:b/>
                <w:sz w:val="18"/>
              </w:rPr>
              <w:t>Специалист</w:t>
            </w:r>
          </w:p>
        </w:tc>
        <w:tc>
          <w:tcPr>
            <w:tcW w:type="dxa" w:w="2520"/>
            <w:vAlign w:val="center"/>
          </w:tcPr>
          <w:p>
            <w:pPr>
              <w:pStyle w:val="TableText"/>
              <w:spacing w:before="0" w:after="0" w:line="240" w:lineRule="auto"/>
              <w:jc w:val="center"/>
            </w:pPr>
            <w:r>
              <w:rPr>
                <w:rFonts w:ascii="Times New Roman" w:hAnsi="Times New Roman" w:eastAsia="Times New Roman"/>
                <w:b/>
                <w:sz w:val="18"/>
              </w:rPr>
              <w:t>Администратор</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Создание заявки</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своих заявок</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всех заявок</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Комментарии к доступным заявкам</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Назначение исполнителя</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Смена статуса</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реестра средств защиты</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Добавление средств защиты</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Управление пользователями</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Журнал действий</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Экспорт общего списка</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bl>
    <w:p>
      <w:pPr>
        <w:pStyle w:val="FigCaption"/>
        <w:keepNext w:val="0"/>
        <w:keepLines/>
        <w:jc w:val="center"/>
      </w:pPr>
      <w:r>
        <w:t>Таблица 7 - Матрица прав доступа</w:t>
      </w:r>
    </w:p>
    <w:p>
      <w:r>
        <w:t>При обращении к защищенному маршруту проверяются два условия: выполнен ли вход и разрешено ли действие для найденной роли. Если роль подходит, но запрашивается чужая заявка, применяется дополнительное сравнение идентификатора автора. Таким образом, правило чтения чужих данных не зависит от того, показывается ли ссылка в навигации. Отрицательные сценарии проверены автоматизированными тестами.</w:t>
      </w:r>
    </w:p>
    <w:p>
      <w:r>
        <w:t>История операций хранится в связанных с заявками событиях. При регистрации, добавлении комментария или смене состояния указывается действие и его инициатор. Благодаря этому проверяющий может сопоставить текущее состояние карточки с последовательностью операций. Ограничением является отсутствие отдельного неизменяемого внешнего хранилища аудита: администратор, имеющий прямой доступ к файлу SQLite, технически способен изменить данные вне приложения.</w:t>
      </w:r>
    </w:p>
    <w:p>
      <w:pPr>
        <w:pStyle w:val="Heading2"/>
        <w:pageBreakBefore/>
      </w:pPr>
      <w:r>
        <w:t>3.2 План установки и развертывания</w:t>
      </w:r>
    </w:p>
    <w:p>
      <w:r>
        <w:t>Для проверки проекта достаточно компьютера с Python 3.10 или новее и браузера. Интернет нужен для первой установки пакетов, если они еще не присутствуют в окружении. Дальнейшая работа с локальной SQLite не требует стороннего сервера. Этот способ запуска выбран для воспроизводимости демонстрации и не претендует на полноту эксплуатационной инструкции для организации.</w:t>
      </w:r>
    </w:p>
    <w:p>
      <w:r>
        <w:t>Запуск на Windows и Ubuntu выполняется командой python run.py. Если нужные библиотеки отсутствуют, скрипт создает виртуальное окружение и устанавливает зависимости, после чего запускает серверный модуль. Данные сохраняются в файле внутри instance, а существующие пользователи не создаются повторно. Административные команды вынесены в отдельные режимы, чтобы инициализация БД не требовала запуска интерфейса.</w:t>
      </w:r>
    </w:p>
    <w:p>
      <w:r>
        <w:t>При стандартной конфигурации веб-сервер доступен только с того же компьютера по адресу 127.0.0.1:8000. Это преднамеренный выбор для учебной установки. Пользователь может изменить порт, однако для прослушивания внешнего адреса приложение требует отдельной настройки секретного ключа сессии. Данная проверка предупреждает случайное открытие прототипа в сети, но не заменяет полноценный аудит конфигурации перед развертыванием.</w:t>
      </w:r>
    </w:p>
    <w:tbl>
      <w:tblPr>
        <w:tblStyle w:val="TableGrid"/>
        <w:tblW w:type="auto" w:w="0"/>
        <w:jc w:val="center"/>
        <w:tblLayout w:type="fixed"/>
        <w:tblLook w:firstColumn="1" w:firstRow="1" w:lastColumn="0" w:lastRow="0" w:noHBand="0" w:noVBand="1" w:val="04A0"/>
      </w:tblPr>
      <w:tblGrid>
        <w:gridCol w:w="737"/>
        <w:gridCol w:w="4082"/>
        <w:gridCol w:w="3175"/>
      </w:tblGrid>
      <w:tr>
        <w:trPr>
          <w:cantSplit/>
          <w:tblHeader w:val="true"/>
          <w:tblHeader w:val="true"/>
          <w:cantSplit/>
        </w:trPr>
        <w:tc>
          <w:tcPr>
            <w:tcW w:type="dxa" w:w="936"/>
            <w:vAlign w:val="center"/>
          </w:tcPr>
          <w:p>
            <w:pPr>
              <w:pStyle w:val="TableText"/>
              <w:spacing w:before="0" w:after="0" w:line="240" w:lineRule="auto"/>
              <w:jc w:val="center"/>
            </w:pPr>
            <w:r>
              <w:rPr>
                <w:rFonts w:ascii="Times New Roman" w:hAnsi="Times New Roman" w:eastAsia="Times New Roman"/>
                <w:b/>
                <w:sz w:val="20"/>
              </w:rPr>
              <w:t>Шаг</w:t>
            </w:r>
          </w:p>
        </w:tc>
        <w:tc>
          <w:tcPr>
            <w:tcW w:type="dxa" w:w="3168"/>
            <w:vAlign w:val="center"/>
          </w:tcPr>
          <w:p>
            <w:pPr>
              <w:pStyle w:val="TableText"/>
              <w:spacing w:before="0" w:after="0" w:line="240" w:lineRule="auto"/>
              <w:jc w:val="center"/>
            </w:pPr>
            <w:r>
              <w:rPr>
                <w:rFonts w:ascii="Times New Roman" w:hAnsi="Times New Roman" w:eastAsia="Times New Roman"/>
                <w:b/>
                <w:sz w:val="20"/>
              </w:rPr>
              <w:t>Действие</w:t>
            </w:r>
          </w:p>
        </w:tc>
        <w:tc>
          <w:tcPr>
            <w:tcW w:type="dxa" w:w="5184"/>
            <w:vAlign w:val="center"/>
          </w:tcPr>
          <w:p>
            <w:pPr>
              <w:pStyle w:val="TableText"/>
              <w:spacing w:before="0" w:after="0" w:line="240" w:lineRule="auto"/>
              <w:jc w:val="center"/>
            </w:pPr>
            <w:r>
              <w:rPr>
                <w:rFonts w:ascii="Times New Roman" w:hAnsi="Times New Roman" w:eastAsia="Times New Roman"/>
                <w:b/>
                <w:sz w:val="20"/>
              </w:rPr>
              <w:t>Критерий успешности</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1</w:t>
            </w:r>
          </w:p>
        </w:tc>
        <w:tc>
          <w:tcPr>
            <w:tcW w:type="dxa" w:w="3168"/>
            <w:vAlign w:val="center"/>
          </w:tcPr>
          <w:p>
            <w:pPr>
              <w:pStyle w:val="TableText"/>
              <w:spacing w:before="0" w:after="0" w:line="240" w:lineRule="auto"/>
              <w:jc w:val="left"/>
            </w:pPr>
            <w:r>
              <w:rPr>
                <w:rFonts w:ascii="Times New Roman" w:hAnsi="Times New Roman" w:eastAsia="Times New Roman"/>
                <w:b w:val="0"/>
                <w:sz w:val="20"/>
              </w:rPr>
              <w:t>Проверить Python 3.10+</w:t>
            </w:r>
          </w:p>
        </w:tc>
        <w:tc>
          <w:tcPr>
            <w:tcW w:type="dxa" w:w="5184"/>
            <w:vAlign w:val="center"/>
          </w:tcPr>
          <w:p>
            <w:pPr>
              <w:pStyle w:val="TableText"/>
              <w:spacing w:before="0" w:after="0" w:line="240" w:lineRule="auto"/>
              <w:jc w:val="left"/>
            </w:pPr>
            <w:r>
              <w:rPr>
                <w:rFonts w:ascii="Times New Roman" w:hAnsi="Times New Roman" w:eastAsia="Times New Roman"/>
                <w:b w:val="0"/>
                <w:sz w:val="20"/>
              </w:rPr>
              <w:t>Команда python --version выполняется</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2</w:t>
            </w:r>
          </w:p>
        </w:tc>
        <w:tc>
          <w:tcPr>
            <w:tcW w:type="dxa" w:w="3168"/>
            <w:vAlign w:val="center"/>
          </w:tcPr>
          <w:p>
            <w:pPr>
              <w:pStyle w:val="TableText"/>
              <w:spacing w:before="0" w:after="0" w:line="240" w:lineRule="auto"/>
              <w:jc w:val="left"/>
            </w:pPr>
            <w:r>
              <w:rPr>
                <w:rFonts w:ascii="Times New Roman" w:hAnsi="Times New Roman" w:eastAsia="Times New Roman"/>
                <w:b w:val="0"/>
                <w:sz w:val="20"/>
              </w:rPr>
              <w:t>Открыть каталог проекта</w:t>
            </w:r>
          </w:p>
        </w:tc>
        <w:tc>
          <w:tcPr>
            <w:tcW w:type="dxa" w:w="5184"/>
            <w:vAlign w:val="center"/>
          </w:tcPr>
          <w:p>
            <w:pPr>
              <w:pStyle w:val="TableText"/>
              <w:spacing w:before="0" w:after="0" w:line="240" w:lineRule="auto"/>
              <w:jc w:val="left"/>
            </w:pPr>
            <w:r>
              <w:rPr>
                <w:rFonts w:ascii="Times New Roman" w:hAnsi="Times New Roman" w:eastAsia="Times New Roman"/>
                <w:b w:val="0"/>
                <w:sz w:val="20"/>
              </w:rPr>
              <w:t>Доступен файл run.py</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3</w:t>
            </w:r>
          </w:p>
        </w:tc>
        <w:tc>
          <w:tcPr>
            <w:tcW w:type="dxa" w:w="3168"/>
            <w:vAlign w:val="center"/>
          </w:tcPr>
          <w:p>
            <w:pPr>
              <w:pStyle w:val="TableText"/>
              <w:spacing w:before="0" w:after="0" w:line="240" w:lineRule="auto"/>
              <w:jc w:val="left"/>
            </w:pPr>
            <w:r>
              <w:rPr>
                <w:rFonts w:ascii="Times New Roman" w:hAnsi="Times New Roman" w:eastAsia="Times New Roman"/>
                <w:b w:val="0"/>
                <w:sz w:val="20"/>
              </w:rPr>
              <w:t>Выполнить python run.py</w:t>
            </w:r>
          </w:p>
        </w:tc>
        <w:tc>
          <w:tcPr>
            <w:tcW w:type="dxa" w:w="5184"/>
            <w:vAlign w:val="center"/>
          </w:tcPr>
          <w:p>
            <w:pPr>
              <w:pStyle w:val="TableText"/>
              <w:spacing w:before="0" w:after="0" w:line="240" w:lineRule="auto"/>
              <w:jc w:val="left"/>
            </w:pPr>
            <w:r>
              <w:rPr>
                <w:rFonts w:ascii="Times New Roman" w:hAnsi="Times New Roman" w:eastAsia="Times New Roman"/>
                <w:b w:val="0"/>
                <w:sz w:val="20"/>
              </w:rPr>
              <w:t>В терминале указан адрес сервера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4</w:t>
            </w:r>
          </w:p>
        </w:tc>
        <w:tc>
          <w:tcPr>
            <w:tcW w:type="dxa" w:w="3168"/>
            <w:vAlign w:val="center"/>
          </w:tcPr>
          <w:p>
            <w:pPr>
              <w:pStyle w:val="TableText"/>
              <w:spacing w:before="0" w:after="0" w:line="240" w:lineRule="auto"/>
              <w:jc w:val="left"/>
            </w:pPr>
            <w:r>
              <w:rPr>
                <w:rFonts w:ascii="Times New Roman" w:hAnsi="Times New Roman" w:eastAsia="Times New Roman"/>
                <w:b w:val="0"/>
                <w:sz w:val="20"/>
              </w:rPr>
              <w:t>Сохранить пароль первого администратора</w:t>
            </w:r>
          </w:p>
        </w:tc>
        <w:tc>
          <w:tcPr>
            <w:tcW w:type="dxa" w:w="5184"/>
            <w:vAlign w:val="center"/>
          </w:tcPr>
          <w:p>
            <w:pPr>
              <w:pStyle w:val="TableText"/>
              <w:spacing w:before="0" w:after="0" w:line="240" w:lineRule="auto"/>
              <w:jc w:val="left"/>
            </w:pPr>
            <w:r>
              <w:rPr>
                <w:rFonts w:ascii="Times New Roman" w:hAnsi="Times New Roman" w:eastAsia="Times New Roman"/>
                <w:b w:val="0"/>
                <w:sz w:val="20"/>
              </w:rPr>
              <w:t>Учетная запись создана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5</w:t>
            </w:r>
          </w:p>
        </w:tc>
        <w:tc>
          <w:tcPr>
            <w:tcW w:type="dxa" w:w="3168"/>
            <w:vAlign w:val="center"/>
          </w:tcPr>
          <w:p>
            <w:pPr>
              <w:pStyle w:val="TableText"/>
              <w:spacing w:before="0" w:after="0" w:line="240" w:lineRule="auto"/>
              <w:jc w:val="left"/>
            </w:pPr>
            <w:r>
              <w:rPr>
                <w:rFonts w:ascii="Times New Roman" w:hAnsi="Times New Roman" w:eastAsia="Times New Roman"/>
                <w:b w:val="0"/>
                <w:sz w:val="20"/>
              </w:rPr>
              <w:t>Открыть страницу в браузере</w:t>
            </w:r>
          </w:p>
        </w:tc>
        <w:tc>
          <w:tcPr>
            <w:tcW w:type="dxa" w:w="5184"/>
            <w:vAlign w:val="center"/>
          </w:tcPr>
          <w:p>
            <w:pPr>
              <w:pStyle w:val="TableText"/>
              <w:spacing w:before="0" w:after="0" w:line="240" w:lineRule="auto"/>
              <w:jc w:val="left"/>
            </w:pPr>
            <w:r>
              <w:rPr>
                <w:rFonts w:ascii="Times New Roman" w:hAnsi="Times New Roman" w:eastAsia="Times New Roman"/>
                <w:b w:val="0"/>
                <w:sz w:val="20"/>
              </w:rPr>
              <w:t>Отображается форма входа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6</w:t>
            </w:r>
          </w:p>
        </w:tc>
        <w:tc>
          <w:tcPr>
            <w:tcW w:type="dxa" w:w="3168"/>
            <w:vAlign w:val="center"/>
          </w:tcPr>
          <w:p>
            <w:pPr>
              <w:pStyle w:val="TableText"/>
              <w:spacing w:before="0" w:after="0" w:line="240" w:lineRule="auto"/>
              <w:jc w:val="left"/>
            </w:pPr>
            <w:r>
              <w:rPr>
                <w:rFonts w:ascii="Times New Roman" w:hAnsi="Times New Roman" w:eastAsia="Times New Roman"/>
                <w:b w:val="0"/>
                <w:sz w:val="20"/>
              </w:rPr>
              <w:t>Создать и обработать заявку</w:t>
            </w:r>
          </w:p>
        </w:tc>
        <w:tc>
          <w:tcPr>
            <w:tcW w:type="dxa" w:w="5184"/>
            <w:vAlign w:val="center"/>
          </w:tcPr>
          <w:p>
            <w:pPr>
              <w:pStyle w:val="TableText"/>
              <w:spacing w:before="0" w:after="0" w:line="240" w:lineRule="auto"/>
              <w:jc w:val="left"/>
            </w:pPr>
            <w:r>
              <w:rPr>
                <w:rFonts w:ascii="Times New Roman" w:hAnsi="Times New Roman" w:eastAsia="Times New Roman"/>
                <w:b w:val="0"/>
                <w:sz w:val="20"/>
              </w:rPr>
              <w:t>Данные сохраняются после перезапуска</w:t>
            </w:r>
          </w:p>
        </w:tc>
      </w:tr>
    </w:tbl>
    <w:p>
      <w:pPr>
        <w:pStyle w:val="FigCaption"/>
        <w:keepNext w:val="0"/>
        <w:keepLines/>
        <w:jc w:val="center"/>
      </w:pPr>
      <w:r>
        <w:t>Таблица 8 - Контрольный порядок локального развертывания</w:t>
      </w:r>
    </w:p>
    <w:p>
      <w:r>
        <w:t>Готовность локальной демонстрации не следует смешивать с готовностью серверного внедрения. Для второго варианта должны быть определены администратор системы, режим резервирования и восстановления данных, постоянный секретный ключ сеанса, TLS и сетевые ограничения. В проверенном проекте эти меры отражены как требования к окружению. Реальные настройки корпоративной инфраструктуры в состав выполненных работ не входят.</w:t>
      </w:r>
    </w:p>
    <w:p>
      <w:pPr>
        <w:pStyle w:val="Heading2"/>
      </w:pPr>
      <w:r>
        <w:t>3.3 Возможности интеграции</w:t>
      </w:r>
    </w:p>
    <w:p>
      <w:r>
        <w:t>Интеграционные возможности имеют два разных уровня. Для специалистов реализован экспорт реестра заявок в CSV, который можно открыть в табличной программе. Отдельно добавлен JSON-обмен справочником средств защиты: перенос выполняется из файла в файл, с проверкой схемы и уникальности инвентарных номеров. Эти операции пригодны для демонстрации обмена данными, но не обеспечивают автоматическую синхронизацию с корпоративными сервисами.</w:t>
      </w:r>
    </w:p>
    <w:p>
      <w:r>
        <w:t>Переход от файлового обмена к взаимодействию по API потребует решений, которых нет в имеющемся прототипе. Необходимо определить владельца исходных данных, договориться о ключах сопоставления записей, ограничить полномочия интеграционной учетной записи и описать поведение при повторной загрузке либо недоступности сервиса. Без этих договоренностей добавление сетевого запроса не обеспечило бы корректную интеграцию.</w:t>
      </w:r>
    </w:p>
    <w:p>
      <w:r>
        <w:t>Для справочника оборудования в качестве идентификатора выбран инвентарный номер: он должен однозначно обозначать объект в пределах локальной базы. При создании файлового импорта это правило позволяет пропускать дубликаты и предотвращать появление нескольких записей об одном средстве защиты. При потенциальном обмене с кадровой системой одного ФИО недостаточно для надежного сопоставления пользователя, поэтому понадобился бы устойчивый внешний идентификатор.</w:t>
      </w:r>
    </w:p>
    <w:p>
      <w:pPr/>
      <w:r>
        <w:t>В добавленном файловом модуле записи справочника сериализуются в JSON с явной структурой. При импорте приложение проверяет типы, длину строк и отсутствие конфликтующих инвентарных номеров; изменение таблицы выполняется внутри транзакции. Проверка проведена на временной SQLite с тестовыми данными. Такой результат показывает корректность реализованного локального обмена, но не позволяет заявить о подключении к реальной информационной системе МУИВ.</w:t>
      </w:r>
    </w:p>
    <w:p>
      <w:pPr>
        <w:pStyle w:val="Heading2"/>
      </w:pPr>
      <w:r>
        <w:t>3.4 Обновление и техническая поддержка</w:t>
      </w:r>
    </w:p>
    <w:p>
      <w:r>
        <w:t>Последовательность обновления зависит прежде всего от сохранности данных. Перед заменой файлов программы необходимо получить проверяемую резервную копию SQLite и убедиться, что новая версия понимает действующую схему. Если меняются таблицы, нужен отдельный сценарий миграции и возможность возврата к предыдущему состоянию. В проекте эти действия описаны как порядок сопровождения; автоматическая установка релиза пока не реализована.</w:t>
      </w:r>
    </w:p>
    <w:p>
      <w:r>
        <w:t>В публичном репозитории размещены модули приложения, шаблоны, тесты и инструкции. Файл пользовательской базы исключен из Git, поскольку вместе с ним могли бы распространяться учетные записи и содержание обращений. Резервные копии и секреты также не должны попадать в историю коммитов. Снимок исходников, приложенный к комплекту сдачи, следует сверять с идентификатором проверенного коммита.</w:t>
      </w:r>
    </w:p>
    <w:p>
      <w:r>
        <w:t>Для работающей SQLite простое копирование файла не всегда подходит в качестве резервной копии, потому что в момент копирования транзакция может изменять страницы базы. Поэтому модуль обслуживания использует SQLite Backup API [5]. Эта операция переносит согласованное состояние данных в отдельный файл. Регламент хранения копий, шифрование и проверка восстановления остаются задачами администратора целевой среды.</w:t>
      </w:r>
    </w:p>
    <w:p>
      <w:r>
        <w:t>При появлении дефекта сначала фиксируются входные данные и действие, после которого возникла ошибка. Затем формируется тест, воспроизводящий нежелательное состояние на отдельной базе. Исправление считается проверенным только после выполнения этого теста вместе с остальными сценариями. Такой подход применим к правилам статусов и прав доступа, поскольку нарушение этих правил не всегда заметно по внешнему виду страницы.</w:t>
      </w:r>
    </w:p>
    <w:p>
      <w:r>
        <w:t>Признаком успешного обновления не может служить один лишь запуск сервера. После замены версии требуется проверить чтение ранее созданных заявок, сохранность их связей со средствами защиты и возможность выполнить разрешенные переходы статуса. Для восстановления при ошибке нужна копия БД, созданная до изменения схемы. Нагрузочные и миграционные испытания с производственными данными в рамках прототипа не проводились.</w:t>
      </w:r>
    </w:p>
    <w:p>
      <w:pPr/>
      <w:r>
        <w:t>В сопровождении реализованы две локальные операции: создание резервной копии работающей базы и чтение манифеста версии. Вторая операция сопоставляет установленную и предложенную версии и только сообщает, требуется ли обновление. Она не скачивает исполняемый код и не заменяет файлы приложения. Такое ограничение отражает фактический объем разработки: проверка выпуска есть, автоматического установщика обновлений нет.</w:t>
      </w:r>
    </w:p>
    <w:p>
      <w:pPr>
        <w:pStyle w:val="Heading2"/>
      </w:pPr>
      <w:r>
        <w:t>3.5 Выводы по третьему разделу</w:t>
      </w:r>
    </w:p>
    <w:p>
      <w:r>
        <w:t>Ограничения доступа проверены по ролям и по авторству заявок. Способ запуска воспроизводим на Windows и Ubuntu, а технические операции резервирования и файлового обмена выделены в самостоятельные модули. Следующий этап работы зависит уже от сведений конкретной организации: без доступа к ее информационным системам нельзя определить пригодность формата обмена или завершить испытания интеграции.</w:t>
      </w:r>
    </w:p>
    <w:p>
      <w:pPr>
        <w:pStyle w:val="Heading1"/>
      </w:pPr>
      <w:r>
        <w:t>ЗАКЛЮЧЕНИЕ</w:t>
      </w:r>
    </w:p>
    <w:p>
      <w:r>
        <w:t>Проектная часть объединяет требования к учету обращений с их проверкой в работающем приложении. При моделировании процесса выделены три роли, пять сущностей данных и последовательность обработки заявки, для которой определены допустимые переходы. Эти решения можно проверить по исходному коду, схеме SQLite и контрольным сценариям. Описанная техническая реализация подготовлена в октябре 2026 года.</w:t>
      </w:r>
    </w:p>
    <w:p>
      <w:r>
        <w:t>Результат демонстрации заключается в сохранении одной непрерывной истории обращения. Пользователь создает запись, специалист принимает ее в работу и назначает исполнителя, а последующие комментарии и изменения состояния доступны в карточке. Средства защиты хранятся в отдельном справочнике, что позволяет связывать с одним объектом несколько заявок. Доступ заявителя ограничен созданными им обращениями.</w:t>
      </w:r>
    </w:p>
    <w:p>
      <w:pPr>
        <w:jc w:val="both"/>
      </w:pPr>
      <w:r>
        <w:t>Для оценки поведения подготовлены тесты положительных и отрицательных сценариев. Они проверяют, в частности, допустимые и запрещенные переходы, сохранение действий, ограничения роли, обработку специальных символов и работу резервирования. В проверенном коммите 2026 года автоматические испытания завершились успешно: 37 тестов в каждой из шести конфигураций Windows/Ubuntu и Python 3.10, 3.12, 3.13. Результат нельзя переносить на неиспытанное корпоративное окружение.</w:t>
      </w:r>
    </w:p>
    <w:p>
      <w:r>
        <w:t>Практическая ценность прототипа состоит в возможности воспроизвести полный цикл работы с заявкой на отдельном компьютере и проверить правила учета без подключения к действующей ИТ-инфраструктуре. Перед использованием в организации потребуются дополнительное обследование, настройка защищенного сетевого доступа, приемочные испытания и согласование обмена данными. Эти этапы в выполненный объем не включены.</w:t>
      </w:r>
    </w:p>
    <w:p>
      <w:pPr/>
      <w:r>
        <w:t>Академические даты и технические результаты следует учитывать раздельно. В индивидуальном задании назван июнь 2024 года; текущие исходники, протокол автоматических проверок и отдельное техническое задание подготовлены в 2026 году. Документ не содержит первичных доказательств выполнения перечисленных программных работ в период практики 2024 года. Для официального подтверждения того периода нужны материалы и отметки руководителя.</w:t>
      </w:r>
    </w:p>
    <w:p>
      <w:pPr>
        <w:pStyle w:val="Heading1"/>
      </w:pPr>
      <w:r>
        <w:t>СПИСОК ИСПОЛЬЗОВАННЫХ ИСТОЧНИКОВ</w:t>
      </w:r>
    </w:p>
    <w:p>
      <w:pPr>
        <w:spacing w:after="80"/>
        <w:ind w:firstLine="0"/>
      </w:pPr>
      <w:r>
        <w:t>1.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spacing w:after="80"/>
        <w:ind w:firstLine="0"/>
      </w:pPr>
      <w:r>
        <w:t>2. Федеральный закон от 27.07.2006 № 149-ФЗ «Об информации, информационных технологиях и о защите информации».</w:t>
      </w:r>
    </w:p>
    <w:p>
      <w:pPr>
        <w:spacing w:after="80"/>
        <w:ind w:firstLine="0"/>
      </w:pPr>
      <w:r>
        <w:t>3. Федеральный закон от 27.07.2006 № 152-ФЗ «О персональных данных».</w:t>
      </w:r>
    </w:p>
    <w:p>
      <w:pPr>
        <w:spacing w:after="80"/>
        <w:ind w:firstLine="0"/>
      </w:pPr>
      <w:r>
        <w:t>4. Python Software Foundation. Python 3 Documentation. URL: https://docs.python.org/3/ (дата обращения: 15.10.2026).</w:t>
      </w:r>
    </w:p>
    <w:p>
      <w:pPr>
        <w:spacing w:after="80"/>
        <w:ind w:firstLine="0"/>
      </w:pPr>
      <w:r>
        <w:t>5. SQLite. Official Documentation. URL: https://www.sqlite.org/docs.html (дата обращения: 15.10.2026).</w:t>
      </w:r>
    </w:p>
    <w:p>
      <w:pPr>
        <w:spacing w:after="80"/>
        <w:ind w:firstLine="0"/>
      </w:pPr>
      <w:r>
        <w:t>6. FastAPI. Official Documentation. URL: https://fastapi.tiangolo.com/ (дата обращения: 15.10.2026).</w:t>
      </w:r>
    </w:p>
    <w:p>
      <w:pPr>
        <w:spacing w:after="80"/>
        <w:ind w:firstLine="0"/>
      </w:pPr>
      <w:r>
        <w:t>7. OWASP. Password Storage Cheat Sheet. URL: https://cheatsheetseries.owasp.org/cheatsheets/Password_Storage_Cheat_Sheet.html (дата обращения: 15.10.2026).</w:t>
      </w:r>
    </w:p>
    <w:p>
      <w:pPr>
        <w:spacing w:after="80"/>
        <w:ind w:firstLine="0"/>
      </w:pPr>
      <w:r>
        <w:t>8. OWASP. Cross-Site Request Forgery Prevention Cheat Sheet. URL: https://cheatsheetseries.owasp.org/cheatsheets/Cross-Site_Request_Forgery_Prevention_Cheat_Sheet.html (дата обращения: 15.10.2026).</w:t>
      </w:r>
    </w:p>
    <w:p>
      <w:pPr>
        <w:spacing w:after="80"/>
        <w:ind w:firstLine="0"/>
      </w:pPr>
      <w:r>
        <w:t>9. Jinja2. Template Designer Documentation. URL: https://jinja.palletsprojects.com/ (дата обращения: 15.10.2026).</w:t>
      </w:r>
    </w:p>
    <w:p>
      <w:pPr>
        <w:spacing w:after="80"/>
        <w:ind w:firstLine="0"/>
      </w:pPr>
      <w:r>
        <w:t>10. pytest Documentation. URL: https://docs.pytest.org/ (дата обращения: 15.10.2026).</w:t>
      </w:r>
    </w:p>
    <w:p>
      <w:pPr>
        <w:spacing w:after="80"/>
        <w:ind w:firstLine="0"/>
      </w:pPr>
      <w:r>
        <w:t>11. Graphviz Documentation. URL: https://graphviz.org/documentation/ (дата обращения: 15.10.2026).</w:t>
      </w:r>
    </w:p>
    <w:p>
      <w:pPr>
        <w:spacing w:after="80"/>
        <w:ind w:firstLine="0"/>
      </w:pPr>
      <w:r>
        <w:t>12. GitHub Docs. Understanding GitHub Actions. URL: https://docs.github.com/actions (дата обращения: 15.10.2026).</w:t>
      </w:r>
    </w:p>
    <w:p>
      <w:pPr>
        <w:jc w:val="both"/>
      </w:pPr>
      <w:r>
        <w:t>13. Apple. Human Interface Guidelines. Layout. URL: https://developer.apple.com/design/human-interface-guidelines/layout (дата обращения: 15.10.2026).</w:t>
      </w:r>
    </w:p>
    <w:p>
      <w:pPr>
        <w:jc w:val="both"/>
      </w:pPr>
      <w:r>
        <w:t>14. W3C. Web Content Accessibility Guidelines (WCAG) 2.2. URL: https://www.w3.org/TR/WCAG22/ (дата обращения: 15.10.2026).</w:t>
      </w:r>
    </w:p>
    <w:p>
      <w:pPr/>
      <w:r>
        <w:t>15. Московский университет имени С.Ю. Витте. Инструкция БРС, сведения об ЭИОС «Электронный Университет». URL: https://online.muiv.ru/ob/86.html (дата обращения: 17.10.2026).</w:t>
      </w:r>
    </w:p>
    <w:p>
      <w:pPr/>
      <w:r>
        <w:t>16. Московский университет имени С.Ю. Витте. Информация о расписании занятий. URL: https://online.muiv.ru/ob/83.html (дата обращения: 17.10.2026).</w:t>
      </w:r>
    </w:p>
    <w:p>
      <w:pPr/>
      <w:r>
        <w:t>17. Московский университет имени С.Ю. Витте. Связь с преподавателем. URL: https://online.muiv.ru/ob/91.html (дата обращения: 17.10.2026).</w:t>
      </w:r>
    </w:p>
    <w:p>
      <w:pPr>
        <w:pStyle w:val="Heading1"/>
      </w:pPr>
      <w:r>
        <w:t>ПРИЛОЖЕНИЕ А. Функциональные требования</w:t>
      </w:r>
    </w:p>
    <w:p>
      <w:r>
        <w:t>А.1 Назначение. Система предназначена для учета заявок на обслуживание средств защиты информации. Основные пользователи: заявитель, специалист и администратор. Доступ осуществляется через браузер по локальному адресу веб-сервера.</w:t>
      </w:r>
    </w:p>
    <w:p>
      <w:r>
        <w:t>А.2 Данные заявки. Каждое обращение содержит уникальный номер, тему, описание, категорию, приоритет, статус, дату создания, автора, при необходимости объект защиты и назначенного исполнителя. Для описания истории предусмотрены комментарии и события журнала.</w:t>
      </w:r>
    </w:p>
    <w:p>
      <w:r>
        <w:t>А.3 Требования к обработке. Создание обращения доступно авторизованному пользователю. Изменение состояния и назначение исполнителя разрешены только специалисту либо администратору. Смена состояния выполняется по установленному графу переходов. Закрытая заявка не может быть возвращена в состояние «Новая» простым редактированием формы.</w:t>
      </w:r>
    </w:p>
    <w:p>
      <w:r>
        <w:t>А.4 Требования к данным. Поля категории, приоритета, роли и статуса принимают только заранее определенные значения. Логины пользователей и инвентарные номера средств защиты не должны повторяться. Операции записи в базу выполняются транзакционно.</w:t>
      </w:r>
    </w:p>
    <w:p>
      <w:r>
        <w:t>А.5 Требования к безопасности. Пароли должны храниться в проверочном виде с солью. Все изменяющие веб-операции должны проходить проверку CSRF. Пользователь с ролью заявителя не должен получать сведения из чужих заявок. Административные разделы и экспорт доступны только соответствующим ролям.</w:t>
      </w:r>
    </w:p>
    <w:p>
      <w:r>
        <w:t>А.6 Требования к переносимости. Для Windows и Ubuntu предусмотрена одна и та же пользовательская команда запуска python run.py. Данные хранятся в папке проекта по умолчанию. Приложение не требует установки системной СУБД.</w:t>
      </w:r>
    </w:p>
    <w:p>
      <w:pPr>
        <w:pStyle w:val="Heading1"/>
      </w:pPr>
      <w:r>
        <w:t>ПРИЛОЖЕНИЕ Б. Инструкция по запуску и проверке</w:t>
      </w:r>
    </w:p>
    <w:p>
      <w:r>
        <w:t>Б.1 Установить Python версии 3.10 или выше. Команда python должна быть доступна в терминале Windows или Ubuntu. На Ubuntu при отсутствии такой команды можно один раз настроить алиас Python 3, после чего способ запуска совпадает.</w:t>
      </w:r>
    </w:p>
    <w:p>
      <w:r>
        <w:t>Б.2 Скачать исходный код проекта, открыть терминал в каталоге с файлом run.py. Выполнить команду:</w:t>
      </w:r>
    </w:p>
    <w:p>
      <w:pPr>
        <w:ind w:firstLine="0"/>
        <w:jc w:val="center"/>
      </w:pPr>
      <w:r>
        <w:t>python run.py</w:t>
      </w:r>
    </w:p>
    <w:p>
      <w:r>
        <w:t>Б.3 При первом запуске дождаться установки необходимых пакетов, появления сообщения о созданной учетной записи администратора и адреса локального сервера. Сохранить случайный пароль, показанный в терминале.</w:t>
      </w:r>
    </w:p>
    <w:p>
      <w:r>
        <w:t>Б.4 Открыть страницу http://127.0.0.1:8000, войти под логином admin с полученным паролем. Создать заявку через меню, проверить отображение записи в реестре и наличие записи в журнале действий. После завершения работы сервер останавливается сочетанием Ctrl+C.</w:t>
      </w:r>
    </w:p>
    <w:p>
      <w:r>
        <w:t>Б.5 Для создания демонстрационного набора используется отдельная база. Выполнить python run.py seed-demo --db instance/demo.sqlite3, затем python run.py serve --db instance/demo.sqlite3. Демонстрационные пароли не относятся к основной базе и допускаются только при локальном показе.</w:t>
      </w:r>
    </w:p>
    <w:p>
      <w:r>
        <w:t>Б.6 Если пароль существующего администратора утрачен, остановить сервер и выполнить python run.py reset-password. Задать новый пароль и повторить его. Данные и пользователи при этом сохраняются. Для запуска автоматизированных проверок установить дополнительные зависимости командой python -m pip install -e ".[dev]", затем выполнить python -m pytest -q. Все команды выполняются из корня проекта.</w:t>
      </w:r>
    </w:p>
    <w:p>
      <w:pPr>
        <w:pStyle w:val="Heading1"/>
        <w:pageBreakBefore/>
      </w:pPr>
      <w:r>
        <w:t>ПРИЛОЖЕНИЕ В. Контрольные сценарии</w:t>
      </w:r>
    </w:p>
    <w:tbl>
      <w:tblPr>
        <w:tblStyle w:val="TableGrid"/>
        <w:tblW w:type="auto" w:w="0"/>
        <w:jc w:val="center"/>
        <w:tblLayout w:type="fixed"/>
        <w:tblLook w:firstColumn="1" w:firstRow="1" w:lastColumn="0" w:lastRow="0" w:noHBand="0" w:noVBand="1" w:val="04A0"/>
      </w:tblPr>
      <w:tblGrid>
        <w:gridCol w:w="691"/>
        <w:gridCol w:w="3730"/>
        <w:gridCol w:w="4867"/>
      </w:tblGrid>
      <w:tr>
        <w:trPr>
          <w:cantSplit/>
          <w:tblHeader w:val="true"/>
          <w:tblHeader w:val="true"/>
          <w:cantSplit/>
        </w:trPr>
        <w:tc>
          <w:tcPr>
            <w:tcW w:type="dxa" w:w="691"/>
            <w:vAlign w:val="center"/>
          </w:tcPr>
          <w:p>
            <w:pPr>
              <w:pStyle w:val="TableText"/>
              <w:spacing w:before="0" w:after="0" w:line="240" w:lineRule="auto"/>
              <w:jc w:val="center"/>
            </w:pPr>
            <w:r>
              <w:rPr>
                <w:rFonts w:ascii="Times New Roman" w:hAnsi="Times New Roman" w:eastAsia="Times New Roman"/>
                <w:b/>
                <w:sz w:val="20"/>
              </w:rPr>
              <w:t>№</w:t>
            </w:r>
          </w:p>
        </w:tc>
        <w:tc>
          <w:tcPr>
            <w:tcW w:type="dxa" w:w="3730"/>
            <w:vAlign w:val="center"/>
          </w:tcPr>
          <w:p>
            <w:pPr>
              <w:pStyle w:val="TableText"/>
              <w:spacing w:before="0" w:after="0" w:line="240" w:lineRule="auto"/>
              <w:jc w:val="center"/>
            </w:pPr>
            <w:r>
              <w:rPr>
                <w:rFonts w:ascii="Times New Roman" w:hAnsi="Times New Roman" w:eastAsia="Times New Roman"/>
                <w:b/>
                <w:sz w:val="20"/>
              </w:rPr>
              <w:t>Действия</w:t>
            </w:r>
          </w:p>
        </w:tc>
        <w:tc>
          <w:tcPr>
            <w:tcW w:type="dxa" w:w="4867"/>
            <w:vAlign w:val="center"/>
          </w:tcPr>
          <w:p>
            <w:pPr>
              <w:pStyle w:val="TableText"/>
              <w:spacing w:before="0" w:after="0" w:line="240" w:lineRule="auto"/>
              <w:jc w:val="center"/>
            </w:pPr>
            <w:r>
              <w:rPr>
                <w:rFonts w:ascii="Times New Roman" w:hAnsi="Times New Roman" w:eastAsia="Times New Roman"/>
                <w:b/>
                <w:sz w:val="20"/>
              </w:rPr>
              <w:t>Ожидаемый результат</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1</w:t>
            </w:r>
          </w:p>
        </w:tc>
        <w:tc>
          <w:tcPr>
            <w:tcW w:type="dxa" w:w="3730"/>
            <w:vAlign w:val="center"/>
          </w:tcPr>
          <w:p>
            <w:pPr>
              <w:pStyle w:val="TableText"/>
              <w:spacing w:before="0" w:after="0" w:line="240" w:lineRule="auto"/>
              <w:jc w:val="left"/>
            </w:pPr>
            <w:r>
              <w:rPr>
                <w:rFonts w:ascii="Times New Roman" w:hAnsi="Times New Roman" w:eastAsia="Times New Roman"/>
                <w:b w:val="0"/>
                <w:sz w:val="20"/>
              </w:rPr>
              <w:t>Вход с верным паролем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Доступ к панели управления</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2</w:t>
            </w:r>
          </w:p>
        </w:tc>
        <w:tc>
          <w:tcPr>
            <w:tcW w:type="dxa" w:w="3730"/>
            <w:vAlign w:val="center"/>
          </w:tcPr>
          <w:p>
            <w:pPr>
              <w:pStyle w:val="TableText"/>
              <w:spacing w:before="0" w:after="0" w:line="240" w:lineRule="auto"/>
              <w:jc w:val="left"/>
            </w:pPr>
            <w:r>
              <w:rPr>
                <w:rFonts w:ascii="Times New Roman" w:hAnsi="Times New Roman" w:eastAsia="Times New Roman"/>
                <w:b w:val="0"/>
                <w:sz w:val="20"/>
              </w:rPr>
              <w:t>Вход с неверным паролем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Отказ во входе</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3</w:t>
            </w:r>
          </w:p>
        </w:tc>
        <w:tc>
          <w:tcPr>
            <w:tcW w:type="dxa" w:w="3730"/>
            <w:vAlign w:val="center"/>
          </w:tcPr>
          <w:p>
            <w:pPr>
              <w:pStyle w:val="TableText"/>
              <w:spacing w:before="0" w:after="0" w:line="240" w:lineRule="auto"/>
              <w:jc w:val="left"/>
            </w:pPr>
            <w:r>
              <w:rPr>
                <w:rFonts w:ascii="Times New Roman" w:hAnsi="Times New Roman" w:eastAsia="Times New Roman"/>
                <w:b w:val="0"/>
                <w:sz w:val="20"/>
              </w:rPr>
              <w:t>Создание заявки заявителем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Присвоен номер, статус «Новая»</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4</w:t>
            </w:r>
          </w:p>
        </w:tc>
        <w:tc>
          <w:tcPr>
            <w:tcW w:type="dxa" w:w="3730"/>
            <w:vAlign w:val="center"/>
          </w:tcPr>
          <w:p>
            <w:pPr>
              <w:pStyle w:val="TableText"/>
              <w:spacing w:before="0" w:after="0" w:line="240" w:lineRule="auto"/>
              <w:jc w:val="left"/>
            </w:pPr>
            <w:r>
              <w:rPr>
                <w:rFonts w:ascii="Times New Roman" w:hAnsi="Times New Roman" w:eastAsia="Times New Roman"/>
                <w:b w:val="0"/>
                <w:sz w:val="20"/>
              </w:rPr>
              <w:t>Просмотр чужой заявки</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Отказ в доступе</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5</w:t>
            </w:r>
          </w:p>
        </w:tc>
        <w:tc>
          <w:tcPr>
            <w:tcW w:type="dxa" w:w="3730"/>
            <w:vAlign w:val="center"/>
          </w:tcPr>
          <w:p>
            <w:pPr>
              <w:pStyle w:val="TableText"/>
              <w:spacing w:before="0" w:after="0" w:line="240" w:lineRule="auto"/>
              <w:jc w:val="left"/>
            </w:pPr>
            <w:r>
              <w:rPr>
                <w:rFonts w:ascii="Times New Roman" w:hAnsi="Times New Roman" w:eastAsia="Times New Roman"/>
                <w:b w:val="0"/>
                <w:sz w:val="20"/>
              </w:rPr>
              <w:t>Смена статуса напрямую на «Закрыта»</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Операция отклонена</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6</w:t>
            </w:r>
          </w:p>
        </w:tc>
        <w:tc>
          <w:tcPr>
            <w:tcW w:type="dxa" w:w="3730"/>
            <w:vAlign w:val="center"/>
          </w:tcPr>
          <w:p>
            <w:pPr>
              <w:pStyle w:val="TableText"/>
              <w:spacing w:before="0" w:after="0" w:line="240" w:lineRule="auto"/>
              <w:jc w:val="left"/>
            </w:pPr>
            <w:r>
              <w:rPr>
                <w:rFonts w:ascii="Times New Roman" w:hAnsi="Times New Roman" w:eastAsia="Times New Roman"/>
                <w:b w:val="0"/>
                <w:sz w:val="20"/>
              </w:rPr>
              <w:t>Назначение заявителя исполнителем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Операция отклонена</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7</w:t>
            </w:r>
          </w:p>
        </w:tc>
        <w:tc>
          <w:tcPr>
            <w:tcW w:type="dxa" w:w="3730"/>
            <w:vAlign w:val="center"/>
          </w:tcPr>
          <w:p>
            <w:pPr>
              <w:pStyle w:val="TableText"/>
              <w:spacing w:before="0" w:after="0" w:line="240" w:lineRule="auto"/>
              <w:jc w:val="left"/>
            </w:pPr>
            <w:r>
              <w:rPr>
                <w:rFonts w:ascii="Times New Roman" w:hAnsi="Times New Roman" w:eastAsia="Times New Roman"/>
                <w:b w:val="0"/>
                <w:sz w:val="20"/>
              </w:rPr>
              <w:t>Добавление комментария</w:t>
            </w:r>
          </w:p>
        </w:tc>
        <w:tc>
          <w:tcPr>
            <w:tcW w:type="dxa" w:w="4867"/>
            <w:vAlign w:val="center"/>
          </w:tcPr>
          <w:p>
            <w:pPr>
              <w:pStyle w:val="TableText"/>
              <w:spacing w:before="0" w:after="0" w:line="240" w:lineRule="auto"/>
              <w:jc w:val="left"/>
            </w:pPr>
            <w:r>
              <w:rPr>
                <w:rFonts w:ascii="Times New Roman" w:hAnsi="Times New Roman" w:eastAsia="Times New Roman"/>
                <w:b w:val="0"/>
                <w:sz w:val="20"/>
              </w:rPr>
              <w:t>Комментарий и событие сохранены</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8</w:t>
            </w:r>
          </w:p>
        </w:tc>
        <w:tc>
          <w:tcPr>
            <w:tcW w:type="dxa" w:w="3730"/>
            <w:vAlign w:val="center"/>
          </w:tcPr>
          <w:p>
            <w:pPr>
              <w:pStyle w:val="TableText"/>
              <w:spacing w:before="0" w:after="0" w:line="240" w:lineRule="auto"/>
              <w:jc w:val="left"/>
            </w:pPr>
            <w:r>
              <w:rPr>
                <w:rFonts w:ascii="Times New Roman" w:hAnsi="Times New Roman" w:eastAsia="Times New Roman"/>
                <w:b w:val="0"/>
                <w:sz w:val="20"/>
              </w:rPr>
              <w:t>Изменение без CSRF-токена</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Ответ об ошибке 403</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9</w:t>
            </w:r>
          </w:p>
        </w:tc>
        <w:tc>
          <w:tcPr>
            <w:tcW w:type="dxa" w:w="3730"/>
            <w:vAlign w:val="center"/>
          </w:tcPr>
          <w:p>
            <w:pPr>
              <w:pStyle w:val="TableText"/>
              <w:spacing w:before="0" w:after="0" w:line="240" w:lineRule="auto"/>
              <w:jc w:val="left"/>
            </w:pPr>
            <w:r>
              <w:rPr>
                <w:rFonts w:ascii="Times New Roman" w:hAnsi="Times New Roman" w:eastAsia="Times New Roman"/>
                <w:b w:val="0"/>
                <w:sz w:val="20"/>
              </w:rPr>
              <w:t>Экспорт реестра специалистом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Получен файл CSV</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10</w:t>
            </w:r>
          </w:p>
        </w:tc>
        <w:tc>
          <w:tcPr>
            <w:tcW w:type="dxa" w:w="3730"/>
            <w:vAlign w:val="center"/>
          </w:tcPr>
          <w:p>
            <w:pPr>
              <w:pStyle w:val="TableText"/>
              <w:spacing w:before="0" w:after="0" w:line="240" w:lineRule="auto"/>
              <w:jc w:val="left"/>
            </w:pPr>
            <w:r>
              <w:rPr>
                <w:rFonts w:ascii="Times New Roman" w:hAnsi="Times New Roman" w:eastAsia="Times New Roman"/>
                <w:b w:val="0"/>
                <w:sz w:val="20"/>
              </w:rPr>
              <w:t>Перезапуск приложения</w:t>
            </w:r>
          </w:p>
        </w:tc>
        <w:tc>
          <w:tcPr>
            <w:tcW w:type="dxa" w:w="4867"/>
            <w:vAlign w:val="center"/>
          </w:tcPr>
          <w:p>
            <w:pPr>
              <w:pStyle w:val="TableText"/>
              <w:spacing w:before="0" w:after="0" w:line="240" w:lineRule="auto"/>
              <w:jc w:val="left"/>
            </w:pPr>
            <w:r>
              <w:rPr>
                <w:rFonts w:ascii="Times New Roman" w:hAnsi="Times New Roman" w:eastAsia="Times New Roman"/>
                <w:b w:val="0"/>
                <w:sz w:val="20"/>
              </w:rPr>
              <w:t>Записи доступны из SQLite</w:t>
            </w:r>
          </w:p>
        </w:tc>
      </w:tr>
    </w:tbl>
    <w:p>
      <w:pPr>
        <w:pStyle w:val="FigCaption"/>
        <w:keepNext w:val="0"/>
        <w:keepLines/>
        <w:jc w:val="center"/>
      </w:pPr>
      <w:r>
        <w:t>Таблица В.1 - Сценарии функциональной проверки</w:t>
      </w:r>
    </w:p>
    <w:p>
      <w:r>
        <w:t>Испытания осуществляются на локальной тестовой базе. Фактические результаты автоматизированных сценариев отражены в разделе 2.6. Для приемки развернутой версии на отдельной рабочей станции рекомендуется дополнительно проверить права на каталог хранения базы, сохранность данных после выключения программы, корректность работы браузера и возможности резервного копирования.</w:t>
      </w:r>
    </w:p>
    <w:sectPr w:rsidR="00FC693F" w:rsidRPr="0006063C" w:rsidSect="00034616">
      <w:footerReference w:type="default" r:id="rId9"/>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709"/>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ind w:firstLine="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288" w:lineRule="auto"/>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88" w:lineRule="auto"/>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40" w:lineRule="auto" w:after="0"/>
      <w:ind w:firstLine="0"/>
      <w:jc w:val="left"/>
    </w:pPr>
    <w:rPr>
      <w:rFonts w:ascii="Times New Roman" w:hAnsi="Times New Roman"/>
      <w:color w:val="000000"/>
      <w:sz w:val="22"/>
    </w:rPr>
  </w:style>
  <w:style w:type="paragraph" w:customStyle="1" w:styleId="FigCaption">
    <w:name w:val="FigCaption"/>
    <w:pPr>
      <w:keepNext w:val="0"/>
      <w:keepLines/>
      <w:spacing w:before="60" w:after="240"/>
      <w:ind w:firstLine="0"/>
      <w:jc w:val="center"/>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reProperties>
</file>