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010F" w:rsidRDefault="00D03CD4">
      <w:pPr>
        <w:pStyle w:val="Title"/>
      </w:pPr>
      <w:r>
        <w:t>Targeted maximum likelihood estimation and hospital readmissions</w:t>
      </w:r>
    </w:p>
    <w:p w:rsidR="0029010F" w:rsidRDefault="00D03CD4">
      <w:r>
        <w:t>Background: Hoping to improving quality of hospital care, the US and other jurisdictions financially penalize hospitals with poor (confounder-adjusted) 30-day readmission rates. Although hospital administrative data are information-rich, confounder adjustment tends to be crude. Non-parametric machine learning techniques can take advantage of these rich data to predict readmission, but cannot isolate the independent effect of hospitals on readmission risk.</w:t>
      </w:r>
    </w:p>
    <w:p w:rsidR="0029010F" w:rsidRDefault="00D03CD4">
      <w:r>
        <w:t>Research Design: To estimate the effect of care at different hospitals on 30-day readmission risk, we used targeted maximum likelihood estimation (TMLE), which allowed us to use a non-parametric machine learning technique (random forest) to take advantage of the rich confounder data. We used an 11-year cohort of 65-year-old patients from 20 hospitals in Montreal, Canada, and developed three models to estimate the marginal readmission risk at each of the hospitals after hospitalization for heart failure, acute myocardial infarction (AMI), and pneumonia. We controlled for hundreds of confounders including outpatient drug prescriptions, medical procedures, and diagnoses. We compared the TMLE-estimated risk to a logistic regression model that only crudely adjusted for confounding.</w:t>
      </w:r>
    </w:p>
    <w:p w:rsidR="0029010F" w:rsidRDefault="00D03CD4">
      <w:r>
        <w:t>Results: Within each hospital, crude readmission risk varied widely across the twenty hospitals for AMI 2,525 / 15,746 (16%), heart failure 5,520 / 24,847 (22%), and pneumonia 3,183 / 20,421 (16%). When crudely controlling for confounding, and compared to an arbitrary reference hospital, the odds ratio ranged from 0.95-1.02 for AMI, 0.92-1.04 for heart failure, and 0.96-1.04 for pneumonia. When we applied TMLE, the odds ratio ranged from 0.57-2.30 for AMI, 0.50-1.85 for heart failure, and 0.47-1.55 for pneumonia.</w:t>
      </w:r>
    </w:p>
    <w:p w:rsidR="0029010F" w:rsidRDefault="00D03CD4">
      <w:r>
        <w:t>Conclusion: Our results suggest that crudely adjusted hospital readmission rates will underestimate the differences between hospitals. Using TMLE, we could take advantage of rich confounder data, and reveal wide differences in quality of care between hospitals.</w:t>
      </w:r>
    </w:p>
    <w:p w:rsidR="0029010F" w:rsidRDefault="00D03CD4">
      <w:pPr>
        <w:pStyle w:val="Heading1"/>
      </w:pPr>
      <w:bookmarkStart w:id="0" w:name="introduction"/>
      <w:bookmarkEnd w:id="0"/>
      <w:r>
        <w:t>Introduction</w:t>
      </w:r>
    </w:p>
    <w:p w:rsidR="0029010F" w:rsidRDefault="00D03CD4" w:rsidP="00EB1399">
      <w:r>
        <w:t>In the US and other jurisdictions, administrators have sought to improve quality of care by financially penalizing hospitals with poor readmission rates.</w:t>
      </w:r>
      <w:r w:rsidR="00EB1399">
        <w:rPr>
          <w:vertAlign w:val="superscript"/>
        </w:rPr>
        <w:fldChar w:fldCharType="begin"/>
      </w:r>
      <w:r w:rsidR="00EB1399">
        <w:rPr>
          <w:vertAlign w:val="superscript"/>
        </w:rPr>
        <w:instrText xml:space="preserve"> ADDIN ZOTERO_ITEM CSL_CITATION {"citationID":"tr61h8pn","properties":{"formattedCitation":"{\\rtf \\super 1\\nosupersub{}}","plainCitation":"1"},"citationItems":[{"id":169,"uris":["http://zotero.org/users/808653/items/NHH94G8N"],"uri":["http://zotero.org/users/808653/items/NHH94G8N"],"itemData":{"id":169,"type":"book","title":"Medicare : a strategy for quality assurance","publisher":"National Academy Press","publisher-place":"Washington, D.C.","source":"Open WorldCat","event-place":"Washington, D.C.","ISBN":"0309042305  9780309042307  0309042380  9780309042383","shortTitle":"Medicare","language":"English","author":[{"family":"Institute of Medicine (U.S.). Division of Health Care Services","given":""},{"family":"Lohr","given":"Kathleen N"},{"family":"Institute of Medicine (U.S.). Committee to Design a Strategy for Quality Review and Assurance in Medicare","given":""},{"family":"United States. Health Care Financing Administration","given":""}],"issued":{"date-parts":[["1990"]]}}}],"schema":"https://github.com/citation-style-language/schema/raw/master/csl-citation.json"} </w:instrText>
      </w:r>
      <w:r w:rsidR="00EB1399">
        <w:rPr>
          <w:vertAlign w:val="superscript"/>
        </w:rPr>
        <w:fldChar w:fldCharType="separate"/>
      </w:r>
      <w:r w:rsidR="00EB1399" w:rsidRPr="00EB1399">
        <w:rPr>
          <w:rFonts w:ascii="Cambria" w:hAnsi="Cambria" w:cs="Times New Roman"/>
          <w:vertAlign w:val="superscript"/>
        </w:rPr>
        <w:t>1</w:t>
      </w:r>
      <w:r w:rsidR="00EB1399">
        <w:rPr>
          <w:vertAlign w:val="superscript"/>
        </w:rPr>
        <w:fldChar w:fldCharType="end"/>
      </w:r>
      <w:r>
        <w:t xml:space="preserve"> To avoid penalizing high quality of care at hospitals that admit sicker (more likely to be readmitted) patients, readmission rates are adjusted for patient-level confounding.</w:t>
      </w:r>
      <w:r w:rsidR="00EB1399">
        <w:rPr>
          <w:vertAlign w:val="superscript"/>
        </w:rPr>
        <w:fldChar w:fldCharType="begin"/>
      </w:r>
      <w:r w:rsidR="00EB1399">
        <w:rPr>
          <w:vertAlign w:val="superscript"/>
        </w:rPr>
        <w:instrText xml:space="preserve"> ADDIN ZOTERO_ITEM CSL_CITATION {"citationID":"2ligc7i5cg","properties":{"formattedCitation":"{\\rtf \\super 2\\nosupersub{}}","plainCitation":"2"},"citationItems":[{"id":247,"uris":["http://zotero.org/users/808653/items/WA5TR4GW"],"uri":["http://zotero.org/users/808653/items/WA5TR4GW"],"itemData":{"id":247,"type":"legislation","title":"Public Law 111 - 148 - Patient Protection and Affordable Care Act","URL":"http://www.gpo.gov/fdsys/pkg/PLAW-111publ148/content-detail.html","author":[{"family":"US Government","given":""}],"issued":{"date-parts":[["2012"]]}},"label":"page"}],"schema":"https://github.com/citation-style-language/schema/raw/master/csl-citation.json"} </w:instrText>
      </w:r>
      <w:r w:rsidR="00EB1399">
        <w:rPr>
          <w:vertAlign w:val="superscript"/>
        </w:rPr>
        <w:fldChar w:fldCharType="separate"/>
      </w:r>
      <w:r w:rsidR="00EB1399" w:rsidRPr="00EB1399">
        <w:rPr>
          <w:rFonts w:ascii="Cambria" w:hAnsi="Cambria" w:cs="Times New Roman"/>
          <w:vertAlign w:val="superscript"/>
        </w:rPr>
        <w:t>2</w:t>
      </w:r>
      <w:r w:rsidR="00EB1399">
        <w:rPr>
          <w:vertAlign w:val="superscript"/>
        </w:rPr>
        <w:fldChar w:fldCharType="end"/>
      </w:r>
      <w:r>
        <w:t xml:space="preserve"> Although hospital readmission rates are typically only adjusted for a few well-known confounders such as age, sex, previous readmissions, and summarized comorbidity scores,</w:t>
      </w:r>
      <w:r w:rsidR="00EB1399">
        <w:rPr>
          <w:vertAlign w:val="superscript"/>
        </w:rPr>
        <w:fldChar w:fldCharType="begin"/>
      </w:r>
      <w:r w:rsidR="00EB1399">
        <w:rPr>
          <w:vertAlign w:val="superscript"/>
        </w:rPr>
        <w:instrText xml:space="preserve"> ADDIN ZOTERO_ITEM CSL_CITATION {"citationID":"2fsf0oie89","properties":{"formattedCitation":"{\\rtf \\super 3\\nosupersub{}}","plainCitation":"3"},"citationItems":[{"id":239,"uris":["http://zotero.org/users/808653/items/V5T6RXC3"],"uri":["http://zotero.org/users/808653/items/V5T6RXC3"],"itemData":{"id":239,"type":"article-journal","title":"Risk prediction models for hospital readmission: a systematic review","container-title":"JAMA: The Journal of the American Medical Association","page":"1688-1698","volume":"306","issue":"15","source":"NCBI PubMed","abstract":"CONTEXT\n\nPredicting hospital readmission risk is of great interest to identify which patients would benefit most from care transition interventions, as well as to risk-adjust readmission rates for the purposes of hospital comparison.\n\n\nOBJECTIVE\n\nTo summarize validated readmission risk prediction models, describe their performance, and assess suitability for clinical or administrative use.\n\n\nDATA SOURCES AND STUDY SELECTION\n\nThe databases of MEDLINE, CINAHL, and the Cochrane Library were searched from inception through March 2011, the EMBASE database was searched through August 2011, and hand searches were performed of the retrieved reference lists. Dual review was conducted to identify studies published in the English language of prediction models tested with medical patients in both derivation and validation cohorts.\n\n\nDATA EXTRACTION\n\nData were extracted on the population, setting, sample size, follow-up interval, readmission rate, model discrimination and calibration, type of data used, and timing of data collection.\n\n\nDATA SYNTHESIS\n\nOf 7843 citations reviewed, 30 studies of 26 unique models met the inclusion criteria. The most common outcome used was 30-day readmission; only 1 model specifically addressed preventable readmissions. Fourteen models that relied on retrospective administrative data could be potentially used to risk-adjust readmission rates for hospital comparison; of these, 9 were tested in large US populations and had poor discriminative ability (c statistic range: 0.55-0.65). Seven models could potentially be used to identify high-risk patients for intervention early during a hospitalization (c statistic range: 0.56-0.72), and 5 could be used at hospital discharge (c statistic range: 0.68-0.83). Six studies compared different models in the same population and 2 of these found that functional and social variables improved model discrimination. Although most models incorporated variables for medical comorbidity and use of prior medical services, few examined variables associated with overall health and function, illness severity, or social determinants of health.\n\n\nCONCLUSIONS\n\nMost current readmission risk prediction models that were designed for either comparative or clinical purposes perform poorly. Although in certain settings such models may prove useful, efforts to improve their performance are needed as use becomes more widespread.","DOI":"10.1001/jama.2011.1515","ISSN":"1538-3598","note":"PMID: 22009101","shortTitle":"Risk prediction models for hospital readmission","journalAbbreviation":"JAMA","author":[{"family":"Kansagara","given":"Devan"},{"family":"Englander","given":"Honora"},{"family":"Salanitro","given":"Amanda"},{"family":"Kagen","given":"David"},{"family":"Theobald","given":"Cecelia"},{"family":"Freeman","given":"Michele"},{"family":"Kripalani","given":"Sunil"}],"issued":{"date-parts":[["2011",10,19]]},"accessed":{"date-parts":[["2011",11,27]]},"PMID":"22009101"}}],"schema":"https://github.com/citation-style-language/schema/raw/master/csl-citation.json"} </w:instrText>
      </w:r>
      <w:r w:rsidR="00EB1399">
        <w:rPr>
          <w:vertAlign w:val="superscript"/>
        </w:rPr>
        <w:fldChar w:fldCharType="separate"/>
      </w:r>
      <w:r w:rsidR="00EB1399" w:rsidRPr="00EB1399">
        <w:rPr>
          <w:rFonts w:ascii="Cambria" w:hAnsi="Cambria" w:cs="Times New Roman"/>
          <w:vertAlign w:val="superscript"/>
        </w:rPr>
        <w:t>3</w:t>
      </w:r>
      <w:r w:rsidR="00EB1399">
        <w:rPr>
          <w:vertAlign w:val="superscript"/>
        </w:rPr>
        <w:fldChar w:fldCharType="end"/>
      </w:r>
      <w:r>
        <w:t xml:space="preserve"> healthcare administrative data are often information-rich, including drug prescriptions, diagnoses, and medical procedures.</w:t>
      </w:r>
    </w:p>
    <w:p w:rsidR="0029010F" w:rsidRDefault="00D03CD4" w:rsidP="00D03CD4">
      <w:r>
        <w:lastRenderedPageBreak/>
        <w:t>Some epidemiologists have argued for the application of machine learning techniques to handle newly available information-rich data sources.</w:t>
      </w:r>
      <w:r w:rsidR="00EB1399">
        <w:fldChar w:fldCharType="begin"/>
      </w:r>
      <w:r w:rsidR="00EB1399">
        <w:instrText xml:space="preserve"> ADDIN ZOTERO_ITEM CSL_CITATION {"citationID":"1mv5o2vbvo","properties":{"formattedCitation":"{\\rtf \\super 4\\nosupersub{}}","plainCitation":"4"},"citationItems":[{"id":441,"uris":["http://zotero.org/users/808653/items/QMKI8E77"],"uri":["http://zotero.org/users/808653/items/QMKI8E77"],"itemData":{"id":441,"type":"article-journal","title":"Invited Commentary: Off-Roading With Social Epidemiology--Exploration, Causation, Translation","container-title":"American Journal of Epidemiology","page":"858-863","volume":"178","issue":"6","source":"CrossRef","DOI":"10.1093/aje/kwt145","ISSN":"0002-9262, 1476-6256","shortTitle":"Invited Commentary","language":"en","author":[{"family":"Glymour","given":"M. M."},{"family":"Osypuk","given":"T. L."},{"family":"Rehkopf","given":"D. H."}],"issued":{"date-parts":[["2013",9,15]]},"accessed":{"date-parts":[["2014",8,18]]}}}],"schema":"https://github.com/citation-style-language/schema/raw/master/csl-citation.json"} </w:instrText>
      </w:r>
      <w:r w:rsidR="00EB1399">
        <w:fldChar w:fldCharType="separate"/>
      </w:r>
      <w:r w:rsidR="00EB1399" w:rsidRPr="00EB1399">
        <w:rPr>
          <w:rFonts w:ascii="Cambria" w:hAnsi="Cambria" w:cs="Times New Roman"/>
          <w:vertAlign w:val="superscript"/>
        </w:rPr>
        <w:t>4</w:t>
      </w:r>
      <w:r w:rsidR="00EB1399">
        <w:fldChar w:fldCharType="end"/>
      </w:r>
      <w:r>
        <w:t xml:space="preserve"> Non-parametric machine learning techniques can accurately discriminate patient readmission risk using hundreds of variables in a computationally efficient way.</w:t>
      </w:r>
      <w:r>
        <w:rPr>
          <w:vertAlign w:val="superscript"/>
        </w:rPr>
        <w:fldChar w:fldCharType="begin"/>
      </w:r>
      <w:r>
        <w:rPr>
          <w:vertAlign w:val="superscript"/>
        </w:rPr>
        <w:instrText xml:space="preserve"> ADDIN ZOTERO_ITEM CSL_CITATION {"citationID":"1lqfsbikt7","properties":{"formattedCitation":"{\\rtf \\super 5\\nosupersub{}}","plainCitation":"5"},"citationItems":[{"id":403,"uris":["http://zotero.org/users/808653/items/JHVFKZ83"],"uri":["http://zotero.org/users/808653/items/JHVFKZ83"],"itemData":{"id":403,"type":"book","title":"The elements of statistical learning: data mining, inference, and prediction","collection-title":"Springer series in statistics","publisher":"Springer","publisher-place":"New York, NY","number-of-pages":"745","edition":"2nd ed","source":"Library of Congress ISBN","event-place":"New York, NY","ISBN":"9780387848570","call-number":"Q325.5 .H39 2009","shortTitle":"The elements of statistical learning","author":[{"family":"Hastie","given":"Trevor"}],"issued":{"date-parts":[["2009"]]}}}],"schema":"https://github.com/citation-style-language/schema/raw/master/csl-citation.json"} </w:instrText>
      </w:r>
      <w:r>
        <w:rPr>
          <w:vertAlign w:val="superscript"/>
        </w:rPr>
        <w:fldChar w:fldCharType="separate"/>
      </w:r>
      <w:r w:rsidRPr="00D03CD4">
        <w:rPr>
          <w:rFonts w:ascii="Cambria" w:hAnsi="Cambria" w:cs="Times New Roman"/>
          <w:vertAlign w:val="superscript"/>
        </w:rPr>
        <w:t>5</w:t>
      </w:r>
      <w:r>
        <w:rPr>
          <w:vertAlign w:val="superscript"/>
        </w:rPr>
        <w:fldChar w:fldCharType="end"/>
      </w:r>
      <w:r>
        <w:t xml:space="preserve"> Non-parametric models also allow us to avoid specifying a functional form, making it easier to detect complex relationships like multi-way interactions. However, most machine learning techniques were developed for prediction rather than inference; we cannot use them alone to isolate (target) effects measures of specific variables, such as care at a particular hospital, on readmission risk.</w:t>
      </w:r>
    </w:p>
    <w:p w:rsidR="0029010F" w:rsidRDefault="00D03CD4" w:rsidP="00D03CD4">
      <w:r>
        <w:t>The targeted maximum likelihood estimator (TMLE), is a doubly-robust technique that uses propensity scores to estimate target parameters of interest, and allows the incorporation of machine learning techniques.</w:t>
      </w:r>
      <w:r>
        <w:rPr>
          <w:vertAlign w:val="superscript"/>
        </w:rPr>
        <w:fldChar w:fldCharType="begin"/>
      </w:r>
      <w:r>
        <w:rPr>
          <w:vertAlign w:val="superscript"/>
        </w:rPr>
        <w:instrText xml:space="preserve"> ADDIN ZOTERO_ITEM CSL_CITATION {"citationID":"2bnje3urmb","properties":{"formattedCitation":"{\\rtf \\super 6\\nosupersub{}}","plainCitation":"6"},"citationItems":[{"id":402,"uris":["http://zotero.org/users/808653/items/W9US7JMF"],"uri":["http://zotero.org/users/808653/items/W9US7JMF"],"itemData":{"id":402,"type":"book","title":"Targeted Learning: Causal Inference for Observational Data","collection-title":"Springer Series in Statistics","publisher":"Springer New York","publisher-place":"New York, NY","source":"CrossRef","event-place":"New York, NY","URL":"http://link.springer.com/10.1007/978-1-4419-9782-1","ISBN":"978-1-4419-9781-4, 978-1-4419-9782-1","author":[{"family":"van der Laan","given":"Mark J."},{"family":"Rose","given":"Sherri"}],"issued":{"date-parts":[["2011"]]},"accessed":{"date-parts":[["2014",7,19]]}}}],"schema":"https://github.com/citation-style-language/schema/raw/master/csl-citation.json"} </w:instrText>
      </w:r>
      <w:r>
        <w:rPr>
          <w:vertAlign w:val="superscript"/>
        </w:rPr>
        <w:fldChar w:fldCharType="separate"/>
      </w:r>
      <w:r w:rsidRPr="00D03CD4">
        <w:rPr>
          <w:rFonts w:ascii="Cambria" w:hAnsi="Cambria" w:cs="Times New Roman"/>
          <w:vertAlign w:val="superscript"/>
        </w:rPr>
        <w:t>6</w:t>
      </w:r>
      <w:r>
        <w:rPr>
          <w:vertAlign w:val="superscript"/>
        </w:rPr>
        <w:fldChar w:fldCharType="end"/>
      </w:r>
      <w:r>
        <w:t xml:space="preserve"> In TMLE, two (possibly non-parametric) two models are developed: one to estimate the probability of exposure (the propensity score), and another model to estimate the probability of the outcome. These two probabilities are combined in a parametric model with only the parameter of interest. In this way, the discriminative power of non-parametric models can be used to extract estimates of parameters of interest.</w:t>
      </w:r>
    </w:p>
    <w:p w:rsidR="0029010F" w:rsidRDefault="00D03CD4" w:rsidP="008A0BF6">
      <w:r>
        <w:t>Although some studies have used the rich confounder data in combination with machine learning techniques to predict hospital readmissions</w:t>
      </w:r>
      <w:r w:rsidR="008A0BF6">
        <w:fldChar w:fldCharType="begin"/>
      </w:r>
      <w:r w:rsidR="008A0BF6">
        <w:instrText xml:space="preserve"> ADDIN ZOTERO_ITEM CSL_CITATION {"citationID":"mie6lcp8u","properties":{"formattedCitation":"{\\rtf \\super 7,8\\nosupersub{}}","plainCitation":"7,8"},"citationItems":[{"id":431,"uris":["http://zotero.org/users/808653/items/I4JM4G3A"],"uri":["http://zotero.org/users/808653/items/I4JM4G3A"],"itemData":{"id":431,"type":"article-journal","title":"Mining high-dimensional administrative claims data to predict early hospital readmissions","container-title":"Journal of the American Medical Informatics Association","page":"272-279","volume":"21","issue":"2","source":"CrossRef","DOI":"10.1136/amiajnl-2013-002151","ISSN":"1067-5027, 1527-974X","language":"en","author":[{"family":"He","given":"D."},{"family":"Mathews","given":"S. C."},{"family":"Kalloo","given":"A. N."},{"family":"Hutfless","given":"S."}],"issued":{"date-parts":[["2014",3,1]]},"accessed":{"date-parts":[["2014",8,15]]}}},{"id":408,"uris":["http://zotero.org/users/808653/items/FUKFF8X8"],"uri":["http://zotero.org/users/808653/items/FUKFF8X8"],"itemData":{"id":408,"type":"article-journal","title":"Assessing the Predictability of Hospital Readmission Using Machine Learning","abstract":"Unplanned hospital readmissions raise health care costsand cause significant distress to patients. Hence, predictingwhich patients are at risk to be readmitted isof great interest. In this paper, we mine large amountsof administrative information from claim data, includingpatients demographics, dispensed drugs, medical orsurgical procedures performed, and medical diagnosis,in order to predict readmission using supervised learningmethods. Our objective is to gain knowledge aboutthe predictive power of the available information. Ourpreliminary results on data from the provincial hospitalsystem in Quebec illustrate the potential for this approachto reveal important information on factors thattrigger hospital readmission. Our findings suggest thata substantial portion of readmissions is inherently hardto predict. Consequently, the use of the raw readmissionrate as an indicator of the quality of provided care mightnot be appropriate.","URL":"http://www.aaai.org/ocs/index.php/IAAI/IAAI13/paper/view/6475/6431","author":[{"family":"Hosseinzadeh","given":"Arian"},{"family":"Izadi","given":"Masoumeh"},{"family":"Verma","given":"Aman"},{"family":"Precup","given":"Doina"},{"family":"Buckeridge","given":"David"}],"issued":{"date-parts":[["2013"]]}}}],"schema":"https://github.com/citation-style-language/schema/raw/master/csl-citation.json"} </w:instrText>
      </w:r>
      <w:r w:rsidR="008A0BF6">
        <w:fldChar w:fldCharType="separate"/>
      </w:r>
      <w:r w:rsidR="008A0BF6" w:rsidRPr="008A0BF6">
        <w:rPr>
          <w:rFonts w:ascii="Cambria" w:hAnsi="Cambria" w:cs="Times New Roman"/>
          <w:vertAlign w:val="superscript"/>
        </w:rPr>
        <w:t>7,8</w:t>
      </w:r>
      <w:r w:rsidR="008A0BF6">
        <w:fldChar w:fldCharType="end"/>
      </w:r>
      <w:r>
        <w:t>, no study to our knowledge has used these data to draw causal inference on the effect of quality of care on readmissions. In this study, we sought to estimate the independent effect of hospital care on the 30-day readmission for twenty Montreal hospitals, within three different admission diagnoses (pneumonia, heart failure, and acute myocardial infarction). We used a non-parametric machine learning technique, (random forest</w:t>
      </w:r>
      <w:r>
        <w:rPr>
          <w:vertAlign w:val="superscript"/>
        </w:rPr>
        <w:fldChar w:fldCharType="begin"/>
      </w:r>
      <w:r>
        <w:rPr>
          <w:vertAlign w:val="superscript"/>
        </w:rPr>
        <w:instrText xml:space="preserve"> ADDIN ZOTERO_ITEM CSL_CITATION {"citationID":"vahmcpmsd","properties":{"formattedCitation":"{\\rtf \\super 9\\nosupersub{}}","plainCitation":"9"},"citationItems":[{"id":377,"uris":["http://zotero.org/users/808653/items/AZ5VC2F4"],"uri":["http://zotero.org/users/808653/items/AZ5VC2F4"],"itemData":{"id":377,"type":"article-journal","title":"Random Forests","container-title":"Machine Learning","page":"5-32","volume":"45","issue":"1","DOI":"10.1023/A:1010933404324","ISSN":"0885-6125","language":"English","author":[{"family":"Breiman","given":"Leo"}],"issued":{"date-parts":[["2001"]]}}}],"schema":"https://github.com/citation-style-language/schema/raw/master/csl-citation.json"} </w:instrText>
      </w:r>
      <w:r>
        <w:rPr>
          <w:vertAlign w:val="superscript"/>
        </w:rPr>
        <w:fldChar w:fldCharType="separate"/>
      </w:r>
      <w:r w:rsidRPr="00D03CD4">
        <w:rPr>
          <w:rFonts w:ascii="Cambria" w:hAnsi="Cambria" w:cs="Times New Roman"/>
          <w:vertAlign w:val="superscript"/>
        </w:rPr>
        <w:t>9</w:t>
      </w:r>
      <w:r>
        <w:rPr>
          <w:vertAlign w:val="superscript"/>
        </w:rPr>
        <w:fldChar w:fldCharType="end"/>
      </w:r>
      <w:r>
        <w:t>), with TMLE to take advantage of the rich confounder data and minimize bias in our estimate of readmission risk.</w:t>
      </w:r>
    </w:p>
    <w:p w:rsidR="0029010F" w:rsidRDefault="00D03CD4">
      <w:pPr>
        <w:pStyle w:val="Heading1"/>
      </w:pPr>
      <w:bookmarkStart w:id="1" w:name="methods"/>
      <w:bookmarkEnd w:id="1"/>
      <w:r>
        <w:t>Methods</w:t>
      </w:r>
    </w:p>
    <w:p w:rsidR="0029010F" w:rsidRDefault="00D03CD4">
      <w:pPr>
        <w:pStyle w:val="Heading2"/>
      </w:pPr>
      <w:bookmarkStart w:id="2" w:name="study-design"/>
      <w:bookmarkEnd w:id="2"/>
      <w:r>
        <w:t>Study Design</w:t>
      </w:r>
    </w:p>
    <w:p w:rsidR="0029010F" w:rsidRDefault="00D03CD4" w:rsidP="003A7796">
      <w:r>
        <w:t xml:space="preserve">We used a cohort extracted from a Canadian provincial (Quebec) administrative database of hospitalizations, obtained from the </w:t>
      </w:r>
      <w:r w:rsidRPr="003A7796">
        <w:rPr>
          <w:i/>
          <w:lang w:val="en-CA"/>
        </w:rPr>
        <w:t>Régie de l’assurance maladie du Québec</w:t>
      </w:r>
      <w:r>
        <w:t xml:space="preserve"> (RAMQ). We enrolled patients into this cohort on the month that two conditions were satisfied: 1) they had at least one diagnosis of a respiratory illness (the exact list of respiratory International Classification of Diseases, 9th Revision [ICD-9] codes is given in Table 4 the </w:t>
      </w:r>
      <w:r w:rsidR="003A7796">
        <w:t>a</w:t>
      </w:r>
      <w:r>
        <w:t>ppendix) between January 1st, 1996 and March 31, 2006 (the study period), while living in the 2006 census metropolitan area of Montreal, and 2) were at least 65 years of age. We used this cohort because it contains the majority of 65-year-old patients who were hospitalized in the region during the study period.</w:t>
      </w:r>
    </w:p>
    <w:p w:rsidR="0029010F" w:rsidRDefault="00D03CD4">
      <w:r>
        <w:t xml:space="preserve">From among this cohort, we selected hospital discharges for those who had accrued at least one continuous year in the cohort preceding the day of admission. We restricted our data to only the discharges from the twenty hospitals with the most discharges of patients 65 years of age or older within the study period; the twenty hospitals accounted for 75% of all such discharges. We only selected </w:t>
      </w:r>
      <w:r>
        <w:lastRenderedPageBreak/>
        <w:t>hospital discharges which resulted from hospital stays of at least one day. Therefore, the earliest possible hospital discharge was January 2, 1997.</w:t>
      </w:r>
    </w:p>
    <w:p w:rsidR="0029010F" w:rsidRDefault="00D03CD4">
      <w:r>
        <w:t>From among the identified hospital discharges, we selected only those with one of three high-volume admission diagnoses with high rates of hospital readmissions: pneumonia, acute myocardial infarction (AMI), and heart failure. We identified each of the admission diagnoses using ICD-9 codes; for pneumonia we used codes ranging from 480-487, for heart failure we used all 428 codes, and for AMI we used all 410 codes. The following methods were applied individually to all three disease subsets.</w:t>
      </w:r>
    </w:p>
    <w:p w:rsidR="0029010F" w:rsidRDefault="00D03CD4">
      <w:pPr>
        <w:pStyle w:val="Heading2"/>
      </w:pPr>
      <w:bookmarkStart w:id="3" w:name="hospital-readmissions"/>
      <w:bookmarkEnd w:id="3"/>
      <w:r>
        <w:t>Hospital readmissions</w:t>
      </w:r>
    </w:p>
    <w:p w:rsidR="0029010F" w:rsidRDefault="00D03CD4">
      <w:r>
        <w:t>The unit of analysis was the hospital discharge; a person could be discharged multiple times. A hospital readmission was defined as an emergency hospital admission to any Quebec hospital in the 30 days following a discharge. A person who died or had a non-emergency readmission in the 30 days following discharge was considered not readmitted.</w:t>
      </w:r>
    </w:p>
    <w:p w:rsidR="0029010F" w:rsidRDefault="00D03CD4">
      <w:pPr>
        <w:pStyle w:val="Heading2"/>
      </w:pPr>
      <w:bookmarkStart w:id="4" w:name="confounders-and-risk-factors"/>
      <w:bookmarkEnd w:id="4"/>
      <w:r>
        <w:t>Confounders and Risk Factors</w:t>
      </w:r>
    </w:p>
    <w:p w:rsidR="0029010F" w:rsidRDefault="00D03CD4" w:rsidP="00D03CD4">
      <w:r>
        <w:t>For each hospital discharge, we collected plausible confounders that measured states at the time of, or prior to, admission. We used the demographic characteristics (age at time of admission (years), sex, birth year-month), the number of previous readmissions (within the preceding year), the admission diagnosis (as measured by the specific ICD-9 code). We also included the day of week of discharge, which has been previously shown to have an association with readmissions</w:t>
      </w:r>
      <w:r>
        <w:fldChar w:fldCharType="begin"/>
      </w:r>
      <w:r>
        <w:instrText xml:space="preserve"> ADDIN ZOTERO_ITEM CSL_CITATION {"citationID":"1lmj0d5vuc","properties":{"formattedCitation":"{\\rtf \\super 10\\nosupersub{}}","plainCitation":"10"},"citationItems":[{"id":104,"uris":["http://zotero.org/users/808653/items/DJF2IU8Z"],"uri":["http://zotero.org/users/808653/items/DJF2IU8Z"],"itemData":{"id":104,"type":"article-journal","title":"Risk of death or readmission among people discharged from hospital on Fridays","container-title":"CMAJ: Canadian Medical Association Journal = Journal De l'Association Medicale Canadienne","page":"1672-1673","volume":"166","issue":"13","source":"NCBI PubMed","ISSN":"0820-3946","note":"PMID: 12126321","journalAbbreviation":"CMAJ","author":[{"family":"van Walraven","given":"Carl"},{"family":"Bell","given":"Chaim M"}],"issued":{"date-parts":[["2002",6,25]]},"accessed":{"date-parts":[["2011",12,10]]},"PMID":"12126321"}}],"schema":"https://github.com/citation-style-language/schema/raw/master/csl-citation.json"} </w:instrText>
      </w:r>
      <w:r>
        <w:fldChar w:fldCharType="separate"/>
      </w:r>
      <w:r w:rsidRPr="00D03CD4">
        <w:rPr>
          <w:rFonts w:ascii="Cambria" w:hAnsi="Cambria" w:cs="Times New Roman"/>
          <w:vertAlign w:val="superscript"/>
        </w:rPr>
        <w:t>10</w:t>
      </w:r>
      <w:r>
        <w:fldChar w:fldCharType="end"/>
      </w:r>
      <w:r>
        <w:t>, and the month of discharge, because we hypothesized that readmission risk would vary by season in Montreal.</w:t>
      </w:r>
    </w:p>
    <w:p w:rsidR="0029010F" w:rsidRDefault="00D03CD4">
      <w:r>
        <w:t xml:space="preserve">Additionally, for each discharge, we collected the Quebec hospital diagnoses, Quebec hospital procedures, and drugs dispensed outside of the hospital but inside Quebec, in the year preceding the admission. The hospital procedures were recorded in the Canadian Classification of Diagnostic, Therapeutic, and Surgical Procedures (CCP) system. Hospital diagnostic codes were coded using the ICD-9 system. Finally, drugs which were prescribed and dispensed outside the hospital, and were being taken on the day of admission were also recorded for each patient in the </w:t>
      </w:r>
      <w:r>
        <w:rPr>
          <w:i/>
        </w:rPr>
        <w:t>code commune</w:t>
      </w:r>
      <w:r>
        <w:t xml:space="preserve"> system, which categorizes drugs based on the chemical compound. To ease computation, before fitting any model, we removed any diagnosis, procedure or drug that occurred less than 30 times among all discharges. We chose 30 because it appeared to be a natural breakpoint; if the number of variables included is a function </w:t>
      </w:r>
      <m:oMath>
        <m:r>
          <m:rPr>
            <m:sty m:val="p"/>
          </m:rPr>
          <w:rPr>
            <w:rFonts w:ascii="Cambria Math" w:hAnsi="Cambria Math"/>
          </w:rPr>
          <m:t>f</m:t>
        </m:r>
      </m:oMath>
      <w:r>
        <w:t xml:space="preserve"> of the threshold, then the first derivative of </w:t>
      </w:r>
      <m:oMath>
        <m:r>
          <m:rPr>
            <m:sty m:val="p"/>
          </m:rPr>
          <w:rPr>
            <w:rFonts w:ascii="Cambria Math" w:hAnsi="Cambria Math"/>
          </w:rPr>
          <m:t>f</m:t>
        </m:r>
      </m:oMath>
      <w:r>
        <w:t xml:space="preserve"> dropped at 30 for all three disease categories.</w:t>
      </w:r>
    </w:p>
    <w:p w:rsidR="0029010F" w:rsidRDefault="00D03CD4" w:rsidP="00D03CD4">
      <w:r>
        <w:t>We believed that residential location would strongly affect the probability of admission to the hospital nearest that census tract. We included it in our models because we also expected it to crudely approximate a (expected) confounder: socio-economic status. We used the residential postal code at the time of admission to assign each patient in the cohort to a census tract, as defined by the 2006 Canadian census. (Census tracts contain between 2,500 and 8,000 people, and, at the time of their creation, are demarcated so as to maximize homogeneity of socioeconomic characteristics.)</w:t>
      </w:r>
      <w:r>
        <w:rPr>
          <w:vertAlign w:val="superscript"/>
        </w:rPr>
        <w:fldChar w:fldCharType="begin"/>
      </w:r>
      <w:r>
        <w:rPr>
          <w:vertAlign w:val="superscript"/>
        </w:rPr>
        <w:instrText xml:space="preserve"> ADDIN ZOTERO_ITEM CSL_CITATION {"citationID":"qsmba7ek3","properties":{"formattedCitation":"{\\rtf \\super 11\\nosupersub{}}","plainCitation":"11"},"citationItems":[{"id":432,"uris":["http://zotero.org/users/808653/items/K5WKIXA8"],"uri":["http://zotero.org/users/808653/items/K5WKIXA8"],"itemData":{"id":432,"type":"article","title":"2006 Census Dictionary","URL":"http://www12.statcan.ca/english/census06/reference/dictionary/index.cfm","author":[{"family":"Statistics Canada","given":""}],"issued":{"date-parts":[["2007"]]},"accessed":{"date-parts":[["2014",8,15]]}}}],"schema":"https://github.com/citation-style-language/schema/raw/master/csl-citation.json"} </w:instrText>
      </w:r>
      <w:r>
        <w:rPr>
          <w:vertAlign w:val="superscript"/>
        </w:rPr>
        <w:fldChar w:fldCharType="separate"/>
      </w:r>
      <w:r w:rsidRPr="00D03CD4">
        <w:rPr>
          <w:rFonts w:ascii="Cambria" w:hAnsi="Cambria" w:cs="Times New Roman"/>
          <w:vertAlign w:val="superscript"/>
        </w:rPr>
        <w:t>11</w:t>
      </w:r>
      <w:r>
        <w:rPr>
          <w:vertAlign w:val="superscript"/>
        </w:rPr>
        <w:fldChar w:fldCharType="end"/>
      </w:r>
    </w:p>
    <w:p w:rsidR="0029010F" w:rsidRDefault="00D03CD4">
      <w:pPr>
        <w:pStyle w:val="Heading2"/>
      </w:pPr>
      <w:bookmarkStart w:id="5" w:name="statistical-analyses"/>
      <w:bookmarkEnd w:id="5"/>
      <w:r>
        <w:lastRenderedPageBreak/>
        <w:t>Statistical Analyses</w:t>
      </w:r>
    </w:p>
    <w:p w:rsidR="0029010F" w:rsidRDefault="00D03CD4">
      <w:r>
        <w:t xml:space="preserve">For each discharge </w:t>
      </w:r>
      <m:oMath>
        <m:r>
          <m:rPr>
            <m:sty m:val="p"/>
          </m:rPr>
          <w:rPr>
            <w:rFonts w:ascii="Cambria Math" w:hAnsi="Cambria Math"/>
          </w:rPr>
          <m:t>i</m:t>
        </m:r>
      </m:oMath>
      <w:r>
        <w:t xml:space="preserve">, we sought to estimate the effect of each of the twenty hospitals </w:t>
      </w:r>
      <m:oMath>
        <m:r>
          <m:rPr>
            <m:sty m:val="p"/>
          </m:rPr>
          <w:rPr>
            <w:rFonts w:ascii="Cambria Math" w:hAnsi="Cambria Math"/>
          </w:rPr>
          <m:t>A∈</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20</m:t>
                </m:r>
              </m:sub>
            </m:sSub>
          </m:e>
        </m:d>
      </m:oMath>
      <w:r>
        <w:t xml:space="preserve"> on 30-day readmission (</w:t>
      </w:r>
      <m:oMath>
        <m:r>
          <m:rPr>
            <m:sty m:val="p"/>
          </m:rPr>
          <w:rPr>
            <w:rFonts w:ascii="Cambria Math" w:hAnsi="Cambria Math"/>
          </w:rPr>
          <m:t>Y</m:t>
        </m:r>
      </m:oMath>
      <w:r>
        <w:t>), accounting for the vector of confounders (</w:t>
      </w:r>
      <m:oMath>
        <m:r>
          <m:rPr>
            <m:sty m:val="p"/>
          </m:rPr>
          <w:rPr>
            <w:rFonts w:ascii="Cambria Math" w:hAnsi="Cambria Math"/>
          </w:rPr>
          <m:t>W</m:t>
        </m:r>
      </m:oMath>
      <w:r>
        <w:t xml:space="preserve">). To estimate this risk, we used targeted maximum likelihood estimation, which consisted of several steps. We first estimated of a model of the propensity score </w:t>
      </w:r>
      <m:oMath>
        <m:r>
          <m:rPr>
            <m:sty m:val="p"/>
          </m:rPr>
          <w:rPr>
            <w:rFonts w:ascii="Cambria Math" w:hAnsi="Cambria Math"/>
          </w:rPr>
          <m:t>g=Pr(A|W)</m:t>
        </m:r>
      </m:oMath>
      <w:r>
        <w:t xml:space="preserve"> (using random forest described below). Next, we estimated of a model of readmission risk based on the confounders </w:t>
      </w:r>
      <m:oMath>
        <m:r>
          <m:rPr>
            <m:sty m:val="p"/>
          </m:rPr>
          <w:rPr>
            <w:rFonts w:ascii="Cambria Math" w:hAnsi="Cambria Math"/>
          </w:rPr>
          <m:t>W</m:t>
        </m:r>
      </m:oMath>
      <w:r>
        <w:t xml:space="preserve"> and the variables for each of the hospitals </w:t>
      </w:r>
      <m:oMath>
        <m:r>
          <m:rPr>
            <m:sty m:val="p"/>
          </m:rPr>
          <w:rPr>
            <w:rFonts w:ascii="Cambria Math" w:hAnsi="Cambria Math"/>
          </w:rPr>
          <m:t>Q=Pr(Y=1|A,W)</m:t>
        </m:r>
      </m:oMath>
      <w:r>
        <w:t xml:space="preserve">. We then calculated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a</m:t>
            </m:r>
          </m:sub>
        </m:sSub>
        <m:r>
          <m:rPr>
            <m:sty m:val="p"/>
          </m:rPr>
          <w:rPr>
            <w:rFonts w:ascii="Cambria Math" w:hAnsi="Cambria Math"/>
          </w:rPr>
          <m:t>(A,W)</m:t>
        </m:r>
      </m:oMath>
      <w:r>
        <w:t xml:space="preserve"> (sometimes referred to as the clever covariate) described in equation [logistic_clever_covariate]</w:t>
      </w:r>
    </w:p>
    <w:p w:rsidR="0029010F" w:rsidRDefault="00D03CD4">
      <m:oMathPara>
        <m:oMathParaPr>
          <m:jc m:val="center"/>
        </m:oMathParaP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a</m:t>
              </m:r>
            </m:sub>
          </m:sSub>
          <m:r>
            <m:rPr>
              <m:sty m:val="p"/>
            </m:rPr>
            <w:rPr>
              <w:rFonts w:ascii="Cambria Math" w:hAnsi="Cambria Math"/>
            </w:rPr>
            <m:t>(A,W)=</m:t>
          </m:r>
          <m:f>
            <m:fPr>
              <m:ctrlPr>
                <w:rPr>
                  <w:rFonts w:ascii="Cambria Math" w:hAnsi="Cambria Math"/>
                </w:rPr>
              </m:ctrlPr>
            </m:fPr>
            <m:num>
              <m:r>
                <m:rPr>
                  <m:sty m:val="p"/>
                </m:rPr>
                <w:rPr>
                  <w:rFonts w:ascii="Cambria Math" w:hAnsi="Cambria Math"/>
                </w:rPr>
                <m:t>I(A=a)</m:t>
              </m:r>
            </m:num>
            <m:den>
              <m:r>
                <m:rPr>
                  <m:sty m:val="p"/>
                </m:rPr>
                <w:rPr>
                  <w:rFonts w:ascii="Cambria Math" w:hAnsi="Cambria Math"/>
                </w:rPr>
                <m:t>g(a|W)</m:t>
              </m:r>
            </m:den>
          </m:f>
        </m:oMath>
      </m:oMathPara>
    </w:p>
    <w:p w:rsidR="0029010F" w:rsidRDefault="00D03CD4">
      <w:r>
        <w:t xml:space="preserve">(where </w:t>
      </w:r>
      <m:oMath>
        <m:r>
          <m:rPr>
            <m:sty m:val="p"/>
          </m:rPr>
          <w:rPr>
            <w:rFonts w:ascii="Cambria Math" w:hAnsi="Cambria Math"/>
          </w:rPr>
          <m:t>I</m:t>
        </m:r>
      </m:oMath>
      <w:r>
        <w:t xml:space="preserve"> is the indicator function which evaluates to 1 when its argument is true, and 0 otherwise), and solved for all </w:t>
      </w:r>
      <m:oMath>
        <m:sSub>
          <m:sSubPr>
            <m:ctrlPr>
              <w:rPr>
                <w:rFonts w:ascii="Cambria Math" w:hAnsi="Cambria Math"/>
              </w:rPr>
            </m:ctrlPr>
          </m:sSubPr>
          <m:e>
            <m:r>
              <m:rPr>
                <m:sty m:val="p"/>
              </m:rPr>
              <w:rPr>
                <w:rFonts w:ascii="Cambria Math" w:hAnsi="Cambria Math"/>
              </w:rPr>
              <m:t>ϵ</m:t>
            </m:r>
          </m:e>
          <m:sub>
            <m:r>
              <m:rPr>
                <m:sty m:val="p"/>
              </m:rPr>
              <w:rPr>
                <w:rFonts w:ascii="Cambria Math" w:hAnsi="Cambria Math"/>
              </w:rPr>
              <m:t>a</m:t>
            </m:r>
          </m:sub>
        </m:sSub>
      </m:oMath>
      <w:r>
        <w:t xml:space="preserve"> in fluctuation function described in equation [logistic_fluctuation_function].</w:t>
      </w:r>
    </w:p>
    <w:p w:rsidR="0029010F" w:rsidRDefault="00D03CD4">
      <m:oMathPara>
        <m:oMathParaPr>
          <m:jc m:val="center"/>
        </m:oMathParaP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=expit(logit(Q(</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j=1</m:t>
              </m:r>
            </m:sub>
            <m:sup>
              <m:r>
                <m:rPr>
                  <m:sty m:val="p"/>
                </m:rPr>
                <w:rPr>
                  <w:rFonts w:ascii="Cambria Math" w:hAnsi="Cambria Math"/>
                </w:rPr>
                <m:t>20</m:t>
              </m:r>
            </m:sup>
            <m:e>
              <m:sSub>
                <m:sSubPr>
                  <m:ctrlPr>
                    <w:rPr>
                      <w:rFonts w:ascii="Cambria Math" w:hAnsi="Cambria Math"/>
                    </w:rPr>
                  </m:ctrlPr>
                </m:sSubPr>
                <m:e>
                  <m:r>
                    <m:rPr>
                      <m:sty m:val="p"/>
                    </m:rPr>
                    <w:rPr>
                      <w:rFonts w:ascii="Cambria Math" w:hAnsi="Cambria Math"/>
                    </w:rPr>
                    <m:t>ϵ</m:t>
                  </m:r>
                </m:e>
                <m: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j</m:t>
                      </m:r>
                    </m:sub>
                  </m:sSub>
                </m:sub>
              </m:sSub>
            </m:e>
          </m:nary>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j</m:t>
                  </m:r>
                </m:sub>
              </m:sSub>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rPr>
            <m:t>))</m:t>
          </m:r>
        </m:oMath>
      </m:oMathPara>
    </w:p>
    <w:p w:rsidR="0029010F" w:rsidRDefault="00D03CD4">
      <w:r>
        <w:t xml:space="preserve">We solved for all twenty </w:t>
      </w:r>
      <m:oMath>
        <m:sSub>
          <m:sSubPr>
            <m:ctrlPr>
              <w:rPr>
                <w:rFonts w:ascii="Cambria Math" w:hAnsi="Cambria Math"/>
              </w:rPr>
            </m:ctrlPr>
          </m:sSubPr>
          <m:e>
            <m:r>
              <m:rPr>
                <m:sty m:val="p"/>
              </m:rPr>
              <w:rPr>
                <w:rFonts w:ascii="Cambria Math" w:hAnsi="Cambria Math"/>
              </w:rPr>
              <m:t>ϵ</m:t>
            </m:r>
          </m:e>
          <m:sub>
            <m:r>
              <m:rPr>
                <m:sty m:val="p"/>
              </m:rPr>
              <w:rPr>
                <w:rFonts w:ascii="Cambria Math" w:hAnsi="Cambria Math"/>
              </w:rPr>
              <m:t>a</m:t>
            </m:r>
          </m:sub>
        </m:sSub>
      </m:oMath>
      <w:r>
        <w:t xml:space="preserve"> by regressing the 30-day readmission outcome </w:t>
      </w:r>
      <m:oMath>
        <m:r>
          <m:rPr>
            <m:sty m:val="p"/>
          </m:rPr>
          <w:rPr>
            <w:rFonts w:ascii="Cambria Math" w:hAnsi="Cambria Math"/>
          </w:rPr>
          <m:t>Y</m:t>
        </m:r>
      </m:oMath>
      <w:r>
        <w:t xml:space="preserve"> (with a logit link function) onto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a</m:t>
            </m:r>
          </m:sub>
        </m:sSub>
        <m:r>
          <m:rPr>
            <m:sty m:val="p"/>
          </m:rPr>
          <w:rPr>
            <w:rFonts w:ascii="Cambria Math" w:hAnsi="Cambria Math"/>
          </w:rPr>
          <m:t>(A,</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rPr>
          <m:t>)</m:t>
        </m:r>
      </m:oMath>
      <w:r>
        <w:t xml:space="preserve"> (with no intercept) offset by the inverse logit of the initial estimate of readmission risk </w:t>
      </w:r>
      <m:oMath>
        <m:r>
          <m:rPr>
            <m:sty m:val="p"/>
          </m:rPr>
          <w:rPr>
            <w:rFonts w:ascii="Cambria Math" w:hAnsi="Cambria Math"/>
          </w:rPr>
          <m:t>Q=(Y|A,W)</m:t>
        </m:r>
      </m:oMath>
      <w:r>
        <w:t>. Finally, for each discharge, we computed the estimated risk of 30-day readmission for all twenty counterfactual conditions (the risk of readmission for every discharge as if they had attended different hospital) using Equation [Q_star_logistic].</w:t>
      </w:r>
    </w:p>
    <w:p w:rsidR="0029010F" w:rsidRDefault="00D03CD4">
      <m:oMathPara>
        <m:oMathParaPr>
          <m:jc m:val="center"/>
        </m:oMathParaPr>
        <m:oMath>
          <m:sSubSup>
            <m:sSubSupPr>
              <m:ctrlPr>
                <w:rPr>
                  <w:rFonts w:ascii="Cambria Math" w:hAnsi="Cambria Math"/>
                </w:rPr>
              </m:ctrlPr>
            </m:sSubSupPr>
            <m:e>
              <m:r>
                <m:rPr>
                  <m:sty m:val="p"/>
                </m:rPr>
                <w:rPr>
                  <w:rFonts w:ascii="Cambria Math" w:hAnsi="Cambria Math"/>
                </w:rPr>
                <m:t>Q</m:t>
              </m:r>
            </m:e>
            <m:sub>
              <m:r>
                <m:rPr>
                  <m:sty m:val="p"/>
                </m:rPr>
                <w:rPr>
                  <w:rFonts w:ascii="Cambria Math" w:hAnsi="Cambria Math"/>
                </w:rPr>
                <m:t>ai</m:t>
              </m:r>
            </m:sub>
            <m:sup>
              <m:r>
                <m:rPr>
                  <m:sty m:val="p"/>
                </m:rPr>
                <w:rPr>
                  <w:rFonts w:ascii="Cambria Math" w:hAnsi="Cambria Math"/>
                </w:rPr>
                <m:t>*</m:t>
              </m:r>
            </m:sup>
          </m:sSubSup>
          <m:r>
            <m:rPr>
              <m:sty m:val="p"/>
            </m:rPr>
            <w:rPr>
              <w:rFonts w:ascii="Cambria Math" w:hAnsi="Cambria Math"/>
            </w:rPr>
            <m:t>=expit(logit(Q(Y|a,</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rPr>
            <m:t>))+</m:t>
          </m:r>
          <m:f>
            <m:fPr>
              <m:ctrlPr>
                <w:rPr>
                  <w:rFonts w:ascii="Cambria Math" w:hAnsi="Cambria Math"/>
                </w:rPr>
              </m:ctrlPr>
            </m:fPr>
            <m:num>
              <m:r>
                <m:rPr>
                  <m:sty m:val="p"/>
                </m:rPr>
                <w:rPr>
                  <w:rFonts w:ascii="Cambria Math" w:hAnsi="Cambria Math"/>
                </w:rPr>
                <m:t>ϵ</m:t>
              </m:r>
            </m:num>
            <m:den>
              <m:r>
                <m:rPr>
                  <m:sty m:val="p"/>
                </m:rPr>
                <w:rPr>
                  <w:rFonts w:ascii="Cambria Math" w:hAnsi="Cambria Math"/>
                </w:rPr>
                <m:t>g(a|W)</m:t>
              </m:r>
            </m:den>
          </m:f>
          <m:r>
            <m:rPr>
              <m:sty m:val="p"/>
            </m:rPr>
            <w:rPr>
              <w:rFonts w:ascii="Cambria Math" w:hAnsi="Cambria Math"/>
            </w:rPr>
            <m:t>)</m:t>
          </m:r>
        </m:oMath>
      </m:oMathPara>
    </w:p>
    <w:p w:rsidR="0029010F" w:rsidRDefault="00D03CD4">
      <w:r>
        <w:t>For each hospital, we then calculated the mean readmission risk (</w:t>
      </w:r>
      <m:oMath>
        <m:sSubSup>
          <m:sSubSupPr>
            <m:ctrlPr>
              <w:rPr>
                <w:rFonts w:ascii="Cambria Math" w:hAnsi="Cambria Math"/>
              </w:rPr>
            </m:ctrlPr>
          </m:sSubSupPr>
          <m:e>
            <m:r>
              <m:rPr>
                <m:sty m:val="p"/>
              </m:rPr>
              <w:rPr>
                <w:rFonts w:ascii="Cambria Math" w:hAnsi="Cambria Math"/>
              </w:rPr>
              <m:t>Q</m:t>
            </m:r>
          </m:e>
          <m:sub>
            <m:r>
              <m:rPr>
                <m:sty m:val="p"/>
              </m:rPr>
              <w:rPr>
                <w:rFonts w:ascii="Cambria Math" w:hAnsi="Cambria Math"/>
              </w:rPr>
              <m:t>a</m:t>
            </m:r>
          </m:sub>
          <m:sup>
            <m:r>
              <m:rPr>
                <m:sty m:val="p"/>
              </m:rPr>
              <w:rPr>
                <w:rFonts w:ascii="Cambria Math" w:hAnsi="Cambria Math"/>
              </w:rPr>
              <m:t>*</m:t>
            </m:r>
          </m:sup>
        </m:sSubSup>
      </m:oMath>
      <w:r>
        <w:t>) and associated odds ratio.</w:t>
      </w:r>
    </w:p>
    <w:p w:rsidR="0029010F" w:rsidRDefault="00D03CD4" w:rsidP="00D03CD4">
      <w:r>
        <w:t xml:space="preserve">To estimate both models </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rPr>
          <m:t>)</m:t>
        </m:r>
      </m:oMath>
      <w:r>
        <w:t xml:space="preserve"> and </w:t>
      </w:r>
      <m:oMath>
        <m:r>
          <m:rPr>
            <m:sty m:val="p"/>
          </m:rPr>
          <w:rPr>
            <w:rFonts w:ascii="Cambria Math" w:hAnsi="Cambria Math"/>
          </w:rPr>
          <m:t>Q(</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|A,</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rPr>
          <m:t>)</m:t>
        </m:r>
      </m:oMath>
      <w:r>
        <w:t>, we used a random forest, a non-parametric model based on decision trees.</w:t>
      </w:r>
      <w:r>
        <w:fldChar w:fldCharType="begin"/>
      </w:r>
      <w:r>
        <w:instrText xml:space="preserve"> ADDIN ZOTERO_ITEM CSL_CITATION {"citationID":"23ndqsb208","properties":{"formattedCitation":"{\\rtf \\super 9\\nosupersub{}}","plainCitation":"9"},"citationItems":[{"id":377,"uris":["http://zotero.org/users/808653/items/AZ5VC2F4"],"uri":["http://zotero.org/users/808653/items/AZ5VC2F4"],"itemData":{"id":377,"type":"article-journal","title":"Random Forests","container-title":"Machine Learning","page":"5-32","volume":"45","issue":"1","DOI":"10.1023/A:1010933404324","ISSN":"0885-6125","language":"English","author":[{"family":"Breiman","given":"Leo"}],"issued":{"date-parts":[["2001"]]}}}],"schema":"https://github.com/citation-style-language/schema/raw/master/csl-citation.json"} </w:instrText>
      </w:r>
      <w:r>
        <w:fldChar w:fldCharType="separate"/>
      </w:r>
      <w:r w:rsidRPr="00D03CD4">
        <w:rPr>
          <w:rFonts w:ascii="Cambria" w:hAnsi="Cambria" w:cs="Times New Roman"/>
          <w:vertAlign w:val="superscript"/>
        </w:rPr>
        <w:t>9</w:t>
      </w:r>
      <w:r>
        <w:fldChar w:fldCharType="end"/>
      </w:r>
      <w:r>
        <w:t xml:space="preserve"> Decision trees use the independent variables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oMath>
      <w:r>
        <w:t>) to repeatedly split data into partitions that are as homogeneous as possible with respect to the outcome of interest (specifically measured with the Gini coefficient</w:t>
      </w:r>
      <w:r w:rsidR="006A5941">
        <w:fldChar w:fldCharType="begin"/>
      </w:r>
      <w:r w:rsidR="006A5941">
        <w:instrText xml:space="preserve"> ADDIN ZOTERO_ITEM CSL_CITATION {"citationID":"2df1eaf3b9","properties":{"formattedCitation":"{\\rtf \\super 12\\nosupersub{}}","plainCitation":"12"},"citationItems":[{"id":397,"uris":["http://zotero.org/users/808653/items/EG97GBEE"],"uri":["http://zotero.org/users/808653/items/EG97GBEE"],"itemData":{"id":397,"type":"book","title":"Variabilità e Mutabilità: Contributo allo studio delle distribuzioni e delle relazioni statistiche.","publisher":"C. Cuppini","publisher-place":"Bologna","number-of-pages":"156","event-place":"Bologna","language":"Italian","author":[{"family":"Gini","given":"Corrado"}],"issued":{"date-parts":[["1912"]]}}}],"schema":"https://github.com/citation-style-language/schema/raw/master/csl-citation.json"} </w:instrText>
      </w:r>
      <w:r w:rsidR="006A5941">
        <w:fldChar w:fldCharType="separate"/>
      </w:r>
      <w:r w:rsidR="006A5941" w:rsidRPr="006A5941">
        <w:rPr>
          <w:rFonts w:ascii="Cambria" w:hAnsi="Cambria" w:cs="Times New Roman"/>
          <w:vertAlign w:val="superscript"/>
        </w:rPr>
        <w:t>12</w:t>
      </w:r>
      <w:r w:rsidR="006A5941">
        <w:fldChar w:fldCharType="end"/>
      </w:r>
      <w:r>
        <w:t>). Random forest improves decision trees by using bootstrap aggregation (bagging); multiple decision trees are grown on bootstrap replicates (sampled with replacement) to avoid overfitting. Additionally, within each tree, only a sample of the covariates is used (in our case we used a square root of the number of variables included in the mode, rounded down).</w:t>
      </w:r>
    </w:p>
    <w:p w:rsidR="0029010F" w:rsidRDefault="00D03CD4">
      <w:r>
        <w:t xml:space="preserve">For both models </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rPr>
          <m:t>)</m:t>
        </m:r>
      </m:oMath>
      <w:r>
        <w:t xml:space="preserve"> and </w:t>
      </w:r>
      <m:oMath>
        <m:r>
          <m:rPr>
            <m:sty m:val="p"/>
          </m:rPr>
          <w:rPr>
            <w:rFonts w:ascii="Cambria Math" w:hAnsi="Cambria Math"/>
          </w:rPr>
          <m:t>Q(</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|A,</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rPr>
          <m:t>)</m:t>
        </m:r>
      </m:oMath>
      <w:r>
        <w:t xml:space="preserve">, we arbitrarily chose to grow 1200 trees, and then measured the accuracy as a function of the number of trees to ensure that growing further trees would be unlikely to improve accuracy. Because the model was used solely to estimate the </w:t>
      </w:r>
      <w:r>
        <w:rPr>
          <w:i/>
        </w:rPr>
        <w:t>probability</w:t>
      </w:r>
      <w:r>
        <w:t xml:space="preserve"> of admission to to specific hospitals (and not to predict exactly which hospital was attended), when calculating the Gini coefficient to build the trees we configured the model to favor calibration over discrimination: we weighted each of the twenty predicted hospitals by the inverse of the proportion of discharges at that </w:t>
      </w:r>
      <w:r>
        <w:lastRenderedPageBreak/>
        <w:t>hospital. When measuring the accuracy for each discharge, we only used trees for which the discharge was “out-of-bag”, that is, we only used trees for which the bootstrap sample did not include the discharge.</w:t>
      </w:r>
    </w:p>
    <w:p w:rsidR="0029010F" w:rsidRDefault="00D03CD4">
      <w:r>
        <w:t xml:space="preserve">To describe importance of the covariates in both models </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rPr>
          <m:t>)</m:t>
        </m:r>
      </m:oMath>
      <w:r>
        <w:t xml:space="preserve"> and </w:t>
      </w:r>
      <m:oMath>
        <m:r>
          <m:rPr>
            <m:sty m:val="p"/>
          </m:rPr>
          <w:rPr>
            <w:rFonts w:ascii="Cambria Math" w:hAnsi="Cambria Math"/>
          </w:rPr>
          <m:t>Q(</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|A,</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rPr>
          <m:t>)</m:t>
        </m:r>
      </m:oMath>
      <w:r>
        <w:t>, for each variable, we measured the decrease in the Gini coefficient for each partition in which the variable was used, in every tree. A low Gini (i.e. higher decrease in Gini) means that a particular predictor variable plays a greater role in partitioning the data into the defined classes. We plotted the densities of variables with four different classes (census tract, procedure, diagnosis and drug) at different levels of Gini decreases.</w:t>
      </w:r>
    </w:p>
    <w:p w:rsidR="0029010F" w:rsidRDefault="00D03CD4" w:rsidP="006A5941">
      <w:r>
        <w:t>Random forest classifies each item by majority vote: each tree in the forest assigns each discharge to a specific class. Although the vote proportion is between zero and one, it is not calibrated well as a probability. To calibrate the vote proportion, we used Platt scaling</w:t>
      </w:r>
      <w:r w:rsidR="006A5941">
        <w:fldChar w:fldCharType="begin"/>
      </w:r>
      <w:r w:rsidR="006A5941">
        <w:instrText xml:space="preserve"> ADDIN ZOTERO_ITEM CSL_CITATION {"citationID":"1phjq9rnbd","properties":{"formattedCitation":"{\\rtf \\super 13\\nosupersub{}}","plainCitation":"13"},"citationItems":[{"id":424,"uris":["http://zotero.org/users/808653/items/6XKHZ8UC"],"uri":["http://zotero.org/users/808653/items/6XKHZ8UC"],"itemData":{"id":424,"type":"paper-conference","title":"Probabilistic Outputs for Support Vector Machines and Comparisons to Regularized Likelihood Methods","container-title":"Advances in large margin classifiers","publisher":"MIT Press","page":"61–74","author":[{"family":"Platt","given":"John C."}],"issued":{"date-parts":[["1999"]]}}}],"schema":"https://github.com/citation-style-language/schema/raw/master/csl-citation.json"} </w:instrText>
      </w:r>
      <w:r w:rsidR="006A5941">
        <w:fldChar w:fldCharType="separate"/>
      </w:r>
      <w:r w:rsidR="006A5941" w:rsidRPr="006A5941">
        <w:rPr>
          <w:rFonts w:ascii="Cambria" w:hAnsi="Cambria" w:cs="Times New Roman"/>
          <w:vertAlign w:val="superscript"/>
        </w:rPr>
        <w:t>13</w:t>
      </w:r>
      <w:r w:rsidR="006A5941">
        <w:fldChar w:fldCharType="end"/>
      </w:r>
      <w:r>
        <w:t xml:space="preserve"> (logistic regression of the outcome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t>) on to the vote proportion).</w:t>
      </w:r>
    </w:p>
    <w:p w:rsidR="0029010F" w:rsidRDefault="00D03CD4">
      <w:r>
        <w:t xml:space="preserve">When the probability of exposure </w:t>
      </w:r>
      <m:oMath>
        <m:r>
          <m:rPr>
            <m:sty m:val="p"/>
          </m:rPr>
          <w:rPr>
            <w:rFonts w:ascii="Cambria Math" w:hAnsi="Cambria Math"/>
          </w:rPr>
          <m:t>g(A|W)</m:t>
        </m:r>
      </m:oMath>
      <w:r>
        <w:t xml:space="preserve"> is very low, that discharge would receive a large weight in estimating </w:t>
      </w:r>
      <m:oMath>
        <m:sSup>
          <m:sSupPr>
            <m:ctrlPr>
              <w:rPr>
                <w:rFonts w:ascii="Cambria Math" w:hAnsi="Cambria Math"/>
              </w:rPr>
            </m:ctrlPr>
          </m:sSupPr>
          <m:e>
            <m:r>
              <m:rPr>
                <m:sty m:val="p"/>
              </m:rPr>
              <w:rPr>
                <w:rFonts w:ascii="Cambria Math" w:hAnsi="Cambria Math"/>
              </w:rPr>
              <m:t>Q</m:t>
            </m:r>
          </m:e>
          <m:sup>
            <m:r>
              <m:rPr>
                <m:sty m:val="p"/>
              </m:rPr>
              <w:rPr>
                <w:rFonts w:ascii="Cambria Math" w:hAnsi="Cambria Math"/>
              </w:rPr>
              <m:t>*</m:t>
            </m:r>
          </m:sup>
        </m:sSup>
      </m:oMath>
      <w:r>
        <w:t xml:space="preserve">. For any </w:t>
      </w:r>
      <m:oMath>
        <m:r>
          <m:rPr>
            <m:sty m:val="p"/>
          </m:rPr>
          <w:rPr>
            <w:rFonts w:ascii="Cambria Math" w:hAnsi="Cambria Math"/>
          </w:rPr>
          <m:t>g(A|W)</m:t>
        </m:r>
      </m:oMath>
      <w:r>
        <w:t xml:space="preserve"> below some fixed value </w:t>
      </w:r>
      <m:oMath>
        <m:r>
          <m:rPr>
            <m:sty m:val="p"/>
          </m:rPr>
          <w:rPr>
            <w:rFonts w:ascii="Cambria Math" w:hAnsi="Cambria Math"/>
          </w:rPr>
          <m:t>δ</m:t>
        </m:r>
      </m:oMath>
      <w:r>
        <w:t xml:space="preserve">, we set </w:t>
      </w:r>
      <m:oMath>
        <m:r>
          <m:rPr>
            <m:sty m:val="p"/>
          </m:rPr>
          <w:rPr>
            <w:rFonts w:ascii="Cambria Math" w:hAnsi="Cambria Math"/>
          </w:rPr>
          <m:t>g(A|W)</m:t>
        </m:r>
      </m:oMath>
      <w:r>
        <w:t xml:space="preserve"> to </w:t>
      </w:r>
      <m:oMath>
        <m:r>
          <m:rPr>
            <m:sty m:val="p"/>
          </m:rPr>
          <w:rPr>
            <w:rFonts w:ascii="Cambria Math" w:hAnsi="Cambria Math"/>
          </w:rPr>
          <m:t>δ</m:t>
        </m:r>
      </m:oMath>
      <w:r>
        <w:t xml:space="preserve">. We recomputed our analyses at 31 different values of </w:t>
      </w:r>
      <m:oMath>
        <m:r>
          <m:rPr>
            <m:sty m:val="p"/>
          </m:rPr>
          <w:rPr>
            <w:rFonts w:ascii="Cambria Math" w:hAnsi="Cambria Math"/>
          </w:rPr>
          <m:t>δ</m:t>
        </m:r>
      </m:oMath>
      <w:r>
        <w:t xml:space="preserve">, ranging from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oMath>
      <w:r>
        <w:t xml:space="preserve"> to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oMath>
      <w:r>
        <w:t>, decreasing the exponent at intervals of 0.1.</w:t>
      </w:r>
    </w:p>
    <w:p w:rsidR="0029010F" w:rsidRPr="00E6242A" w:rsidRDefault="00D03CD4" w:rsidP="00E6242A">
      <w:pPr>
        <w:rPr>
          <w:vertAlign w:val="superscript"/>
        </w:rPr>
      </w:pPr>
      <w:r>
        <w:t>Finally, we compared our results of our analysis with a logistic regression for 30-day readmission. In this model, we included only the age, sex, number of previous admissions, and the Charlson comorbidity score (Elixhauser version)</w:t>
      </w:r>
      <w:r w:rsidR="006A5941">
        <w:fldChar w:fldCharType="begin"/>
      </w:r>
      <w:r w:rsidR="006A5941">
        <w:instrText xml:space="preserve"> ADDIN ZOTERO_ITEM CSL_CITATION {"citationID":"1k7lbkfccf","properties":{"formattedCitation":"{\\rtf \\super 14\\nosupersub{}}","plainCitation":"14"},"citationItems":[{"id":425,"uris":["http://zotero.org/users/808653/items/TW8Z4VP4"],"uri":["http://zotero.org/users/808653/items/TW8Z4VP4"],"itemData":{"id":425,"type":"article-journal","title":"Comorbidity Measures for Use with Administrative Data:","container-title":"Medical Care","page":"8-27","volume":"36","issue":"1","source":"CrossRef","DOI":"10.1097/00005650-199801000-00004","ISSN":"0025-7079","shortTitle":"Comorbidity Measures for Use with Administrative Data","language":"en","author":[{"family":"Elixhauser","given":"Anne"},{"family":"Steiner","given":"Claudia"},{"family":"Harris","given":"D. Robert"},{"family":"Coffey","given":"Rosanna M."}],"issued":{"date-parts":[["1998",1]]},"accessed":{"date-parts":[["2014",8,14]]}}}],"schema":"https://github.com/citation-style-language/schema/raw/master/csl-citation.json"} </w:instrText>
      </w:r>
      <w:r w:rsidR="006A5941">
        <w:fldChar w:fldCharType="separate"/>
      </w:r>
      <w:r w:rsidR="006A5941" w:rsidRPr="006A5941">
        <w:rPr>
          <w:rFonts w:ascii="Cambria" w:hAnsi="Cambria" w:cs="Times New Roman"/>
          <w:vertAlign w:val="superscript"/>
        </w:rPr>
        <w:t>14</w:t>
      </w:r>
      <w:r w:rsidR="006A5941">
        <w:fldChar w:fldCharType="end"/>
      </w:r>
      <w:r>
        <w:t>, along with indicator variables representing the hospitals themselves.</w:t>
      </w:r>
      <w:r w:rsidR="00E6242A">
        <w:t xml:space="preserve"> </w:t>
      </w:r>
    </w:p>
    <w:p w:rsidR="0029010F" w:rsidRDefault="00D03CD4">
      <w:pPr>
        <w:pStyle w:val="Heading2"/>
      </w:pPr>
      <w:bookmarkStart w:id="6" w:name="software"/>
      <w:bookmarkEnd w:id="6"/>
      <w:r>
        <w:t>Software</w:t>
      </w:r>
    </w:p>
    <w:p w:rsidR="0029010F" w:rsidRDefault="00D03CD4" w:rsidP="006A5941">
      <w:r>
        <w:t>The data were cleaned and prepared for statistical analysis using the Postgres relational database (version 9.2.6). We implemented our models using the R statistical package (version 3.1.1),</w:t>
      </w:r>
      <w:r w:rsidR="006A5941">
        <w:fldChar w:fldCharType="begin"/>
      </w:r>
      <w:r w:rsidR="006A5941">
        <w:instrText xml:space="preserve"> ADDIN ZOTERO_ITEM CSL_CITATION {"citationID":"2p4i0seg01","properties":{"formattedCitation":"{\\rtf \\super 15\\nosupersub{}}","plainCitation":"15"},"citationItems":[{"id":378,"uris":["http://zotero.org/users/808653/items/B2KJJBZI"],"uri":["http://zotero.org/users/808653/items/B2KJJBZI"],"itemData":{"id":378,"type":"book","title":"R: A Language and Environment for Statistical Computing","publisher":"R Foundation for Statistical Computing","publisher-place":"Vienna, Austria","event-place":"Vienna, Austria","URL":"http://www.R-project.org/","author":[{"family":"Team","given":"R. Core"}],"issued":{"date-parts":[["2014"]]}}}],"schema":"https://github.com/citation-style-language/schema/raw/master/csl-citation.json"} </w:instrText>
      </w:r>
      <w:r w:rsidR="006A5941">
        <w:fldChar w:fldCharType="separate"/>
      </w:r>
      <w:r w:rsidR="006A5941" w:rsidRPr="006A5941">
        <w:rPr>
          <w:rFonts w:ascii="Cambria" w:hAnsi="Cambria" w:cs="Times New Roman"/>
          <w:vertAlign w:val="superscript"/>
        </w:rPr>
        <w:t>15</w:t>
      </w:r>
      <w:r w:rsidR="006A5941">
        <w:fldChar w:fldCharType="end"/>
      </w:r>
      <w:r>
        <w:t xml:space="preserve"> using the “bigrf” package (version 0.1.11) to grow the random forests.</w:t>
      </w:r>
      <w:r w:rsidR="006A5941">
        <w:fldChar w:fldCharType="begin"/>
      </w:r>
      <w:r w:rsidR="006A5941">
        <w:instrText xml:space="preserve"> ADDIN ZOTERO_ITEM CSL_CITATION {"citationID":"3hpiukkjg","properties":{"formattedCitation":"{\\rtf \\super 16\\nosupersub{}}","plainCitation":"16"},"citationItems":[{"id":372,"uris":["http://zotero.org/users/808653/items/Q2HFIBPQ"],"uri":["http://zotero.org/users/808653/items/Q2HFIBPQ"],"itemData":{"id":372,"type":"book","title":"bigrf: Big Random Forests: Classification and Regression Forests for Large Data Sets","URL":"https://github.com/aloysius-lim/bigrf","note":"R package version 0.1-9","author":[{"family":"Lim","given":"Aloysius"},{"family":"Breiman","given":"Leo"},{"family":"Cutler","given":"Adele"}],"issued":{"date-parts":[["2014"]]}}}],"schema":"https://github.com/citation-style-language/schema/raw/master/csl-citation.json"} </w:instrText>
      </w:r>
      <w:r w:rsidR="006A5941">
        <w:fldChar w:fldCharType="separate"/>
      </w:r>
      <w:r w:rsidR="006A5941" w:rsidRPr="006A5941">
        <w:rPr>
          <w:rFonts w:ascii="Cambria" w:hAnsi="Cambria" w:cs="Times New Roman"/>
          <w:vertAlign w:val="superscript"/>
        </w:rPr>
        <w:t>16</w:t>
      </w:r>
      <w:r w:rsidR="006A5941">
        <w:fldChar w:fldCharType="end"/>
      </w:r>
      <w:r>
        <w:t xml:space="preserve"> We plotted our figures using the “ggplot2” package (version 1.0.0) .</w:t>
      </w:r>
      <w:r w:rsidR="006A5941">
        <w:fldChar w:fldCharType="begin"/>
      </w:r>
      <w:r w:rsidR="006A5941">
        <w:instrText xml:space="preserve"> ADDIN ZOTERO_ITEM CSL_CITATION {"citationID":"1ijsav3l9o","properties":{"formattedCitation":"{\\rtf \\super 17\\nosupersub{}}","plainCitation":"17"},"citationItems":[{"id":374,"uris":["http://zotero.org/users/808653/items/VZVI3W8M"],"uri":["http://zotero.org/users/808653/items/VZVI3W8M"],"itemData":{"id":374,"type":"book","title":"ggplot2: elegant graphics for data analysis","publisher":"Springer New York","URL":"http://had.co.nz/ggplot2/book","ISBN":"978-0-387-98140-6","author":[{"family":"Wickham","given":"Hadley"}],"issued":{"date-parts":[["2009"]]}}}],"schema":"https://github.com/citation-style-language/schema/raw/master/csl-citation.json"} </w:instrText>
      </w:r>
      <w:r w:rsidR="006A5941">
        <w:fldChar w:fldCharType="separate"/>
      </w:r>
      <w:r w:rsidR="006A5941" w:rsidRPr="006A5941">
        <w:rPr>
          <w:rFonts w:ascii="Cambria" w:hAnsi="Cambria" w:cs="Times New Roman"/>
          <w:vertAlign w:val="superscript"/>
        </w:rPr>
        <w:t>17</w:t>
      </w:r>
      <w:r w:rsidR="006A5941">
        <w:fldChar w:fldCharType="end"/>
      </w:r>
      <w:r>
        <w:t xml:space="preserve"> All the code to develop used to process our data, fit our models, and typeset this article is </w:t>
      </w:r>
      <w:hyperlink r:id="rId7">
        <w:r>
          <w:rPr>
            <w:rStyle w:val="Link"/>
          </w:rPr>
          <w:t>available for download at Github</w:t>
        </w:r>
      </w:hyperlink>
      <w:r>
        <w:t>.</w:t>
      </w:r>
    </w:p>
    <w:p w:rsidR="0029010F" w:rsidRDefault="00D03CD4">
      <w:pPr>
        <w:pStyle w:val="Heading1"/>
      </w:pPr>
      <w:bookmarkStart w:id="7" w:name="results"/>
      <w:bookmarkEnd w:id="7"/>
      <w:r>
        <w:t>Results</w:t>
      </w:r>
    </w:p>
    <w:p w:rsidR="0029010F" w:rsidRDefault="00D03CD4">
      <w:r>
        <w:t>Over the course of January 2, 1996 to March 31, 2006, 482,064 people were entered into our cohort. Among these, 16,521 were ever admitted for pneumonia, 13,884 were ever admitted for AMI, and 15,822 were ever admitted for heart failure. People ever admitted for pneumonia had a mean (median) 1.2 (1) pneumonia admissions, heart failure patients had a mean (median) 1.6 (1) heart failure admissions, and AMI patients had a mean (median) 1.1 (1) AMI admissions. In total, we analyzed 20,421 pneumonia discharges, 15,746 AMI discharges, and 24,847 heart failure discharges.</w:t>
      </w:r>
    </w:p>
    <w:p w:rsidR="0029010F" w:rsidRDefault="00D03CD4" w:rsidP="003A7796">
      <w:r>
        <w:t xml:space="preserve">The accuracy of the random forest (for both models </w:t>
      </w:r>
      <m:oMath>
        <m:r>
          <m:rPr>
            <m:sty m:val="p"/>
          </m:rPr>
          <w:rPr>
            <w:rFonts w:ascii="Cambria Math" w:hAnsi="Cambria Math"/>
          </w:rPr>
          <m:t>g</m:t>
        </m:r>
      </m:oMath>
      <w:r>
        <w:t xml:space="preserve"> and </w:t>
      </w:r>
      <m:oMath>
        <m:r>
          <m:rPr>
            <m:sty m:val="p"/>
          </m:rPr>
          <w:rPr>
            <w:rFonts w:ascii="Cambria Math" w:hAnsi="Cambria Math"/>
          </w:rPr>
          <m:t>Q</m:t>
        </m:r>
      </m:oMath>
      <w:r>
        <w:t xml:space="preserve">) did not appear to improve significantly beyond 125 trees (see Figure [fig:error_rate_for_g_and_Q] in the </w:t>
      </w:r>
      <w:r w:rsidR="003A7796">
        <w:t>a</w:t>
      </w:r>
      <w:r>
        <w:t xml:space="preserve">ppendix). In Figure [fig:variable_importance_by_model_and_class] we plot the importance of variables (as measured by the Gini coefficient) in the random forest models for four variable classes, for all disease subsets for both the </w:t>
      </w:r>
      <m:oMath>
        <m:r>
          <m:rPr>
            <m:sty m:val="p"/>
          </m:rPr>
          <w:rPr>
            <w:rFonts w:ascii="Cambria Math" w:hAnsi="Cambria Math"/>
          </w:rPr>
          <w:lastRenderedPageBreak/>
          <m:t>g</m:t>
        </m:r>
      </m:oMath>
      <w:r>
        <w:t xml:space="preserve"> and </w:t>
      </w:r>
      <m:oMath>
        <m:r>
          <m:rPr>
            <m:sty m:val="p"/>
          </m:rPr>
          <w:rPr>
            <w:rFonts w:ascii="Cambria Math" w:hAnsi="Cambria Math"/>
          </w:rPr>
          <m:t>Q</m:t>
        </m:r>
      </m:oMath>
      <w:r>
        <w:t xml:space="preserve"> model. Although census tracts were found to be important in prediction of hospital choice, the other three variable classes were had a high density of important variables as well. The prescription drugs in particular had a high proportion of important variables, and generally the lowest proportion of unimportant variables. For the </w:t>
      </w:r>
      <m:oMath>
        <m:r>
          <m:rPr>
            <m:sty m:val="p"/>
          </m:rPr>
          <w:rPr>
            <w:rFonts w:ascii="Cambria Math" w:hAnsi="Cambria Math"/>
          </w:rPr>
          <m:t>Q</m:t>
        </m:r>
      </m:oMath>
      <w:r>
        <w:t xml:space="preserve"> model, the variable density appeared bimodal within variable importance for all four variable classes. Additionally, the pre-admission drug prescriptions appeared to be strongly important in predicting readmission for all pneumonia, heart failure, and AMI admissions.</w:t>
      </w:r>
    </w:p>
    <w:p w:rsidR="0029010F" w:rsidRDefault="00D03CD4">
      <w:r>
        <w:t>The predicted probability of admission to any particular hospital (</w:t>
      </w:r>
      <m:oMath>
        <m:r>
          <m:rPr>
            <m:sty m:val="p"/>
          </m:rPr>
          <w:rPr>
            <w:rFonts w:ascii="Cambria Math" w:hAnsi="Cambria Math"/>
          </w:rPr>
          <m:t>g=Pr(A=a|W)</m:t>
        </m:r>
      </m:oMath>
      <w:r>
        <w:t xml:space="preserve">) was less than 5% in 88% of cases (across all disease subsets and hospitals). We set </w:t>
      </w:r>
      <m:oMath>
        <m:r>
          <m:rPr>
            <m:sty m:val="p"/>
          </m:rPr>
          <w:rPr>
            <w:rFonts w:ascii="Cambria Math" w:hAnsi="Cambria Math"/>
          </w:rPr>
          <m:t>δ</m:t>
        </m:r>
      </m:oMath>
      <w:r>
        <w:t xml:space="preserve"> (the lower bound of </w:t>
      </w:r>
      <m:oMath>
        <m:r>
          <m:rPr>
            <m:sty m:val="p"/>
          </m:rPr>
          <w:rPr>
            <w:rFonts w:ascii="Cambria Math" w:hAnsi="Cambria Math"/>
          </w:rPr>
          <m:t>g</m:t>
        </m:r>
      </m:oMath>
      <w:r>
        <w:t xml:space="preserve"> when used to fit the </w:t>
      </w:r>
      <m:oMath>
        <m:r>
          <m:rPr>
            <m:sty m:val="p"/>
          </m:rPr>
          <w:rPr>
            <w:rFonts w:ascii="Cambria Math" w:hAnsi="Cambria Math"/>
          </w:rPr>
          <m:t>ϵ</m:t>
        </m:r>
      </m:oMath>
      <w:r>
        <w:t xml:space="preserve"> values for </w:t>
      </w:r>
      <m:oMath>
        <m:sSup>
          <m:sSupPr>
            <m:ctrlPr>
              <w:rPr>
                <w:rFonts w:ascii="Cambria Math" w:hAnsi="Cambria Math"/>
              </w:rPr>
            </m:ctrlPr>
          </m:sSupPr>
          <m:e>
            <m:r>
              <m:rPr>
                <m:sty m:val="p"/>
              </m:rPr>
              <w:rPr>
                <w:rFonts w:ascii="Cambria Math" w:hAnsi="Cambria Math"/>
              </w:rPr>
              <m:t>Q</m:t>
            </m:r>
          </m:e>
          <m:sup>
            <m:r>
              <m:rPr>
                <m:sty m:val="p"/>
              </m:rPr>
              <w:rPr>
                <w:rFonts w:ascii="Cambria Math" w:hAnsi="Cambria Math"/>
              </w:rPr>
              <m:t>*</m:t>
            </m:r>
          </m:sup>
        </m:sSup>
      </m:oMath>
      <w:r>
        <w:t xml:space="preserve">), to two different values,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oMath>
      <w:r>
        <w:t xml:space="preserve"> and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-2.5</m:t>
            </m:r>
          </m:sup>
        </m:sSup>
      </m:oMath>
      <w:r>
        <w:t xml:space="preserve">. Across all disease subsets and hospitals, 39% of discharge/hospital combinations and a </w:t>
      </w:r>
      <m:oMath>
        <m:r>
          <m:rPr>
            <m:sty m:val="p"/>
          </m:rPr>
          <w:rPr>
            <w:rFonts w:ascii="Cambria Math" w:hAnsi="Cambria Math"/>
          </w:rPr>
          <m:t>g</m:t>
        </m:r>
      </m:oMath>
      <w:r>
        <w:t xml:space="preserve"> less than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oMath>
      <w:r>
        <w:t xml:space="preserve">, and 4% had a </w:t>
      </w:r>
      <m:oMath>
        <m:r>
          <m:rPr>
            <m:sty m:val="p"/>
          </m:rPr>
          <w:rPr>
            <w:rFonts w:ascii="Cambria Math" w:hAnsi="Cambria Math"/>
          </w:rPr>
          <m:t>g</m:t>
        </m:r>
      </m:oMath>
      <w:r>
        <w:t xml:space="preserve"> less than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-2.5</m:t>
            </m:r>
          </m:sup>
        </m:sSup>
      </m:oMath>
      <w:r>
        <w:t>. Figu</w:t>
      </w:r>
      <w:r w:rsidR="003A7796">
        <w:t>re [fig:dist_g_zoomed] (in the a</w:t>
      </w:r>
      <w:r>
        <w:t xml:space="preserve">ppendix) describes the histogram of </w:t>
      </w:r>
      <m:oMath>
        <m:r>
          <m:rPr>
            <m:sty m:val="p"/>
          </m:rPr>
          <w:rPr>
            <w:rFonts w:ascii="Cambria Math" w:hAnsi="Cambria Math"/>
          </w:rPr>
          <m:t>g</m:t>
        </m:r>
      </m:oMath>
      <w:r>
        <w:t xml:space="preserve"> when it is below 0.05 for each disease/hospital combination separately.</w:t>
      </w:r>
    </w:p>
    <w:p w:rsidR="0029010F" w:rsidRDefault="00D03CD4">
      <w:r>
        <w:t xml:space="preserve">The unadjusted proportion of patients readmitted in 30 days varied across hospitals for each disease subset (Tables 1-3). The linear correlation between the proportion of deaths during hospital stay and the proportion readmitted was (0.19, </w:t>
      </w:r>
      <m:oMath>
        <m:r>
          <m:rPr>
            <m:sty m:val="p"/>
          </m:rPr>
          <w:rPr>
            <w:rFonts w:ascii="Cambria Math" w:hAnsi="Cambria Math"/>
          </w:rPr>
          <m:t>-0.55</m:t>
        </m:r>
      </m:oMath>
      <w:r>
        <w:t xml:space="preserve">, </w:t>
      </w:r>
      <m:oMath>
        <m:r>
          <m:rPr>
            <m:sty m:val="p"/>
          </m:rPr>
          <w:rPr>
            <w:rFonts w:ascii="Cambria Math" w:hAnsi="Cambria Math"/>
          </w:rPr>
          <m:t>-0.28</m:t>
        </m:r>
      </m:oMath>
      <w:r>
        <w:t xml:space="preserve">) among AMI, heart failure, and pneumonia admissions respectively. Using a model that adjusts for a few well-known confounders, for AMI, heart failure, and pneumonia respectively, one, three, and five hospitals had significantly different odds than the reference hospital. Notably, the significant odds ratios are all relatively small, with point estimates ranging from 0.92 - 1.04. In contrast, in the TMLE models, at both values of </w:t>
      </w:r>
      <m:oMath>
        <m:r>
          <m:rPr>
            <m:sty m:val="p"/>
          </m:rPr>
          <w:rPr>
            <w:rFonts w:ascii="Cambria Math" w:hAnsi="Cambria Math"/>
          </w:rPr>
          <m:t>δ</m:t>
        </m:r>
      </m:oMath>
      <w:r>
        <w:t>, for all admission diagnoses, nearly all of the hospitals had significantly different odds than the reference hospital.</w:t>
      </w:r>
    </w:p>
    <w:p w:rsidR="0029010F" w:rsidRDefault="00D03CD4">
      <w:r>
        <w:t xml:space="preserve">In some hospitals and disease subsets, the parameter </w:t>
      </w:r>
      <m:oMath>
        <m:r>
          <m:rPr>
            <m:sty m:val="p"/>
          </m:rPr>
          <w:rPr>
            <w:rFonts w:ascii="Cambria Math" w:hAnsi="Cambria Math"/>
          </w:rPr>
          <m:t>δ</m:t>
        </m:r>
      </m:oMath>
      <w:r>
        <w:t xml:space="preserve">, (the lower bound on the probability of exposure </w:t>
      </w:r>
      <m:oMath>
        <m:r>
          <m:rPr>
            <m:sty m:val="p"/>
          </m:rPr>
          <w:rPr>
            <w:rFonts w:ascii="Cambria Math" w:hAnsi="Cambria Math"/>
          </w:rPr>
          <m:t>g(A|W)</m:t>
        </m:r>
      </m:oMath>
      <w:r>
        <w:t xml:space="preserve">) had a considerable effect on the marginal risk and the associated odds ratios. For example, for AMI (shown in Table 1), the marginal risk for hospital 17 increases by six percent when </w:t>
      </w:r>
      <m:oMath>
        <m:r>
          <m:rPr>
            <m:sty m:val="p"/>
          </m:rPr>
          <w:rPr>
            <w:rFonts w:ascii="Cambria Math" w:hAnsi="Cambria Math"/>
          </w:rPr>
          <m:t>δ</m:t>
        </m:r>
      </m:oMath>
      <w:r>
        <w:t xml:space="preserve"> decreases from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oMath>
      <w:r>
        <w:t xml:space="preserve"> to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-2.5</m:t>
            </m:r>
          </m:sup>
        </m:sSup>
      </m:oMath>
      <w:r>
        <w:t xml:space="preserve">. In Figure [fig:effect_of_gbound], we display the marginal risk for each of the twenty hospitals and disease subsets as a function of the parameter </w:t>
      </w:r>
      <m:oMath>
        <m:r>
          <m:rPr>
            <m:sty m:val="p"/>
          </m:rPr>
          <w:rPr>
            <w:rFonts w:ascii="Cambria Math" w:hAnsi="Cambria Math"/>
          </w:rPr>
          <m:t>δ</m:t>
        </m:r>
      </m:oMath>
      <w:r>
        <w:t xml:space="preserve">. For many hospitals, the effect was quite strong; for pneumonia admissions, hospital 16 went from having the second-lowest marginal risk when </w:t>
      </w:r>
      <m:oMath>
        <m:r>
          <m:rPr>
            <m:sty m:val="p"/>
          </m:rPr>
          <w:rPr>
            <w:rFonts w:ascii="Cambria Math" w:hAnsi="Cambria Math"/>
          </w:rPr>
          <m:t>δ=0.1</m:t>
        </m:r>
      </m:oMath>
      <w:r>
        <w:t xml:space="preserve"> to having the highest marginal risk when </w:t>
      </w:r>
      <m:oMath>
        <m:r>
          <m:rPr>
            <m:sty m:val="p"/>
          </m:rPr>
          <w:rPr>
            <w:rFonts w:ascii="Cambria Math" w:hAnsi="Cambria Math"/>
          </w:rPr>
          <m:t>δ=0.025</m:t>
        </m:r>
      </m:oMath>
      <w:r>
        <w:t>.</w:t>
      </w:r>
    </w:p>
    <w:p w:rsidR="003B5FEB" w:rsidRDefault="003B5FEB">
      <w:pPr>
        <w:sectPr w:rsidR="003B5FEB" w:rsidSect="00D03CD4">
          <w:pgSz w:w="12240" w:h="15840"/>
          <w:pgMar w:top="720" w:right="720" w:bottom="720" w:left="720" w:header="720" w:footer="720" w:gutter="0"/>
          <w:cols w:space="720"/>
          <w:docGrid w:linePitch="326"/>
        </w:sectPr>
      </w:pPr>
    </w:p>
    <w:tbl>
      <w:tblPr>
        <w:tblW w:w="13045" w:type="dxa"/>
        <w:tblInd w:w="93" w:type="dxa"/>
        <w:tblLook w:val="04A0" w:firstRow="1" w:lastRow="0" w:firstColumn="1" w:lastColumn="0" w:noHBand="0" w:noVBand="1"/>
      </w:tblPr>
      <w:tblGrid>
        <w:gridCol w:w="630"/>
        <w:gridCol w:w="1098"/>
        <w:gridCol w:w="1200"/>
        <w:gridCol w:w="1273"/>
        <w:gridCol w:w="1312"/>
        <w:gridCol w:w="1860"/>
        <w:gridCol w:w="1054"/>
        <w:gridCol w:w="1812"/>
        <w:gridCol w:w="1054"/>
        <w:gridCol w:w="1912"/>
        <w:gridCol w:w="1054"/>
      </w:tblGrid>
      <w:tr w:rsidR="00CC3D8F" w:rsidRPr="00CC3D8F" w:rsidTr="00CC3D8F">
        <w:trPr>
          <w:trHeight w:val="360"/>
        </w:trPr>
        <w:tc>
          <w:tcPr>
            <w:tcW w:w="520" w:type="dxa"/>
            <w:vMerge w:val="restart"/>
            <w:tcBorders>
              <w:top w:val="double" w:sz="6" w:space="0" w:color="auto"/>
              <w:left w:val="nil"/>
              <w:bottom w:val="single" w:sz="4" w:space="0" w:color="000000"/>
              <w:right w:val="nil"/>
            </w:tcBorders>
            <w:shd w:val="clear" w:color="auto" w:fill="auto"/>
            <w:noWrap/>
            <w:vAlign w:val="center"/>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lastRenderedPageBreak/>
              <w:t>Hsp.</w:t>
            </w:r>
          </w:p>
        </w:tc>
        <w:tc>
          <w:tcPr>
            <w:tcW w:w="912" w:type="dxa"/>
            <w:tcBorders>
              <w:top w:val="double" w:sz="6" w:space="0" w:color="auto"/>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 </w:t>
            </w:r>
          </w:p>
        </w:tc>
        <w:tc>
          <w:tcPr>
            <w:tcW w:w="1200" w:type="dxa"/>
            <w:tcBorders>
              <w:top w:val="double" w:sz="6" w:space="0" w:color="auto"/>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 </w:t>
            </w:r>
          </w:p>
        </w:tc>
        <w:tc>
          <w:tcPr>
            <w:tcW w:w="1087" w:type="dxa"/>
            <w:tcBorders>
              <w:top w:val="double" w:sz="6" w:space="0" w:color="auto"/>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 </w:t>
            </w:r>
          </w:p>
        </w:tc>
        <w:tc>
          <w:tcPr>
            <w:tcW w:w="1126" w:type="dxa"/>
            <w:tcBorders>
              <w:top w:val="double" w:sz="6" w:space="0" w:color="auto"/>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 </w:t>
            </w:r>
          </w:p>
        </w:tc>
        <w:tc>
          <w:tcPr>
            <w:tcW w:w="2740" w:type="dxa"/>
            <w:gridSpan w:val="2"/>
            <w:tcBorders>
              <w:top w:val="double" w:sz="6" w:space="0" w:color="auto"/>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Logistic regression</w:t>
            </w:r>
          </w:p>
        </w:tc>
        <w:tc>
          <w:tcPr>
            <w:tcW w:w="2680" w:type="dxa"/>
            <w:gridSpan w:val="2"/>
            <w:tcBorders>
              <w:top w:val="double" w:sz="6" w:space="0" w:color="auto"/>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TMLE (δ = 10</w:t>
            </w:r>
            <w:r w:rsidRPr="00CC3D8F">
              <w:rPr>
                <w:rFonts w:ascii="Cambria" w:eastAsia="Times New Roman" w:hAnsi="Cambria" w:cs="Times New Roman"/>
                <w:color w:val="000000"/>
                <w:sz w:val="22"/>
                <w:szCs w:val="22"/>
                <w:vertAlign w:val="superscript"/>
                <w:lang w:val="en-CA" w:eastAsia="en-CA"/>
              </w:rPr>
              <w:t>-2</w:t>
            </w:r>
            <w:r w:rsidRPr="00CC3D8F">
              <w:rPr>
                <w:rFonts w:ascii="Cambria" w:eastAsia="Times New Roman" w:hAnsi="Cambria" w:cs="Times New Roman"/>
                <w:color w:val="000000"/>
                <w:sz w:val="22"/>
                <w:szCs w:val="22"/>
                <w:lang w:val="en-CA" w:eastAsia="en-CA"/>
              </w:rPr>
              <w:t>)</w:t>
            </w:r>
          </w:p>
        </w:tc>
        <w:tc>
          <w:tcPr>
            <w:tcW w:w="2780" w:type="dxa"/>
            <w:gridSpan w:val="2"/>
            <w:tcBorders>
              <w:top w:val="double" w:sz="6" w:space="0" w:color="auto"/>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TMLE (δ = 10</w:t>
            </w:r>
            <w:r w:rsidRPr="00CC3D8F">
              <w:rPr>
                <w:rFonts w:ascii="Cambria" w:eastAsia="Times New Roman" w:hAnsi="Cambria" w:cs="Times New Roman"/>
                <w:color w:val="000000"/>
                <w:sz w:val="22"/>
                <w:szCs w:val="22"/>
                <w:vertAlign w:val="superscript"/>
                <w:lang w:val="en-CA" w:eastAsia="en-CA"/>
              </w:rPr>
              <w:t>-2.5</w:t>
            </w:r>
            <w:r w:rsidRPr="00CC3D8F">
              <w:rPr>
                <w:rFonts w:ascii="Cambria" w:eastAsia="Times New Roman" w:hAnsi="Cambria" w:cs="Times New Roman"/>
                <w:color w:val="000000"/>
                <w:sz w:val="22"/>
                <w:szCs w:val="22"/>
                <w:lang w:val="en-CA" w:eastAsia="en-CA"/>
              </w:rPr>
              <w:t>)</w:t>
            </w:r>
          </w:p>
        </w:tc>
      </w:tr>
      <w:tr w:rsidR="00CC3D8F" w:rsidRPr="00CC3D8F" w:rsidTr="00CC3D8F">
        <w:trPr>
          <w:trHeight w:val="600"/>
        </w:trPr>
        <w:tc>
          <w:tcPr>
            <w:tcW w:w="520" w:type="dxa"/>
            <w:vMerge/>
            <w:tcBorders>
              <w:top w:val="double" w:sz="6" w:space="0" w:color="auto"/>
              <w:left w:val="nil"/>
              <w:bottom w:val="single" w:sz="4" w:space="0" w:color="000000"/>
              <w:right w:val="nil"/>
            </w:tcBorders>
            <w:vAlign w:val="center"/>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p>
        </w:tc>
        <w:tc>
          <w:tcPr>
            <w:tcW w:w="912" w:type="dxa"/>
            <w:tcBorders>
              <w:top w:val="nil"/>
              <w:left w:val="nil"/>
              <w:bottom w:val="single" w:sz="4" w:space="0" w:color="auto"/>
              <w:right w:val="nil"/>
            </w:tcBorders>
            <w:shd w:val="clear" w:color="auto" w:fill="auto"/>
            <w:noWrap/>
            <w:vAlign w:val="center"/>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Admitted</w:t>
            </w:r>
          </w:p>
        </w:tc>
        <w:tc>
          <w:tcPr>
            <w:tcW w:w="1200"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Died</w:t>
            </w:r>
            <w:r w:rsidRPr="00CC3D8F">
              <w:rPr>
                <w:rFonts w:ascii="Cambria" w:eastAsia="Times New Roman" w:hAnsi="Cambria" w:cs="Times New Roman"/>
                <w:color w:val="000000"/>
                <w:sz w:val="22"/>
                <w:szCs w:val="22"/>
                <w:lang w:val="en-CA" w:eastAsia="en-CA"/>
              </w:rPr>
              <w:br/>
              <w:t>(%)</w:t>
            </w:r>
          </w:p>
        </w:tc>
        <w:tc>
          <w:tcPr>
            <w:tcW w:w="1087" w:type="dxa"/>
            <w:tcBorders>
              <w:top w:val="nil"/>
              <w:left w:val="nil"/>
              <w:bottom w:val="single" w:sz="4" w:space="0" w:color="auto"/>
              <w:right w:val="nil"/>
            </w:tcBorders>
            <w:shd w:val="clear" w:color="auto" w:fill="auto"/>
            <w:noWrap/>
            <w:vAlign w:val="center"/>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Discharged</w:t>
            </w:r>
          </w:p>
        </w:tc>
        <w:tc>
          <w:tcPr>
            <w:tcW w:w="1126"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Readmitted</w:t>
            </w:r>
            <w:r w:rsidRPr="00CC3D8F">
              <w:rPr>
                <w:rFonts w:ascii="Cambria" w:eastAsia="Times New Roman" w:hAnsi="Cambria" w:cs="Times New Roman"/>
                <w:color w:val="000000"/>
                <w:sz w:val="22"/>
                <w:szCs w:val="22"/>
                <w:lang w:val="en-CA" w:eastAsia="en-CA"/>
              </w:rPr>
              <w:br/>
              <w:t>(%)</w:t>
            </w:r>
          </w:p>
        </w:tc>
        <w:tc>
          <w:tcPr>
            <w:tcW w:w="1860"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Odds Ratio</w:t>
            </w:r>
            <w:r w:rsidRPr="00CC3D8F">
              <w:rPr>
                <w:rFonts w:ascii="Cambria" w:eastAsia="Times New Roman" w:hAnsi="Cambria" w:cs="Times New Roman"/>
                <w:color w:val="000000"/>
                <w:sz w:val="22"/>
                <w:szCs w:val="22"/>
                <w:lang w:val="en-CA" w:eastAsia="en-CA"/>
              </w:rPr>
              <w:br/>
              <w:t>(95% CI)</w:t>
            </w:r>
          </w:p>
        </w:tc>
        <w:tc>
          <w:tcPr>
            <w:tcW w:w="880"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Marginal</w:t>
            </w:r>
            <w:r w:rsidRPr="00CC3D8F">
              <w:rPr>
                <w:rFonts w:ascii="Cambria" w:eastAsia="Times New Roman" w:hAnsi="Cambria" w:cs="Times New Roman"/>
                <w:color w:val="000000"/>
                <w:sz w:val="22"/>
                <w:szCs w:val="22"/>
                <w:lang w:val="en-CA" w:eastAsia="en-CA"/>
              </w:rPr>
              <w:br/>
              <w:t>risk</w:t>
            </w:r>
          </w:p>
        </w:tc>
        <w:tc>
          <w:tcPr>
            <w:tcW w:w="1812"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Odds Ratio</w:t>
            </w:r>
            <w:r w:rsidRPr="00CC3D8F">
              <w:rPr>
                <w:rFonts w:ascii="Cambria" w:eastAsia="Times New Roman" w:hAnsi="Cambria" w:cs="Times New Roman"/>
                <w:color w:val="000000"/>
                <w:sz w:val="22"/>
                <w:szCs w:val="22"/>
                <w:lang w:val="en-CA" w:eastAsia="en-CA"/>
              </w:rPr>
              <w:br/>
              <w:t>(95% CI)</w:t>
            </w:r>
          </w:p>
        </w:tc>
        <w:tc>
          <w:tcPr>
            <w:tcW w:w="868"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Marginal</w:t>
            </w:r>
            <w:r w:rsidRPr="00CC3D8F">
              <w:rPr>
                <w:rFonts w:ascii="Cambria" w:eastAsia="Times New Roman" w:hAnsi="Cambria" w:cs="Times New Roman"/>
                <w:color w:val="000000"/>
                <w:sz w:val="22"/>
                <w:szCs w:val="22"/>
                <w:lang w:val="en-CA" w:eastAsia="en-CA"/>
              </w:rPr>
              <w:br/>
              <w:t>risk</w:t>
            </w:r>
          </w:p>
        </w:tc>
        <w:tc>
          <w:tcPr>
            <w:tcW w:w="1912"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Odds Ratio</w:t>
            </w:r>
            <w:r w:rsidRPr="00CC3D8F">
              <w:rPr>
                <w:rFonts w:ascii="Cambria" w:eastAsia="Times New Roman" w:hAnsi="Cambria" w:cs="Times New Roman"/>
                <w:color w:val="000000"/>
                <w:sz w:val="22"/>
                <w:szCs w:val="22"/>
                <w:lang w:val="en-CA" w:eastAsia="en-CA"/>
              </w:rPr>
              <w:br/>
              <w:t>(95% CI)</w:t>
            </w:r>
          </w:p>
        </w:tc>
        <w:tc>
          <w:tcPr>
            <w:tcW w:w="868"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Marginal</w:t>
            </w:r>
            <w:r w:rsidRPr="00CC3D8F">
              <w:rPr>
                <w:rFonts w:ascii="Cambria" w:eastAsia="Times New Roman" w:hAnsi="Cambria" w:cs="Times New Roman"/>
                <w:color w:val="000000"/>
                <w:sz w:val="22"/>
                <w:szCs w:val="22"/>
                <w:lang w:val="en-CA" w:eastAsia="en-CA"/>
              </w:rPr>
              <w:br/>
              <w:t>risk</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763</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112 (15)</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651</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105 (16)</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0.98 (0.95-1.01)</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0.86 (0.83-0.89)</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0.77 (0.74-0.81)</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0.14</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1557</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148 (10)</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1409</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191 (14)</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0.97 (0.95-1.00)</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0.15</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0.85 (0.82-0.87)</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0.15</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0.85 (0.82-0.87)</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0.15</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3</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606</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83 (14)</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523</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84 (16)</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0.98 (0.95-1.02)</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1.01 (0.97-1.05)</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0.18</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1.09 (1.04-1.14)</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0.19</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4</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1022</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125 (12)</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897</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136 (15)</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0.97 (0.94-1.00)</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0.15</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0.72 (0.69-0.74)</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0.72 (0.69-0.74)</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5</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729</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150 (21)</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579</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98 (17)</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0.98 (0.95-1.02)</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0.75 (0.72-0.77)</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0.14</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0.73 (0.71-0.76)</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0.14</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6</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826</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119 (14)</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707</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106 (15)</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0.98 (0.94-1.01)</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0.15</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0.57 (0.54-0.60)</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0.11</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0.57 (0.54-0.60)</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0.11</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1491</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241 (16)</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1250</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216 (17)</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0.99 (0.96-1.01)</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1.04 (1.01-1.06)</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0.18</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1.03 (1.01-1.06)</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0.18</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1270</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198 (16)</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1072</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138 (13)</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0.95 (0.92-0.98)</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0.69 (0.67-0.71)</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0.69 (0.67-0.71)</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9</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780</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152 (19)</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628</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130 (21)</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1.01 (0.97-1.05)</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0.19</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0.54 (0.51-0.56)</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0.10</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0.52 (0.50-0.54)</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0.10</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778</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124 (16)</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654</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123 (19)</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1.01 (0.97-1.05)</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0.19</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1.19 (1.15-1.23)</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0.20</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1.27 (1.22-1.31)</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0.21</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705</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125 (18)</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580</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97 (17)</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0.99 (0.96-1.03)</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0.17</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0.89 (0.85-0.92)</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0.90 (0.86-0.94)</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1284</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266 (21)</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1018</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166 (16)</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0.99 (0.96-1.02)</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0.90 (0.88-0.93)</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0.90 (0.88-0.93)</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739</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86 (12)</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653</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110 (17)</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0.99 (0.95-1.02)</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1.19 (1.16-1.23)</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0.20</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1.22 (1.18-1.27)</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0.21</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1307</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184 (14)</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1123</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210 (19)</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(Reference)</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0.18</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(Reference)</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0.18</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(Reference)</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0.18</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15</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1152</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168 (15)</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984</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129 (13)</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0.97 (0.95-1.01)</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0.15</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0.70 (0.68-0.73)</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0.70 (0.68-0.73)</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16</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408</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70 (17)</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338</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43 (13)</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0.97 (0.93-1.01)</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0.15</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0.84 (0.80-0.88)</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0.15</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0.84 (0.80-0.89)</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0.15</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17</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807</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123 (15)</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684</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134 (20)</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1.02 (0.99-1.06)</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0.20</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1.76 (1.72-1.81)</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0.27</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2.30 (2.23-2.37)</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0.33</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18</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894</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144 (16)</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750</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116 (15)</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0.98 (0.95-1.01)</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0.91 (0.87-0.94)</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0.91 (0.87-0.95)</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19</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499</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94 (19)</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405</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50 (12)</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0.95 (0.91-0.99)</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0.57 (0.53-0.61)</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0.11</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0.57 (0.53-0.61)</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0.11</w:t>
            </w:r>
          </w:p>
        </w:tc>
      </w:tr>
      <w:tr w:rsidR="00CC3D8F" w:rsidRPr="00CC3D8F" w:rsidTr="00CC3D8F">
        <w:trPr>
          <w:trHeight w:val="300"/>
        </w:trPr>
        <w:tc>
          <w:tcPr>
            <w:tcW w:w="520"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20</w:t>
            </w:r>
          </w:p>
        </w:tc>
        <w:tc>
          <w:tcPr>
            <w:tcW w:w="912"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1025</w:t>
            </w:r>
          </w:p>
        </w:tc>
        <w:tc>
          <w:tcPr>
            <w:tcW w:w="1200"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184 (18)</w:t>
            </w:r>
          </w:p>
        </w:tc>
        <w:tc>
          <w:tcPr>
            <w:tcW w:w="1087"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841</w:t>
            </w:r>
          </w:p>
        </w:tc>
        <w:tc>
          <w:tcPr>
            <w:tcW w:w="1126"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143 (17)</w:t>
            </w:r>
          </w:p>
        </w:tc>
        <w:tc>
          <w:tcPr>
            <w:tcW w:w="1860"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0.99 (0.96-1.02)</w:t>
            </w:r>
          </w:p>
        </w:tc>
        <w:tc>
          <w:tcPr>
            <w:tcW w:w="880"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0.17</w:t>
            </w:r>
          </w:p>
        </w:tc>
        <w:tc>
          <w:tcPr>
            <w:tcW w:w="1812"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1.05 (1.02-1.09)</w:t>
            </w:r>
          </w:p>
        </w:tc>
        <w:tc>
          <w:tcPr>
            <w:tcW w:w="868"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0.18</w:t>
            </w:r>
          </w:p>
        </w:tc>
        <w:tc>
          <w:tcPr>
            <w:tcW w:w="1912"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1.05 (1.02-1.09)</w:t>
            </w:r>
          </w:p>
        </w:tc>
        <w:tc>
          <w:tcPr>
            <w:tcW w:w="868" w:type="dxa"/>
            <w:tcBorders>
              <w:top w:val="nil"/>
              <w:left w:val="nil"/>
              <w:bottom w:val="single" w:sz="4" w:space="0" w:color="auto"/>
              <w:right w:val="nil"/>
            </w:tcBorders>
            <w:shd w:val="clear" w:color="auto" w:fill="auto"/>
            <w:noWrap/>
            <w:vAlign w:val="bottom"/>
            <w:hideMark/>
          </w:tcPr>
          <w:p w:rsidR="00CC3D8F" w:rsidRPr="00CC3D8F" w:rsidRDefault="00CC3D8F" w:rsidP="00AE4F1D">
            <w:pPr>
              <w:keepNext/>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0.18</w:t>
            </w:r>
          </w:p>
        </w:tc>
      </w:tr>
    </w:tbl>
    <w:p w:rsidR="00AE4F1D" w:rsidRDefault="00AE4F1D" w:rsidP="00AE4F1D">
      <w:r>
        <w:t xml:space="preserve">Table </w:t>
      </w:r>
      <w:r>
        <w:fldChar w:fldCharType="begin"/>
      </w:r>
      <w:r>
        <w:instrText xml:space="preserve"> SEQ Table \* ARABIC </w:instrText>
      </w:r>
      <w:r>
        <w:fldChar w:fldCharType="separate"/>
      </w:r>
      <w:r>
        <w:rPr>
          <w:noProof/>
        </w:rPr>
        <w:t>1</w:t>
      </w:r>
      <w:r>
        <w:fldChar w:fldCharType="end"/>
      </w:r>
      <w:r>
        <w:t xml:space="preserve"> – </w:t>
      </w:r>
      <w:r w:rsidRPr="00AE4F1D">
        <w:rPr>
          <w:lang w:val="en-CA"/>
        </w:rPr>
        <w:t xml:space="preserve">Risk of 30-day readmission after admission for </w:t>
      </w:r>
      <w:r>
        <w:rPr>
          <w:lang w:val="en-CA"/>
        </w:rPr>
        <w:t>AMI</w:t>
      </w:r>
      <w:r w:rsidRPr="00AE4F1D">
        <w:rPr>
          <w:lang w:val="en-CA"/>
        </w:rPr>
        <w:t xml:space="preserve"> in twenty Montreal hospitals</w:t>
      </w:r>
      <w:r>
        <w:rPr>
          <w:lang w:val="en-CA"/>
        </w:rPr>
        <w:t>.</w:t>
      </w:r>
      <w:r>
        <w:rPr>
          <w:lang w:val="en-CA"/>
        </w:rPr>
        <w:t xml:space="preserve"> </w:t>
      </w:r>
      <w:r w:rsidRPr="00AE4F1D">
        <w:t>The proportion of those who were readmitted within 30 days is caluculated using the number discharged alive as the denominator. The confidence intervals for the odds ratios for the parameters in the logistic regression model were calculated using the profile likelihood method.</w:t>
      </w:r>
      <w:r>
        <w:fldChar w:fldCharType="begin"/>
      </w:r>
      <w:r>
        <w:instrText xml:space="preserve"> ADDIN ZOTERO_ITEM CSL_CITATION {"citationID":"13mnodkk9a","properties":{"formattedCitation":"{\\rtf \\super 18\\nosupersub{}}","plainCitation":"18"},"citationItems":[{"id":430,"uris":["http://zotero.org/users/808653/items/HSGKDTAN"],"uri":["http://zotero.org/users/808653/items/HSGKDTAN"],"itemData":{"id":430,"type":"book","title":"The analysis of binary data","collection-title":"Methuen's monographs on applied probability and statistics","publisher":"Methuen","publisher-place":"London","number-of-pages":"142","source":"Library of Congress ISBN","event-place":"London","ISBN":"0416104002","call-number":"QA279 .C68","author":[{"family":"Cox","given":"D. R."}],"issued":{"date-parts":[["1970"]]}}}],"schema":"https://github.com/citation-style-language/schema/raw/master/csl-citation.json"} </w:instrText>
      </w:r>
      <w:r>
        <w:fldChar w:fldCharType="separate"/>
      </w:r>
      <w:r w:rsidRPr="00AE4F1D">
        <w:rPr>
          <w:rFonts w:ascii="Cambria" w:hAnsi="Cambria" w:cs="Times New Roman"/>
          <w:vertAlign w:val="superscript"/>
        </w:rPr>
        <w:t>18</w:t>
      </w:r>
      <w:r>
        <w:fldChar w:fldCharType="end"/>
      </w:r>
      <w:r w:rsidRPr="00AE4F1D">
        <w:t xml:space="preserve"> The marginal risk for the odds ratios was calculated by using the regression model to calculate the mean predicted probability of readmission for every admission, except individually fixing the hospital attended to one hospital. The parameter </w:t>
      </w:r>
      <w:r w:rsidRPr="00CC3D8F">
        <w:rPr>
          <w:rFonts w:ascii="Cambria" w:eastAsia="Times New Roman" w:hAnsi="Cambria" w:cs="Times New Roman"/>
          <w:color w:val="000000"/>
          <w:sz w:val="22"/>
          <w:szCs w:val="22"/>
          <w:lang w:val="en-CA" w:eastAsia="en-CA"/>
        </w:rPr>
        <w:t>δ</w:t>
      </w:r>
      <w:r w:rsidRPr="00AE4F1D">
        <w:t xml:space="preserve"> represents the lower bound on the probability of exposure to that hospital (</w:t>
      </w:r>
      <w:r w:rsidRPr="00AE4F1D">
        <w:rPr>
          <w:i/>
          <w:iCs/>
        </w:rPr>
        <w:t>g</w:t>
      </w:r>
      <w:r w:rsidRPr="00AE4F1D">
        <w:t xml:space="preserve">); we display odds ratios and marginal risks for two versions of the TMLE model with varying levels </w:t>
      </w:r>
      <w:r w:rsidRPr="00CC3D8F">
        <w:rPr>
          <w:rFonts w:ascii="Cambria" w:eastAsia="Times New Roman" w:hAnsi="Cambria" w:cs="Times New Roman"/>
          <w:color w:val="000000"/>
          <w:sz w:val="22"/>
          <w:szCs w:val="22"/>
          <w:lang w:val="en-CA" w:eastAsia="en-CA"/>
        </w:rPr>
        <w:t>δ</w:t>
      </w:r>
      <w:r w:rsidRPr="00AE4F1D">
        <w:t>.</w:t>
      </w:r>
    </w:p>
    <w:p w:rsidR="00CC3D8F" w:rsidRDefault="006C6AA4">
      <w:pPr>
        <w:sectPr w:rsidR="00CC3D8F" w:rsidSect="003B5FEB">
          <w:pgSz w:w="15840" w:h="12240" w:orient="landscape"/>
          <w:pgMar w:top="720" w:right="720" w:bottom="720" w:left="720" w:header="720" w:footer="720" w:gutter="0"/>
          <w:cols w:space="720"/>
          <w:docGrid w:linePitch="326"/>
        </w:sectPr>
      </w:pPr>
      <w:r>
        <w:t xml:space="preserve"> </w:t>
      </w:r>
      <w:r w:rsidR="000C2F31">
        <w:tab/>
      </w:r>
    </w:p>
    <w:tbl>
      <w:tblPr>
        <w:tblW w:w="13045" w:type="dxa"/>
        <w:tblInd w:w="93" w:type="dxa"/>
        <w:tblLook w:val="04A0" w:firstRow="1" w:lastRow="0" w:firstColumn="1" w:lastColumn="0" w:noHBand="0" w:noVBand="1"/>
      </w:tblPr>
      <w:tblGrid>
        <w:gridCol w:w="630"/>
        <w:gridCol w:w="1098"/>
        <w:gridCol w:w="1200"/>
        <w:gridCol w:w="1273"/>
        <w:gridCol w:w="1312"/>
        <w:gridCol w:w="1860"/>
        <w:gridCol w:w="1054"/>
        <w:gridCol w:w="1812"/>
        <w:gridCol w:w="1054"/>
        <w:gridCol w:w="1912"/>
        <w:gridCol w:w="1054"/>
      </w:tblGrid>
      <w:tr w:rsidR="00CC3D8F" w:rsidRPr="00CC3D8F" w:rsidTr="00CC3D8F">
        <w:trPr>
          <w:trHeight w:val="360"/>
        </w:trPr>
        <w:tc>
          <w:tcPr>
            <w:tcW w:w="520" w:type="dxa"/>
            <w:vMerge w:val="restart"/>
            <w:tcBorders>
              <w:top w:val="double" w:sz="6" w:space="0" w:color="auto"/>
              <w:left w:val="nil"/>
              <w:bottom w:val="single" w:sz="4" w:space="0" w:color="000000"/>
              <w:right w:val="nil"/>
            </w:tcBorders>
            <w:shd w:val="clear" w:color="auto" w:fill="auto"/>
            <w:noWrap/>
            <w:vAlign w:val="center"/>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lastRenderedPageBreak/>
              <w:t>Hsp.</w:t>
            </w:r>
          </w:p>
        </w:tc>
        <w:tc>
          <w:tcPr>
            <w:tcW w:w="912" w:type="dxa"/>
            <w:tcBorders>
              <w:top w:val="double" w:sz="6" w:space="0" w:color="auto"/>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 </w:t>
            </w:r>
          </w:p>
        </w:tc>
        <w:tc>
          <w:tcPr>
            <w:tcW w:w="1200" w:type="dxa"/>
            <w:tcBorders>
              <w:top w:val="double" w:sz="6" w:space="0" w:color="auto"/>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 </w:t>
            </w:r>
          </w:p>
        </w:tc>
        <w:tc>
          <w:tcPr>
            <w:tcW w:w="1087" w:type="dxa"/>
            <w:tcBorders>
              <w:top w:val="double" w:sz="6" w:space="0" w:color="auto"/>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 </w:t>
            </w:r>
          </w:p>
        </w:tc>
        <w:tc>
          <w:tcPr>
            <w:tcW w:w="1126" w:type="dxa"/>
            <w:tcBorders>
              <w:top w:val="double" w:sz="6" w:space="0" w:color="auto"/>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 </w:t>
            </w:r>
          </w:p>
        </w:tc>
        <w:tc>
          <w:tcPr>
            <w:tcW w:w="2740" w:type="dxa"/>
            <w:gridSpan w:val="2"/>
            <w:tcBorders>
              <w:top w:val="double" w:sz="6" w:space="0" w:color="auto"/>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Logistic regression</w:t>
            </w:r>
          </w:p>
        </w:tc>
        <w:tc>
          <w:tcPr>
            <w:tcW w:w="2680" w:type="dxa"/>
            <w:gridSpan w:val="2"/>
            <w:tcBorders>
              <w:top w:val="double" w:sz="6" w:space="0" w:color="auto"/>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TMLE (δ = 10</w:t>
            </w:r>
            <w:r w:rsidRPr="00CC3D8F">
              <w:rPr>
                <w:rFonts w:ascii="Cambria" w:eastAsia="Times New Roman" w:hAnsi="Cambria" w:cs="Times New Roman"/>
                <w:color w:val="000000"/>
                <w:sz w:val="22"/>
                <w:szCs w:val="22"/>
                <w:vertAlign w:val="superscript"/>
                <w:lang w:val="en-CA" w:eastAsia="en-CA"/>
              </w:rPr>
              <w:t>-2</w:t>
            </w:r>
            <w:r w:rsidRPr="00CC3D8F">
              <w:rPr>
                <w:rFonts w:ascii="Cambria" w:eastAsia="Times New Roman" w:hAnsi="Cambria" w:cs="Times New Roman"/>
                <w:color w:val="000000"/>
                <w:sz w:val="22"/>
                <w:szCs w:val="22"/>
                <w:lang w:val="en-CA" w:eastAsia="en-CA"/>
              </w:rPr>
              <w:t>)</w:t>
            </w:r>
          </w:p>
        </w:tc>
        <w:tc>
          <w:tcPr>
            <w:tcW w:w="2780" w:type="dxa"/>
            <w:gridSpan w:val="2"/>
            <w:tcBorders>
              <w:top w:val="double" w:sz="6" w:space="0" w:color="auto"/>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TMLE (δ = 10</w:t>
            </w:r>
            <w:r w:rsidRPr="00CC3D8F">
              <w:rPr>
                <w:rFonts w:ascii="Cambria" w:eastAsia="Times New Roman" w:hAnsi="Cambria" w:cs="Times New Roman"/>
                <w:color w:val="000000"/>
                <w:sz w:val="22"/>
                <w:szCs w:val="22"/>
                <w:vertAlign w:val="superscript"/>
                <w:lang w:val="en-CA" w:eastAsia="en-CA"/>
              </w:rPr>
              <w:t>-2.5</w:t>
            </w:r>
            <w:r w:rsidRPr="00CC3D8F">
              <w:rPr>
                <w:rFonts w:ascii="Cambria" w:eastAsia="Times New Roman" w:hAnsi="Cambria" w:cs="Times New Roman"/>
                <w:color w:val="000000"/>
                <w:sz w:val="22"/>
                <w:szCs w:val="22"/>
                <w:lang w:val="en-CA" w:eastAsia="en-CA"/>
              </w:rPr>
              <w:t>)</w:t>
            </w:r>
          </w:p>
        </w:tc>
      </w:tr>
      <w:tr w:rsidR="00CC3D8F" w:rsidRPr="00CC3D8F" w:rsidTr="00CC3D8F">
        <w:trPr>
          <w:trHeight w:val="600"/>
        </w:trPr>
        <w:tc>
          <w:tcPr>
            <w:tcW w:w="520" w:type="dxa"/>
            <w:vMerge/>
            <w:tcBorders>
              <w:top w:val="double" w:sz="6" w:space="0" w:color="auto"/>
              <w:left w:val="nil"/>
              <w:bottom w:val="single" w:sz="4" w:space="0" w:color="000000"/>
              <w:right w:val="nil"/>
            </w:tcBorders>
            <w:vAlign w:val="center"/>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p>
        </w:tc>
        <w:tc>
          <w:tcPr>
            <w:tcW w:w="912" w:type="dxa"/>
            <w:tcBorders>
              <w:top w:val="nil"/>
              <w:left w:val="nil"/>
              <w:bottom w:val="single" w:sz="4" w:space="0" w:color="auto"/>
              <w:right w:val="nil"/>
            </w:tcBorders>
            <w:shd w:val="clear" w:color="auto" w:fill="auto"/>
            <w:noWrap/>
            <w:vAlign w:val="center"/>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Admitted</w:t>
            </w:r>
          </w:p>
        </w:tc>
        <w:tc>
          <w:tcPr>
            <w:tcW w:w="1200"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Died</w:t>
            </w:r>
            <w:r w:rsidRPr="00CC3D8F">
              <w:rPr>
                <w:rFonts w:ascii="Cambria" w:eastAsia="Times New Roman" w:hAnsi="Cambria" w:cs="Times New Roman"/>
                <w:color w:val="000000"/>
                <w:sz w:val="22"/>
                <w:szCs w:val="22"/>
                <w:lang w:val="en-CA" w:eastAsia="en-CA"/>
              </w:rPr>
              <w:br/>
              <w:t>(%)</w:t>
            </w:r>
          </w:p>
        </w:tc>
        <w:tc>
          <w:tcPr>
            <w:tcW w:w="1087" w:type="dxa"/>
            <w:tcBorders>
              <w:top w:val="nil"/>
              <w:left w:val="nil"/>
              <w:bottom w:val="single" w:sz="4" w:space="0" w:color="auto"/>
              <w:right w:val="nil"/>
            </w:tcBorders>
            <w:shd w:val="clear" w:color="auto" w:fill="auto"/>
            <w:noWrap/>
            <w:vAlign w:val="center"/>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Discharged</w:t>
            </w:r>
          </w:p>
        </w:tc>
        <w:tc>
          <w:tcPr>
            <w:tcW w:w="1126"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Readmitted</w:t>
            </w:r>
            <w:r w:rsidRPr="00CC3D8F">
              <w:rPr>
                <w:rFonts w:ascii="Cambria" w:eastAsia="Times New Roman" w:hAnsi="Cambria" w:cs="Times New Roman"/>
                <w:color w:val="000000"/>
                <w:sz w:val="22"/>
                <w:szCs w:val="22"/>
                <w:lang w:val="en-CA" w:eastAsia="en-CA"/>
              </w:rPr>
              <w:br/>
              <w:t>(%)</w:t>
            </w:r>
          </w:p>
        </w:tc>
        <w:tc>
          <w:tcPr>
            <w:tcW w:w="1860"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Odds Ratio</w:t>
            </w:r>
            <w:r w:rsidRPr="00CC3D8F">
              <w:rPr>
                <w:rFonts w:ascii="Cambria" w:eastAsia="Times New Roman" w:hAnsi="Cambria" w:cs="Times New Roman"/>
                <w:color w:val="000000"/>
                <w:sz w:val="22"/>
                <w:szCs w:val="22"/>
                <w:lang w:val="en-CA" w:eastAsia="en-CA"/>
              </w:rPr>
              <w:br/>
              <w:t>(95% CI)</w:t>
            </w:r>
          </w:p>
        </w:tc>
        <w:tc>
          <w:tcPr>
            <w:tcW w:w="880"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Marginal</w:t>
            </w:r>
            <w:r w:rsidRPr="00CC3D8F">
              <w:rPr>
                <w:rFonts w:ascii="Cambria" w:eastAsia="Times New Roman" w:hAnsi="Cambria" w:cs="Times New Roman"/>
                <w:color w:val="000000"/>
                <w:sz w:val="22"/>
                <w:szCs w:val="22"/>
                <w:lang w:val="en-CA" w:eastAsia="en-CA"/>
              </w:rPr>
              <w:br/>
              <w:t>risk</w:t>
            </w:r>
          </w:p>
        </w:tc>
        <w:tc>
          <w:tcPr>
            <w:tcW w:w="1812"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Odds Ratio</w:t>
            </w:r>
            <w:r w:rsidRPr="00CC3D8F">
              <w:rPr>
                <w:rFonts w:ascii="Cambria" w:eastAsia="Times New Roman" w:hAnsi="Cambria" w:cs="Times New Roman"/>
                <w:color w:val="000000"/>
                <w:sz w:val="22"/>
                <w:szCs w:val="22"/>
                <w:lang w:val="en-CA" w:eastAsia="en-CA"/>
              </w:rPr>
              <w:br/>
              <w:t>(95% CI)</w:t>
            </w:r>
          </w:p>
        </w:tc>
        <w:tc>
          <w:tcPr>
            <w:tcW w:w="868"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Marginal</w:t>
            </w:r>
            <w:r w:rsidRPr="00CC3D8F">
              <w:rPr>
                <w:rFonts w:ascii="Cambria" w:eastAsia="Times New Roman" w:hAnsi="Cambria" w:cs="Times New Roman"/>
                <w:color w:val="000000"/>
                <w:sz w:val="22"/>
                <w:szCs w:val="22"/>
                <w:lang w:val="en-CA" w:eastAsia="en-CA"/>
              </w:rPr>
              <w:br/>
              <w:t>risk</w:t>
            </w:r>
          </w:p>
        </w:tc>
        <w:tc>
          <w:tcPr>
            <w:tcW w:w="1912"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Odds Ratio</w:t>
            </w:r>
            <w:r w:rsidRPr="00CC3D8F">
              <w:rPr>
                <w:rFonts w:ascii="Cambria" w:eastAsia="Times New Roman" w:hAnsi="Cambria" w:cs="Times New Roman"/>
                <w:color w:val="000000"/>
                <w:sz w:val="22"/>
                <w:szCs w:val="22"/>
                <w:lang w:val="en-CA" w:eastAsia="en-CA"/>
              </w:rPr>
              <w:br/>
              <w:t>(95% CI)</w:t>
            </w:r>
          </w:p>
        </w:tc>
        <w:tc>
          <w:tcPr>
            <w:tcW w:w="868"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Marginal</w:t>
            </w:r>
            <w:r w:rsidRPr="00CC3D8F">
              <w:rPr>
                <w:rFonts w:ascii="Cambria" w:eastAsia="Times New Roman" w:hAnsi="Cambria" w:cs="Times New Roman"/>
                <w:color w:val="000000"/>
                <w:sz w:val="22"/>
                <w:szCs w:val="22"/>
                <w:lang w:val="en-CA" w:eastAsia="en-CA"/>
              </w:rPr>
              <w:br/>
              <w:t>risk</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1229</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141 (11)</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1088</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248 (23)</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1.00 (0.97-1.03)</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0.22</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0.61 (0.59-0.63)</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0.11</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0.50 (0.48-0.53)</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0.09</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2071</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166 (8)</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1905</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441 (23)</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1.02 (0.99-1.05)</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0.24</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1.13 (1.11-1.16)</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0.19</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1.13 (1.11-1.16)</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0.19</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3</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1243</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134 (11)</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1109</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285 (26)</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1.03 (1.00-1.07)</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0.25</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0.71 (0.69-0.72)</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0.52 (0.50-0.54)</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0.10</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4</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1076</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122 (11)</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954</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214 (22)</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1.01 (0.97-1.04)</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0.23</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1.06 (1.04-1.09)</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0.18</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0.92 (0.89-0.96)</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5</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1550</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181 (12)</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1369</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288 (21)</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0.99 (0.96-1.02)</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0.21</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0.71 (0.69-0.72)</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0.58 (0.56-0.60)</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0.11</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6</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827</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107 (13)</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720</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128 (18)</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0.97 (0.94-1.00)</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0.19</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0.73 (0.70-0.75)</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1.08 (1.03-1.14)</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0.18</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2917</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386 (13)</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2531</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666 (26)</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1.04 (1.02-1.07)</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0.26</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1.63 (1.61-1.66)</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0.25</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1.67 (1.64-1.71)</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0.26</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1456</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197 (14)</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1259</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232 (18)</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0.97 (0.94-1.00)</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0.19</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0.72 (0.70-0.74)</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0.68 (0.66-0.70)</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0.12</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9</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881</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111 (13)</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770</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157 (20)</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0.98 (0.95-1.02)</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0.20</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1.27 (1.25-1.29)</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0.21</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1.18 (1.16-1.20)</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0.20</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1410</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149 (11)</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1261</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311 (25)</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1.01 (0.99-1.05)</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0.23</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0.66 (0.65-0.68)</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0.12</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0.57 (0.55-0.60)</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0.11</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1297</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153 (12)</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1144</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258 (23)</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1.01 (0.98-1.04)</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0.23</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0.90 (0.88-0.92)</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0.86 (0.83-0.88)</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0.15</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1323</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162 (12)</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1161</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192 (17)</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0.92 (0.89-0.95)</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0.79 (0.76-0.81)</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0.14</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0.76 (0.74-0.78)</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0.14</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1231</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102 (8)</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1129</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262 (23)</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1.00 (0.97-1.03)</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0.22</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0.94 (0.93-0.96)</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0.91 (0.87-0.95)</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2110</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234 (11)</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1876</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424 (23)</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(Reference)</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0.22</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(Reference)</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0.17</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(Reference)</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0.17</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15</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1389</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190 (14)</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1199</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203 (17)</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0.97 (0.94-1.00)</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0.19</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0.74 (0.72-0.77)</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0.81 (0.79-0.84)</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0.14</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16</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681</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94 (14)</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587</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111 (19)</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0.98 (0.94-1.01)</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0.20</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0.75 (0.73-0.78)</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0.14</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0.84 (0.80-0.87)</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0.15</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17</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1438</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139 (10)</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1299</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328 (25)</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1.04 (1.01-1.07)</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0.26</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1.50 (1.48-1.53)</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0.24</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1.85 (1.80-1.90)</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0.28</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18</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1984</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212 (11)</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1772</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438 (25)</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1.03 (1.00-1.06)</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0.25</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0.76 (0.74-0.77)</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0.14</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0.74 (0.72-0.76)</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19</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932</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99 (11)</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833</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163 (20)</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0.98 (0.95-1.01)</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0.20</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0.88 (0.86-0.90)</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0.81 (0.79-0.84)</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0.14</w:t>
            </w:r>
          </w:p>
        </w:tc>
      </w:tr>
      <w:tr w:rsidR="00CC3D8F" w:rsidRPr="00CC3D8F" w:rsidTr="00CC3D8F">
        <w:trPr>
          <w:trHeight w:val="300"/>
        </w:trPr>
        <w:tc>
          <w:tcPr>
            <w:tcW w:w="520"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20</w:t>
            </w:r>
          </w:p>
        </w:tc>
        <w:tc>
          <w:tcPr>
            <w:tcW w:w="912"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1048</w:t>
            </w:r>
          </w:p>
        </w:tc>
        <w:tc>
          <w:tcPr>
            <w:tcW w:w="1200"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167 (16)</w:t>
            </w:r>
          </w:p>
        </w:tc>
        <w:tc>
          <w:tcPr>
            <w:tcW w:w="1087"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881</w:t>
            </w:r>
          </w:p>
        </w:tc>
        <w:tc>
          <w:tcPr>
            <w:tcW w:w="1126"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171 (19)</w:t>
            </w:r>
          </w:p>
        </w:tc>
        <w:tc>
          <w:tcPr>
            <w:tcW w:w="1860"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0.99 (0.96-1.02)</w:t>
            </w:r>
          </w:p>
        </w:tc>
        <w:tc>
          <w:tcPr>
            <w:tcW w:w="880"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0.21</w:t>
            </w:r>
          </w:p>
        </w:tc>
        <w:tc>
          <w:tcPr>
            <w:tcW w:w="1812"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1.25 (1.22-1.27)</w:t>
            </w:r>
          </w:p>
        </w:tc>
        <w:tc>
          <w:tcPr>
            <w:tcW w:w="868"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0.21</w:t>
            </w:r>
          </w:p>
        </w:tc>
        <w:tc>
          <w:tcPr>
            <w:tcW w:w="1912"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1.20 (1.17-1.23)</w:t>
            </w:r>
          </w:p>
        </w:tc>
        <w:tc>
          <w:tcPr>
            <w:tcW w:w="868" w:type="dxa"/>
            <w:tcBorders>
              <w:top w:val="nil"/>
              <w:left w:val="nil"/>
              <w:bottom w:val="single" w:sz="4" w:space="0" w:color="auto"/>
              <w:right w:val="nil"/>
            </w:tcBorders>
            <w:shd w:val="clear" w:color="auto" w:fill="auto"/>
            <w:noWrap/>
            <w:vAlign w:val="bottom"/>
            <w:hideMark/>
          </w:tcPr>
          <w:p w:rsidR="00CC3D8F" w:rsidRPr="00CC3D8F" w:rsidRDefault="00CC3D8F" w:rsidP="00AE4F1D">
            <w:pPr>
              <w:keepNext/>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0.20</w:t>
            </w:r>
          </w:p>
        </w:tc>
      </w:tr>
    </w:tbl>
    <w:p w:rsidR="00AE4F1D" w:rsidRDefault="00AE4F1D" w:rsidP="00AE4F1D">
      <w:pPr>
        <w:sectPr w:rsidR="00AE4F1D" w:rsidSect="003B5FEB">
          <w:pgSz w:w="15840" w:h="12240" w:orient="landscape"/>
          <w:pgMar w:top="720" w:right="720" w:bottom="720" w:left="720" w:header="720" w:footer="720" w:gutter="0"/>
          <w:cols w:space="720"/>
          <w:docGrid w:linePitch="326"/>
        </w:sectPr>
      </w:pPr>
      <w:r>
        <w:t xml:space="preserve">Table </w:t>
      </w:r>
      <w:r>
        <w:fldChar w:fldCharType="begin"/>
      </w:r>
      <w:r>
        <w:instrText xml:space="preserve"> SEQ Table \* ARABIC </w:instrText>
      </w:r>
      <w:r>
        <w:fldChar w:fldCharType="separate"/>
      </w:r>
      <w:r>
        <w:rPr>
          <w:noProof/>
        </w:rPr>
        <w:t>2</w:t>
      </w:r>
      <w:r>
        <w:fldChar w:fldCharType="end"/>
      </w:r>
      <w:r>
        <w:t xml:space="preserve"> – </w:t>
      </w:r>
      <w:r w:rsidRPr="00AE4F1D">
        <w:rPr>
          <w:lang w:val="en-CA"/>
        </w:rPr>
        <w:t xml:space="preserve">Risk of 30-day readmission after admission for </w:t>
      </w:r>
      <w:r>
        <w:rPr>
          <w:lang w:val="en-CA"/>
        </w:rPr>
        <w:t>heart failure</w:t>
      </w:r>
      <w:r w:rsidRPr="00AE4F1D">
        <w:rPr>
          <w:lang w:val="en-CA"/>
        </w:rPr>
        <w:t xml:space="preserve"> in twenty Montreal hospitals</w:t>
      </w:r>
      <w:r>
        <w:rPr>
          <w:lang w:val="en-CA"/>
        </w:rPr>
        <w:t>.</w:t>
      </w:r>
      <w:r>
        <w:rPr>
          <w:lang w:val="en-CA"/>
        </w:rPr>
        <w:t xml:space="preserve"> </w:t>
      </w:r>
      <w:r w:rsidRPr="00AE4F1D">
        <w:t>The columns in this table are described in Table</w:t>
      </w:r>
      <w:r>
        <w:t xml:space="preserve"> 1.</w:t>
      </w:r>
    </w:p>
    <w:tbl>
      <w:tblPr>
        <w:tblW w:w="13045" w:type="dxa"/>
        <w:tblInd w:w="93" w:type="dxa"/>
        <w:tblLook w:val="04A0" w:firstRow="1" w:lastRow="0" w:firstColumn="1" w:lastColumn="0" w:noHBand="0" w:noVBand="1"/>
      </w:tblPr>
      <w:tblGrid>
        <w:gridCol w:w="630"/>
        <w:gridCol w:w="1098"/>
        <w:gridCol w:w="1200"/>
        <w:gridCol w:w="1273"/>
        <w:gridCol w:w="1312"/>
        <w:gridCol w:w="1860"/>
        <w:gridCol w:w="1054"/>
        <w:gridCol w:w="1812"/>
        <w:gridCol w:w="1054"/>
        <w:gridCol w:w="1912"/>
        <w:gridCol w:w="1054"/>
      </w:tblGrid>
      <w:tr w:rsidR="00AE4F1D" w:rsidRPr="00AE4F1D" w:rsidTr="00AE4F1D">
        <w:trPr>
          <w:trHeight w:val="360"/>
        </w:trPr>
        <w:tc>
          <w:tcPr>
            <w:tcW w:w="520" w:type="dxa"/>
            <w:vMerge w:val="restart"/>
            <w:tcBorders>
              <w:top w:val="double" w:sz="6" w:space="0" w:color="auto"/>
              <w:left w:val="nil"/>
              <w:bottom w:val="single" w:sz="4" w:space="0" w:color="000000"/>
              <w:right w:val="nil"/>
            </w:tcBorders>
            <w:shd w:val="clear" w:color="auto" w:fill="auto"/>
            <w:noWrap/>
            <w:vAlign w:val="center"/>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lastRenderedPageBreak/>
              <w:t>Hsp.</w:t>
            </w:r>
          </w:p>
        </w:tc>
        <w:tc>
          <w:tcPr>
            <w:tcW w:w="912" w:type="dxa"/>
            <w:tcBorders>
              <w:top w:val="double" w:sz="6" w:space="0" w:color="auto"/>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 </w:t>
            </w:r>
          </w:p>
        </w:tc>
        <w:tc>
          <w:tcPr>
            <w:tcW w:w="1200" w:type="dxa"/>
            <w:tcBorders>
              <w:top w:val="double" w:sz="6" w:space="0" w:color="auto"/>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 </w:t>
            </w:r>
          </w:p>
        </w:tc>
        <w:tc>
          <w:tcPr>
            <w:tcW w:w="1087" w:type="dxa"/>
            <w:tcBorders>
              <w:top w:val="double" w:sz="6" w:space="0" w:color="auto"/>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 </w:t>
            </w:r>
          </w:p>
        </w:tc>
        <w:tc>
          <w:tcPr>
            <w:tcW w:w="1126" w:type="dxa"/>
            <w:tcBorders>
              <w:top w:val="double" w:sz="6" w:space="0" w:color="auto"/>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 </w:t>
            </w:r>
          </w:p>
        </w:tc>
        <w:tc>
          <w:tcPr>
            <w:tcW w:w="2740" w:type="dxa"/>
            <w:gridSpan w:val="2"/>
            <w:tcBorders>
              <w:top w:val="double" w:sz="6" w:space="0" w:color="auto"/>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Logistic regression</w:t>
            </w:r>
          </w:p>
        </w:tc>
        <w:tc>
          <w:tcPr>
            <w:tcW w:w="2680" w:type="dxa"/>
            <w:gridSpan w:val="2"/>
            <w:tcBorders>
              <w:top w:val="double" w:sz="6" w:space="0" w:color="auto"/>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TMLE (δ = 10</w:t>
            </w:r>
            <w:r w:rsidRPr="00AE4F1D">
              <w:rPr>
                <w:rFonts w:ascii="Cambria" w:eastAsia="Times New Roman" w:hAnsi="Cambria" w:cs="Times New Roman"/>
                <w:color w:val="000000"/>
                <w:sz w:val="22"/>
                <w:szCs w:val="22"/>
                <w:vertAlign w:val="superscript"/>
                <w:lang w:val="en-CA" w:eastAsia="en-CA"/>
              </w:rPr>
              <w:t>-2</w:t>
            </w:r>
            <w:r w:rsidRPr="00AE4F1D">
              <w:rPr>
                <w:rFonts w:ascii="Cambria" w:eastAsia="Times New Roman" w:hAnsi="Cambria" w:cs="Times New Roman"/>
                <w:color w:val="000000"/>
                <w:sz w:val="22"/>
                <w:szCs w:val="22"/>
                <w:lang w:val="en-CA" w:eastAsia="en-CA"/>
              </w:rPr>
              <w:t>)</w:t>
            </w:r>
          </w:p>
        </w:tc>
        <w:tc>
          <w:tcPr>
            <w:tcW w:w="2780" w:type="dxa"/>
            <w:gridSpan w:val="2"/>
            <w:tcBorders>
              <w:top w:val="double" w:sz="6" w:space="0" w:color="auto"/>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TMLE (δ = 10</w:t>
            </w:r>
            <w:r w:rsidRPr="00AE4F1D">
              <w:rPr>
                <w:rFonts w:ascii="Cambria" w:eastAsia="Times New Roman" w:hAnsi="Cambria" w:cs="Times New Roman"/>
                <w:color w:val="000000"/>
                <w:sz w:val="22"/>
                <w:szCs w:val="22"/>
                <w:vertAlign w:val="superscript"/>
                <w:lang w:val="en-CA" w:eastAsia="en-CA"/>
              </w:rPr>
              <w:t>-2.5</w:t>
            </w:r>
            <w:r w:rsidRPr="00AE4F1D">
              <w:rPr>
                <w:rFonts w:ascii="Cambria" w:eastAsia="Times New Roman" w:hAnsi="Cambria" w:cs="Times New Roman"/>
                <w:color w:val="000000"/>
                <w:sz w:val="22"/>
                <w:szCs w:val="22"/>
                <w:lang w:val="en-CA" w:eastAsia="en-CA"/>
              </w:rPr>
              <w:t>)</w:t>
            </w:r>
          </w:p>
        </w:tc>
      </w:tr>
      <w:tr w:rsidR="00AE4F1D" w:rsidRPr="00AE4F1D" w:rsidTr="00AE4F1D">
        <w:trPr>
          <w:trHeight w:val="600"/>
        </w:trPr>
        <w:tc>
          <w:tcPr>
            <w:tcW w:w="520" w:type="dxa"/>
            <w:vMerge/>
            <w:tcBorders>
              <w:top w:val="double" w:sz="6" w:space="0" w:color="auto"/>
              <w:left w:val="nil"/>
              <w:bottom w:val="single" w:sz="4" w:space="0" w:color="000000"/>
              <w:right w:val="nil"/>
            </w:tcBorders>
            <w:vAlign w:val="center"/>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p>
        </w:tc>
        <w:tc>
          <w:tcPr>
            <w:tcW w:w="912" w:type="dxa"/>
            <w:tcBorders>
              <w:top w:val="nil"/>
              <w:left w:val="nil"/>
              <w:bottom w:val="single" w:sz="4" w:space="0" w:color="auto"/>
              <w:right w:val="nil"/>
            </w:tcBorders>
            <w:shd w:val="clear" w:color="auto" w:fill="auto"/>
            <w:noWrap/>
            <w:vAlign w:val="center"/>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Admitted</w:t>
            </w:r>
          </w:p>
        </w:tc>
        <w:tc>
          <w:tcPr>
            <w:tcW w:w="1200" w:type="dxa"/>
            <w:tcBorders>
              <w:top w:val="nil"/>
              <w:left w:val="nil"/>
              <w:bottom w:val="single" w:sz="4" w:space="0" w:color="auto"/>
              <w:right w:val="nil"/>
            </w:tcBorders>
            <w:shd w:val="clear" w:color="auto" w:fill="auto"/>
            <w:vAlign w:val="bottom"/>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Died</w:t>
            </w:r>
            <w:r w:rsidRPr="00AE4F1D">
              <w:rPr>
                <w:rFonts w:ascii="Cambria" w:eastAsia="Times New Roman" w:hAnsi="Cambria" w:cs="Times New Roman"/>
                <w:color w:val="000000"/>
                <w:sz w:val="22"/>
                <w:szCs w:val="22"/>
                <w:lang w:val="en-CA" w:eastAsia="en-CA"/>
              </w:rPr>
              <w:br/>
              <w:t>(%)</w:t>
            </w:r>
          </w:p>
        </w:tc>
        <w:tc>
          <w:tcPr>
            <w:tcW w:w="1087" w:type="dxa"/>
            <w:tcBorders>
              <w:top w:val="nil"/>
              <w:left w:val="nil"/>
              <w:bottom w:val="single" w:sz="4" w:space="0" w:color="auto"/>
              <w:right w:val="nil"/>
            </w:tcBorders>
            <w:shd w:val="clear" w:color="auto" w:fill="auto"/>
            <w:noWrap/>
            <w:vAlign w:val="center"/>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Discharged</w:t>
            </w:r>
          </w:p>
        </w:tc>
        <w:tc>
          <w:tcPr>
            <w:tcW w:w="1126" w:type="dxa"/>
            <w:tcBorders>
              <w:top w:val="nil"/>
              <w:left w:val="nil"/>
              <w:bottom w:val="single" w:sz="4" w:space="0" w:color="auto"/>
              <w:right w:val="nil"/>
            </w:tcBorders>
            <w:shd w:val="clear" w:color="auto" w:fill="auto"/>
            <w:vAlign w:val="bottom"/>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Readmitted</w:t>
            </w:r>
            <w:r w:rsidRPr="00AE4F1D">
              <w:rPr>
                <w:rFonts w:ascii="Cambria" w:eastAsia="Times New Roman" w:hAnsi="Cambria" w:cs="Times New Roman"/>
                <w:color w:val="000000"/>
                <w:sz w:val="22"/>
                <w:szCs w:val="22"/>
                <w:lang w:val="en-CA" w:eastAsia="en-CA"/>
              </w:rPr>
              <w:br/>
              <w:t>(%)</w:t>
            </w:r>
          </w:p>
        </w:tc>
        <w:tc>
          <w:tcPr>
            <w:tcW w:w="1860" w:type="dxa"/>
            <w:tcBorders>
              <w:top w:val="nil"/>
              <w:left w:val="nil"/>
              <w:bottom w:val="single" w:sz="4" w:space="0" w:color="auto"/>
              <w:right w:val="nil"/>
            </w:tcBorders>
            <w:shd w:val="clear" w:color="auto" w:fill="auto"/>
            <w:vAlign w:val="bottom"/>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Odds Ratio</w:t>
            </w:r>
            <w:r w:rsidRPr="00AE4F1D">
              <w:rPr>
                <w:rFonts w:ascii="Cambria" w:eastAsia="Times New Roman" w:hAnsi="Cambria" w:cs="Times New Roman"/>
                <w:color w:val="000000"/>
                <w:sz w:val="22"/>
                <w:szCs w:val="22"/>
                <w:lang w:val="en-CA" w:eastAsia="en-CA"/>
              </w:rPr>
              <w:br/>
              <w:t>(95% CI)</w:t>
            </w:r>
          </w:p>
        </w:tc>
        <w:tc>
          <w:tcPr>
            <w:tcW w:w="880" w:type="dxa"/>
            <w:tcBorders>
              <w:top w:val="nil"/>
              <w:left w:val="nil"/>
              <w:bottom w:val="single" w:sz="4" w:space="0" w:color="auto"/>
              <w:right w:val="nil"/>
            </w:tcBorders>
            <w:shd w:val="clear" w:color="auto" w:fill="auto"/>
            <w:vAlign w:val="bottom"/>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Marginal</w:t>
            </w:r>
            <w:r w:rsidRPr="00AE4F1D">
              <w:rPr>
                <w:rFonts w:ascii="Cambria" w:eastAsia="Times New Roman" w:hAnsi="Cambria" w:cs="Times New Roman"/>
                <w:color w:val="000000"/>
                <w:sz w:val="22"/>
                <w:szCs w:val="22"/>
                <w:lang w:val="en-CA" w:eastAsia="en-CA"/>
              </w:rPr>
              <w:br/>
              <w:t>risk</w:t>
            </w:r>
          </w:p>
        </w:tc>
        <w:tc>
          <w:tcPr>
            <w:tcW w:w="1812" w:type="dxa"/>
            <w:tcBorders>
              <w:top w:val="nil"/>
              <w:left w:val="nil"/>
              <w:bottom w:val="single" w:sz="4" w:space="0" w:color="auto"/>
              <w:right w:val="nil"/>
            </w:tcBorders>
            <w:shd w:val="clear" w:color="auto" w:fill="auto"/>
            <w:vAlign w:val="bottom"/>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Odds Ratio</w:t>
            </w:r>
            <w:r w:rsidRPr="00AE4F1D">
              <w:rPr>
                <w:rFonts w:ascii="Cambria" w:eastAsia="Times New Roman" w:hAnsi="Cambria" w:cs="Times New Roman"/>
                <w:color w:val="000000"/>
                <w:sz w:val="22"/>
                <w:szCs w:val="22"/>
                <w:lang w:val="en-CA" w:eastAsia="en-CA"/>
              </w:rPr>
              <w:br/>
              <w:t>(95% CI)</w:t>
            </w:r>
          </w:p>
        </w:tc>
        <w:tc>
          <w:tcPr>
            <w:tcW w:w="868" w:type="dxa"/>
            <w:tcBorders>
              <w:top w:val="nil"/>
              <w:left w:val="nil"/>
              <w:bottom w:val="single" w:sz="4" w:space="0" w:color="auto"/>
              <w:right w:val="nil"/>
            </w:tcBorders>
            <w:shd w:val="clear" w:color="auto" w:fill="auto"/>
            <w:vAlign w:val="bottom"/>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Marginal</w:t>
            </w:r>
            <w:r w:rsidRPr="00AE4F1D">
              <w:rPr>
                <w:rFonts w:ascii="Cambria" w:eastAsia="Times New Roman" w:hAnsi="Cambria" w:cs="Times New Roman"/>
                <w:color w:val="000000"/>
                <w:sz w:val="22"/>
                <w:szCs w:val="22"/>
                <w:lang w:val="en-CA" w:eastAsia="en-CA"/>
              </w:rPr>
              <w:br/>
              <w:t>risk</w:t>
            </w:r>
          </w:p>
        </w:tc>
        <w:tc>
          <w:tcPr>
            <w:tcW w:w="1912" w:type="dxa"/>
            <w:tcBorders>
              <w:top w:val="nil"/>
              <w:left w:val="nil"/>
              <w:bottom w:val="single" w:sz="4" w:space="0" w:color="auto"/>
              <w:right w:val="nil"/>
            </w:tcBorders>
            <w:shd w:val="clear" w:color="auto" w:fill="auto"/>
            <w:vAlign w:val="bottom"/>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Odds Ratio</w:t>
            </w:r>
            <w:r w:rsidRPr="00AE4F1D">
              <w:rPr>
                <w:rFonts w:ascii="Cambria" w:eastAsia="Times New Roman" w:hAnsi="Cambria" w:cs="Times New Roman"/>
                <w:color w:val="000000"/>
                <w:sz w:val="22"/>
                <w:szCs w:val="22"/>
                <w:lang w:val="en-CA" w:eastAsia="en-CA"/>
              </w:rPr>
              <w:br/>
              <w:t>(95% CI)</w:t>
            </w:r>
          </w:p>
        </w:tc>
        <w:tc>
          <w:tcPr>
            <w:tcW w:w="868" w:type="dxa"/>
            <w:tcBorders>
              <w:top w:val="nil"/>
              <w:left w:val="nil"/>
              <w:bottom w:val="single" w:sz="4" w:space="0" w:color="auto"/>
              <w:right w:val="nil"/>
            </w:tcBorders>
            <w:shd w:val="clear" w:color="auto" w:fill="auto"/>
            <w:vAlign w:val="bottom"/>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Marginal</w:t>
            </w:r>
            <w:r w:rsidRPr="00AE4F1D">
              <w:rPr>
                <w:rFonts w:ascii="Cambria" w:eastAsia="Times New Roman" w:hAnsi="Cambria" w:cs="Times New Roman"/>
                <w:color w:val="000000"/>
                <w:sz w:val="22"/>
                <w:szCs w:val="22"/>
                <w:lang w:val="en-CA" w:eastAsia="en-CA"/>
              </w:rPr>
              <w:br/>
              <w:t>risk</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1184</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176 (15)</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1008</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159 (16)</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1.00 (0.98-1.03)</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0.15</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1.23 (1.18-1.27)</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0.15</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1.21 (1.17-1.26)</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0.15</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2</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199</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 (6)</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188</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31 (16)</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1.02 (0.97-1.08)</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0.17</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1.09 (1.07-1.12)</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0.14</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1.25 (1.17-1.34)</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0.16</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3</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1085</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132 (12)</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953</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160 (17)</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1.01 (0.98-1.04)</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0.16</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0.83 (0.80-0.87)</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0.11</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0.82 (0.78-0.87)</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0.11</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4</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863</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91 (11)</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772</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113 (15)</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1.00 (0.97-1.03)</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0.15</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0.85 (0.81-0.88)</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0.11</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0.84 (0.81-0.88)</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0.11</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5</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923</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147 (16)</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776</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143 (18)</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1.04 (1.01-1.07)</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0.19</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0.96 (0.93-1.00)</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0.12</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0.95 (0.91-0.99)</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0.12</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6</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788</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136 (17)</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652</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89 (14)</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1.00 (0.96-1.03)</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0.14</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0.89 (0.85-0.94)</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0.12</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0.91 (0.86-0.96)</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0.12</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7</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2194</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228 (10)</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1966</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328 (17)</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1.03 (1.00-1.05)</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0.17</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1.33 (1.29-1.37)</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0.16</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1.33 (1.29-1.37)</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0.16</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8</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1485</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243 (16)</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1242</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173 (14)</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0.99 (0.97-1.02)</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0.14</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0.97 (0.93-1.01)</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0.12</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0.97 (0.94-1.01)</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0.13</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9</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990</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166 (17)</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824</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158 (19)</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1.04 (1.01-1.08)</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0.19</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1.30 (1.25-1.35)</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0.16</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1.28 (1.23-1.33)</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0.16</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1214</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139 (11)</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1075</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181 (17)</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1.01 (0.99-1.04)</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0.16</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1.45 (1.40-1.51)</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0.18</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1.46 (1.40-1.51)</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0.18</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892</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147 (16)</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745</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119 (16)</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1.02 (0.98-1.05)</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0.16</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1.39 (1.34-1.44)</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0.17</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1.40 (1.35-1.46)</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0.17</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12</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1102</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185 (17)</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917</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91 (10)</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0.96 (0.93-0.98)</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0.10</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0.47 (0.44-0.50)</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0.06</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0.47 (0.44-0.50)</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0.06</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13</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1914</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204 (11)</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1710</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325 (19)</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1.03 (1.00-1.05)</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0.18</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0.80 (0.77-0.83)</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0.10</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0.84 (0.79-0.89)</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0.11</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14</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1980</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278 (14)</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1702</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263 (15)</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(Reference)</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0.15</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(Reference)</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0.13</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(Reference)</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0.13</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15</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1365</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179 (13)</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1186</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163 (14)</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1.00 (0.97-1.03)</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0.15</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0.86 (0.83-0.90)</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0.11</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0.85 (0.81-0.89)</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0.11</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16</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541</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77 (14)</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464</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46 (10)</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0.96 (0.93-1.00)</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0.11</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1.45 (1.39-1.52)</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0.18</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1.55 (1.46-1.65)</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0.19</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17</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1338</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163 (12)</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1175</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193 (16)</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1.02 (0.99-1.05)</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0.17</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0.86 (0.83-0.89)</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0.11</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0.79 (0.76-0.82)</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0.10</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18</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1356</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168 (12)</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1188</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200 (17)</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1.02 (0.99-1.04)</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0.17</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1.40 (1.36-1.44)</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0.17</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1.40 (1.35-1.44)</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0.17</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19</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1020</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123 (12)</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897</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122 (14)</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0.99 (0.96-1.02)</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0.14</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0.94 (0.90-0.98)</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0.12</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0.98 (0.93-1.03)</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0.13</w:t>
            </w:r>
          </w:p>
        </w:tc>
      </w:tr>
      <w:tr w:rsidR="00AE4F1D" w:rsidRPr="00AE4F1D" w:rsidTr="00AE4F1D">
        <w:trPr>
          <w:trHeight w:val="300"/>
        </w:trPr>
        <w:tc>
          <w:tcPr>
            <w:tcW w:w="520" w:type="dxa"/>
            <w:tcBorders>
              <w:top w:val="nil"/>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20</w:t>
            </w:r>
          </w:p>
        </w:tc>
        <w:tc>
          <w:tcPr>
            <w:tcW w:w="912" w:type="dxa"/>
            <w:tcBorders>
              <w:top w:val="nil"/>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1152</w:t>
            </w:r>
          </w:p>
        </w:tc>
        <w:tc>
          <w:tcPr>
            <w:tcW w:w="1200" w:type="dxa"/>
            <w:tcBorders>
              <w:top w:val="nil"/>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171 (15)</w:t>
            </w:r>
          </w:p>
        </w:tc>
        <w:tc>
          <w:tcPr>
            <w:tcW w:w="1087" w:type="dxa"/>
            <w:tcBorders>
              <w:top w:val="nil"/>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981</w:t>
            </w:r>
          </w:p>
        </w:tc>
        <w:tc>
          <w:tcPr>
            <w:tcW w:w="1126" w:type="dxa"/>
            <w:tcBorders>
              <w:top w:val="nil"/>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126 (13)</w:t>
            </w:r>
          </w:p>
        </w:tc>
        <w:tc>
          <w:tcPr>
            <w:tcW w:w="1860" w:type="dxa"/>
            <w:tcBorders>
              <w:top w:val="nil"/>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0.98 (0.95-1.01)</w:t>
            </w:r>
          </w:p>
        </w:tc>
        <w:tc>
          <w:tcPr>
            <w:tcW w:w="880" w:type="dxa"/>
            <w:tcBorders>
              <w:top w:val="nil"/>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0.13</w:t>
            </w:r>
          </w:p>
        </w:tc>
        <w:tc>
          <w:tcPr>
            <w:tcW w:w="1812" w:type="dxa"/>
            <w:tcBorders>
              <w:top w:val="nil"/>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1.11 (1.07-1.16)</w:t>
            </w:r>
          </w:p>
        </w:tc>
        <w:tc>
          <w:tcPr>
            <w:tcW w:w="868" w:type="dxa"/>
            <w:tcBorders>
              <w:top w:val="nil"/>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0.14</w:t>
            </w:r>
          </w:p>
        </w:tc>
        <w:tc>
          <w:tcPr>
            <w:tcW w:w="1912" w:type="dxa"/>
            <w:tcBorders>
              <w:top w:val="nil"/>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1.11 (1.07-1.16)</w:t>
            </w:r>
          </w:p>
        </w:tc>
        <w:tc>
          <w:tcPr>
            <w:tcW w:w="868" w:type="dxa"/>
            <w:tcBorders>
              <w:top w:val="nil"/>
              <w:left w:val="nil"/>
              <w:bottom w:val="single" w:sz="4" w:space="0" w:color="auto"/>
              <w:right w:val="nil"/>
            </w:tcBorders>
            <w:shd w:val="clear" w:color="auto" w:fill="auto"/>
            <w:noWrap/>
            <w:vAlign w:val="bottom"/>
            <w:hideMark/>
          </w:tcPr>
          <w:p w:rsidR="00AE4F1D" w:rsidRPr="00AE4F1D" w:rsidRDefault="00AE4F1D" w:rsidP="00AE4F1D">
            <w:pPr>
              <w:keepNext/>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w:t>
            </w:r>
          </w:p>
        </w:tc>
      </w:tr>
    </w:tbl>
    <w:p w:rsidR="003B5FEB" w:rsidRDefault="00AE4F1D" w:rsidP="00AE4F1D">
      <w:pPr>
        <w:sectPr w:rsidR="003B5FEB" w:rsidSect="003B5FEB">
          <w:pgSz w:w="15840" w:h="12240" w:orient="landscape"/>
          <w:pgMar w:top="720" w:right="720" w:bottom="720" w:left="720" w:header="720" w:footer="720" w:gutter="0"/>
          <w:cols w:space="720"/>
          <w:docGrid w:linePitch="326"/>
        </w:sectPr>
      </w:pPr>
      <w:r>
        <w:t xml:space="preserve">Table </w:t>
      </w:r>
      <w:r>
        <w:fldChar w:fldCharType="begin"/>
      </w:r>
      <w:r>
        <w:instrText xml:space="preserve"> SEQ Table \* ARABIC </w:instrText>
      </w:r>
      <w:r>
        <w:fldChar w:fldCharType="separate"/>
      </w:r>
      <w:r>
        <w:rPr>
          <w:noProof/>
        </w:rPr>
        <w:t>3</w:t>
      </w:r>
      <w:r>
        <w:fldChar w:fldCharType="end"/>
      </w:r>
      <w:r>
        <w:t xml:space="preserve"> – </w:t>
      </w:r>
      <w:r w:rsidRPr="00AE4F1D">
        <w:rPr>
          <w:lang w:val="en-CA"/>
        </w:rPr>
        <w:t>Risk of 30-day readmission after admission for pneumonia in twenty Montreal hospitals</w:t>
      </w:r>
      <w:r>
        <w:rPr>
          <w:lang w:val="en-CA"/>
        </w:rPr>
        <w:t>.</w:t>
      </w:r>
      <w:r w:rsidRPr="00AE4F1D">
        <w:t xml:space="preserve"> The columns in this table are described in Table</w:t>
      </w:r>
      <w:r>
        <w:t xml:space="preserve"> 1.</w:t>
      </w:r>
    </w:p>
    <w:p w:rsidR="003B5FEB" w:rsidRDefault="003B5FEB"/>
    <w:p w:rsidR="003A7796" w:rsidRDefault="00D03CD4" w:rsidP="003A7796">
      <w:pPr>
        <w:keepNext/>
      </w:pPr>
      <w:r>
        <w:rPr>
          <w:noProof/>
          <w:lang w:val="en-CA" w:eastAsia="en-CA"/>
        </w:rPr>
        <w:drawing>
          <wp:inline distT="0" distB="0" distL="0" distR="0" wp14:anchorId="4C259403" wp14:editId="58AC14F9">
            <wp:extent cx="6836400" cy="6721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variable_importance_by_model_and_class.png"/>
                    <pic:cNvPicPr>
                      <a:picLocks noChangeAspect="1" noChangeArrowheads="1"/>
                    </pic:cNvPicPr>
                  </pic:nvPicPr>
                  <pic:blipFill>
                    <a:blip r:embed="rId8"/>
                    <a:stretch>
                      <a:fillRect/>
                    </a:stretch>
                  </pic:blipFill>
                  <pic:spPr bwMode="auto">
                    <a:xfrm>
                      <a:off x="0" y="0"/>
                      <a:ext cx="6836400" cy="6721200"/>
                    </a:xfrm>
                    <a:prstGeom prst="rect">
                      <a:avLst/>
                    </a:prstGeom>
                    <a:noFill/>
                    <a:ln w="9525">
                      <a:noFill/>
                      <a:headEnd/>
                      <a:tailEnd/>
                    </a:ln>
                  </pic:spPr>
                </pic:pic>
              </a:graphicData>
            </a:graphic>
          </wp:inline>
        </w:drawing>
      </w:r>
    </w:p>
    <w:p w:rsidR="003A7796" w:rsidRPr="007C518B" w:rsidRDefault="003A7796" w:rsidP="00AE4F1D">
      <w:pPr>
        <w:pStyle w:val="TableCaption"/>
        <w:rPr>
          <w:i w:val="0"/>
          <w:iCs/>
          <w:sz w:val="22"/>
          <w:szCs w:val="22"/>
        </w:rPr>
      </w:pPr>
      <w:r w:rsidRPr="007C518B">
        <w:rPr>
          <w:i w:val="0"/>
          <w:iCs/>
          <w:sz w:val="22"/>
          <w:szCs w:val="22"/>
        </w:rPr>
        <w:t xml:space="preserve">Figure </w:t>
      </w:r>
      <w:r w:rsidRPr="007C518B">
        <w:rPr>
          <w:i w:val="0"/>
          <w:iCs/>
          <w:sz w:val="22"/>
          <w:szCs w:val="22"/>
        </w:rPr>
        <w:fldChar w:fldCharType="begin"/>
      </w:r>
      <w:r w:rsidRPr="007C518B">
        <w:rPr>
          <w:i w:val="0"/>
          <w:iCs/>
          <w:sz w:val="22"/>
          <w:szCs w:val="22"/>
        </w:rPr>
        <w:instrText xml:space="preserve"> SEQ Figure \* ARABIC </w:instrText>
      </w:r>
      <w:r w:rsidRPr="007C518B">
        <w:rPr>
          <w:i w:val="0"/>
          <w:iCs/>
          <w:sz w:val="22"/>
          <w:szCs w:val="22"/>
        </w:rPr>
        <w:fldChar w:fldCharType="separate"/>
      </w:r>
      <w:r w:rsidR="00AE4F1D" w:rsidRPr="007C518B">
        <w:rPr>
          <w:i w:val="0"/>
          <w:iCs/>
          <w:noProof/>
          <w:sz w:val="22"/>
          <w:szCs w:val="22"/>
        </w:rPr>
        <w:t>1</w:t>
      </w:r>
      <w:r w:rsidRPr="007C518B">
        <w:rPr>
          <w:i w:val="0"/>
          <w:iCs/>
          <w:sz w:val="22"/>
          <w:szCs w:val="22"/>
        </w:rPr>
        <w:fldChar w:fldCharType="end"/>
      </w:r>
      <w:r w:rsidRPr="007C518B">
        <w:rPr>
          <w:sz w:val="22"/>
          <w:szCs w:val="22"/>
        </w:rPr>
        <w:t xml:space="preserve"> </w:t>
      </w:r>
      <w:r w:rsidR="00AE4F1D" w:rsidRPr="007C518B">
        <w:rPr>
          <w:sz w:val="22"/>
          <w:szCs w:val="22"/>
        </w:rPr>
        <w:t xml:space="preserve">– </w:t>
      </w:r>
      <w:r w:rsidR="008A0BF6" w:rsidRPr="007C518B">
        <w:rPr>
          <w:i w:val="0"/>
          <w:iCs/>
          <w:sz w:val="22"/>
          <w:szCs w:val="22"/>
        </w:rPr>
        <w:t>Variable</w:t>
      </w:r>
      <w:r w:rsidR="00AE4F1D" w:rsidRPr="007C518B">
        <w:rPr>
          <w:i w:val="0"/>
          <w:iCs/>
          <w:sz w:val="22"/>
          <w:szCs w:val="22"/>
        </w:rPr>
        <w:t xml:space="preserve"> </w:t>
      </w:r>
      <w:r w:rsidR="008A0BF6" w:rsidRPr="007C518B">
        <w:rPr>
          <w:i w:val="0"/>
          <w:iCs/>
          <w:sz w:val="22"/>
          <w:szCs w:val="22"/>
        </w:rPr>
        <w:t xml:space="preserve">importance by model and variable class. For each random forest classifier, the variable importance was measured by the decrease in the Gini coefficient when that variable splits a node. The horizontal axis within each panel is displayed on a </w:t>
      </w:r>
      <m:oMath>
        <m:r>
          <m:rPr>
            <m:sty m:val="p"/>
          </m:rPr>
          <w:rPr>
            <w:rFonts w:ascii="Cambria Math" w:hAnsi="Cambria Math"/>
            <w:sz w:val="22"/>
            <w:szCs w:val="22"/>
          </w:rPr>
          <m:t>lo</m:t>
        </m:r>
        <m:sSub>
          <m:sSubPr>
            <m:ctrlPr>
              <w:rPr>
                <w:rFonts w:ascii="Cambria Math" w:hAnsi="Cambria Math"/>
                <w:i w:val="0"/>
                <w:iCs/>
                <w:sz w:val="22"/>
                <w:szCs w:val="22"/>
              </w:rPr>
            </m:ctrlPr>
          </m:sSubPr>
          <m:e>
            <m:r>
              <m:rPr>
                <m:sty m:val="p"/>
              </m:rPr>
              <w:rPr>
                <w:rFonts w:ascii="Cambria Math" w:hAnsi="Cambria Math"/>
                <w:sz w:val="22"/>
                <w:szCs w:val="22"/>
              </w:rPr>
              <m:t>g</m:t>
            </m:r>
          </m:e>
          <m:sub>
            <m:r>
              <m:rPr>
                <m:sty m:val="p"/>
              </m:rPr>
              <w:rPr>
                <w:rFonts w:ascii="Cambria Math" w:hAnsi="Cambria Math"/>
                <w:sz w:val="22"/>
                <w:szCs w:val="22"/>
              </w:rPr>
              <m:t>e</m:t>
            </m:r>
          </m:sub>
        </m:sSub>
      </m:oMath>
      <w:r w:rsidR="008A0BF6" w:rsidRPr="007C518B">
        <w:rPr>
          <w:i w:val="0"/>
          <w:iCs/>
          <w:sz w:val="22"/>
          <w:szCs w:val="22"/>
        </w:rPr>
        <w:t xml:space="preserve"> scale. Some variables had exactly zero importance; to avoid evaluating the logarithm of zero, we added a small constant (</w:t>
      </w:r>
      <m:oMath>
        <m:sSup>
          <m:sSupPr>
            <m:ctrlPr>
              <w:rPr>
                <w:rFonts w:ascii="Cambria Math" w:hAnsi="Cambria Math"/>
                <w:i w:val="0"/>
                <w:iCs/>
                <w:sz w:val="22"/>
                <w:szCs w:val="22"/>
              </w:rPr>
            </m:ctrlPr>
          </m:sSupPr>
          <m:e>
            <m:r>
              <m:rPr>
                <m:sty m:val="p"/>
              </m:rPr>
              <w:rPr>
                <w:rFonts w:ascii="Cambria Math" w:hAnsi="Cambria Math"/>
                <w:sz w:val="22"/>
                <w:szCs w:val="22"/>
              </w:rPr>
              <m:t>e</m:t>
            </m:r>
          </m:e>
          <m:sup>
            <m:r>
              <m:rPr>
                <m:sty m:val="p"/>
              </m:rPr>
              <w:rPr>
                <w:rFonts w:ascii="Cambria Math" w:hAnsi="Cambria Math"/>
                <w:sz w:val="22"/>
                <w:szCs w:val="22"/>
              </w:rPr>
              <m:t>-12</m:t>
            </m:r>
          </m:sup>
        </m:sSup>
      </m:oMath>
      <w:r w:rsidR="008A0BF6" w:rsidRPr="007C518B">
        <w:rPr>
          <w:i w:val="0"/>
          <w:iCs/>
          <w:sz w:val="22"/>
          <w:szCs w:val="22"/>
        </w:rPr>
        <w:t>) to the measure of variable importance. The vertical axis in each panel represents the variable density at the corresponding level of variable importance. To transform the individual variable importances into a continuous density, we smoothed using a Gaussian kernel density estimator, using Silverman’s ’rule-of-thumb’</w:t>
      </w:r>
      <w:r w:rsidR="008A0BF6" w:rsidRPr="007C518B">
        <w:rPr>
          <w:i w:val="0"/>
          <w:iCs/>
          <w:sz w:val="22"/>
          <w:szCs w:val="22"/>
        </w:rPr>
        <w:fldChar w:fldCharType="begin"/>
      </w:r>
      <w:r w:rsidR="00AE4F1D" w:rsidRPr="007C518B">
        <w:rPr>
          <w:i w:val="0"/>
          <w:iCs/>
          <w:sz w:val="22"/>
          <w:szCs w:val="22"/>
        </w:rPr>
        <w:instrText xml:space="preserve"> ADDIN ZOTERO_ITEM CSL_CITATION {"citationID":"mdemi8l2l","properties":{"formattedCitation":"{\\rtf \\super 19\\nosupersub{}}","plainCitation":"19"},"citationItems":[{"id":407,"uris":["http://zotero.org/users/808653/items/INQVK8WX"],"uri":["http://zotero.org/users/808653/items/INQVK8WX"],"itemData":{"id":407,"type":"book","title":"Density estimation for statistics and data analysis","publisher":"CRC press","volume":"26","author":[{"family":"Silverman","given":"Bernard W"}],"issued":{"date-parts":[["1986"]]}}}],"schema":"https://github.com/citation-style-language/schema/raw/master/csl-citation.json"} </w:instrText>
      </w:r>
      <w:r w:rsidR="008A0BF6" w:rsidRPr="007C518B">
        <w:rPr>
          <w:i w:val="0"/>
          <w:iCs/>
          <w:sz w:val="22"/>
          <w:szCs w:val="22"/>
        </w:rPr>
        <w:fldChar w:fldCharType="separate"/>
      </w:r>
      <w:r w:rsidR="00AE4F1D" w:rsidRPr="007C518B">
        <w:rPr>
          <w:rFonts w:ascii="Cambria" w:hAnsi="Cambria" w:cs="Times New Roman"/>
          <w:i w:val="0"/>
          <w:iCs/>
          <w:sz w:val="22"/>
          <w:szCs w:val="22"/>
          <w:vertAlign w:val="superscript"/>
        </w:rPr>
        <w:t>19</w:t>
      </w:r>
      <w:r w:rsidR="008A0BF6" w:rsidRPr="007C518B">
        <w:rPr>
          <w:i w:val="0"/>
          <w:iCs/>
          <w:sz w:val="22"/>
          <w:szCs w:val="22"/>
        </w:rPr>
        <w:fldChar w:fldCharType="end"/>
      </w:r>
      <w:r w:rsidR="008A0BF6" w:rsidRPr="007C518B">
        <w:rPr>
          <w:i w:val="0"/>
          <w:iCs/>
          <w:sz w:val="22"/>
          <w:szCs w:val="22"/>
        </w:rPr>
        <w:t xml:space="preserve"> to select the bandwidth. The density is measured separately for each class; the area under each variable class curve is exactly one.</w:t>
      </w:r>
    </w:p>
    <w:p w:rsidR="0030156D" w:rsidRDefault="00D03CD4" w:rsidP="0030156D">
      <w:pPr>
        <w:keepNext/>
      </w:pPr>
      <w:r>
        <w:rPr>
          <w:noProof/>
          <w:lang w:val="en-CA" w:eastAsia="en-CA"/>
        </w:rPr>
        <w:lastRenderedPageBreak/>
        <w:drawing>
          <wp:inline distT="0" distB="0" distL="0" distR="0" wp14:anchorId="5CAD8526" wp14:editId="07D9E3D7">
            <wp:extent cx="6886800" cy="8276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effect_of_gbound.png"/>
                    <pic:cNvPicPr>
                      <a:picLocks noChangeAspect="1" noChangeArrowheads="1"/>
                    </pic:cNvPicPr>
                  </pic:nvPicPr>
                  <pic:blipFill>
                    <a:blip r:embed="rId9"/>
                    <a:stretch>
                      <a:fillRect/>
                    </a:stretch>
                  </pic:blipFill>
                  <pic:spPr bwMode="auto">
                    <a:xfrm>
                      <a:off x="0" y="0"/>
                      <a:ext cx="6886800" cy="8276400"/>
                    </a:xfrm>
                    <a:prstGeom prst="rect">
                      <a:avLst/>
                    </a:prstGeom>
                    <a:noFill/>
                    <a:ln w="9525">
                      <a:noFill/>
                      <a:headEnd/>
                      <a:tailEnd/>
                    </a:ln>
                  </pic:spPr>
                </pic:pic>
              </a:graphicData>
            </a:graphic>
          </wp:inline>
        </w:drawing>
      </w:r>
    </w:p>
    <w:p w:rsidR="0029010F" w:rsidRPr="007C518B" w:rsidRDefault="0030156D" w:rsidP="007C518B">
      <w:pPr>
        <w:rPr>
          <w:sz w:val="20"/>
          <w:szCs w:val="20"/>
        </w:rPr>
      </w:pPr>
      <w:r w:rsidRPr="007C518B">
        <w:rPr>
          <w:sz w:val="20"/>
          <w:szCs w:val="20"/>
        </w:rPr>
        <w:t xml:space="preserve">Figure </w:t>
      </w:r>
      <w:r w:rsidRPr="007C518B">
        <w:rPr>
          <w:sz w:val="20"/>
          <w:szCs w:val="20"/>
        </w:rPr>
        <w:fldChar w:fldCharType="begin"/>
      </w:r>
      <w:r w:rsidRPr="007C518B">
        <w:rPr>
          <w:sz w:val="20"/>
          <w:szCs w:val="20"/>
        </w:rPr>
        <w:instrText xml:space="preserve"> SEQ Figure \* ARABIC </w:instrText>
      </w:r>
      <w:r w:rsidRPr="007C518B">
        <w:rPr>
          <w:sz w:val="20"/>
          <w:szCs w:val="20"/>
        </w:rPr>
        <w:fldChar w:fldCharType="separate"/>
      </w:r>
      <w:r w:rsidR="00AE4F1D" w:rsidRPr="007C518B">
        <w:rPr>
          <w:noProof/>
          <w:sz w:val="20"/>
          <w:szCs w:val="20"/>
        </w:rPr>
        <w:t>2</w:t>
      </w:r>
      <w:r w:rsidRPr="007C518B">
        <w:rPr>
          <w:sz w:val="20"/>
          <w:szCs w:val="20"/>
        </w:rPr>
        <w:fldChar w:fldCharType="end"/>
      </w:r>
      <w:r w:rsidRPr="007C518B">
        <w:rPr>
          <w:sz w:val="20"/>
          <w:szCs w:val="20"/>
        </w:rPr>
        <w:t xml:space="preserve"> – Effect of </w:t>
      </w:r>
      <w:r w:rsidR="006A5941" w:rsidRPr="007C518B">
        <w:rPr>
          <w:sz w:val="20"/>
          <w:szCs w:val="20"/>
        </w:rPr>
        <w:t xml:space="preserve">δ </w:t>
      </w:r>
      <w:r w:rsidRPr="007C518B">
        <w:rPr>
          <w:sz w:val="20"/>
          <w:szCs w:val="20"/>
        </w:rPr>
        <w:t>(the bound on g(A|W)) on the marginal risk Q</w:t>
      </w:r>
      <w:r w:rsidR="006A5941" w:rsidRPr="007C518B">
        <w:rPr>
          <w:sz w:val="20"/>
          <w:szCs w:val="20"/>
          <w:vertAlign w:val="superscript"/>
        </w:rPr>
        <w:t>*</w:t>
      </w:r>
      <w:r w:rsidRPr="007C518B">
        <w:rPr>
          <w:sz w:val="20"/>
          <w:szCs w:val="20"/>
        </w:rPr>
        <w:t>). The vertical axis represents the marginal risk as calculated by the TMLE model. The marginal risk (Q</w:t>
      </w:r>
      <w:r w:rsidR="006A5941" w:rsidRPr="007C518B">
        <w:rPr>
          <w:sz w:val="20"/>
          <w:szCs w:val="20"/>
          <w:vertAlign w:val="superscript"/>
        </w:rPr>
        <w:t>*</w:t>
      </w:r>
      <w:r w:rsidRPr="007C518B">
        <w:rPr>
          <w:sz w:val="20"/>
          <w:szCs w:val="20"/>
        </w:rPr>
        <w:t>) was evaluated</w:t>
      </w:r>
      <w:r w:rsidR="006A5941" w:rsidRPr="007C518B">
        <w:rPr>
          <w:sz w:val="20"/>
          <w:szCs w:val="20"/>
        </w:rPr>
        <w:t xml:space="preserve"> at 31 levels of δ</w:t>
      </w:r>
      <w:r w:rsidRPr="007C518B">
        <w:rPr>
          <w:sz w:val="20"/>
          <w:szCs w:val="20"/>
        </w:rPr>
        <w:t>, from 10</w:t>
      </w:r>
      <w:r w:rsidRPr="007C518B">
        <w:rPr>
          <w:sz w:val="20"/>
          <w:szCs w:val="20"/>
          <w:vertAlign w:val="superscript"/>
        </w:rPr>
        <w:t>-2</w:t>
      </w:r>
      <w:r w:rsidRPr="007C518B">
        <w:rPr>
          <w:sz w:val="20"/>
          <w:szCs w:val="20"/>
        </w:rPr>
        <w:t xml:space="preserve"> to10</w:t>
      </w:r>
      <w:r w:rsidRPr="007C518B">
        <w:rPr>
          <w:sz w:val="20"/>
          <w:szCs w:val="20"/>
          <w:vertAlign w:val="superscript"/>
        </w:rPr>
        <w:t>-2.5</w:t>
      </w:r>
      <w:r w:rsidRPr="007C518B">
        <w:rPr>
          <w:sz w:val="20"/>
          <w:szCs w:val="20"/>
        </w:rPr>
        <w:t xml:space="preserve">.  (the exponent decreasing by 0.1). Note that the scale of the horizontal axis decreases from left-to-right. The hatched vertical lines mark the two levels of </w:t>
      </w:r>
      <w:r w:rsidR="007C518B" w:rsidRPr="00AE4F1D">
        <w:rPr>
          <w:rFonts w:ascii="Cambria" w:eastAsia="Times New Roman" w:hAnsi="Cambria" w:cs="Times New Roman"/>
          <w:color w:val="000000"/>
          <w:sz w:val="20"/>
          <w:szCs w:val="20"/>
          <w:lang w:val="en-CA" w:eastAsia="en-CA"/>
        </w:rPr>
        <w:t>δ</w:t>
      </w:r>
      <w:r w:rsidRPr="007C518B">
        <w:rPr>
          <w:sz w:val="20"/>
          <w:szCs w:val="20"/>
        </w:rPr>
        <w:t xml:space="preserve"> displayed in Tables </w:t>
      </w:r>
      <w:r w:rsidR="007C518B" w:rsidRPr="007C518B">
        <w:rPr>
          <w:sz w:val="20"/>
          <w:szCs w:val="20"/>
        </w:rPr>
        <w:t>1, 2, and 3.</w:t>
      </w:r>
    </w:p>
    <w:p w:rsidR="0029010F" w:rsidRDefault="00D03CD4">
      <w:pPr>
        <w:pStyle w:val="Heading1"/>
      </w:pPr>
      <w:bookmarkStart w:id="8" w:name="discussion"/>
      <w:bookmarkEnd w:id="8"/>
      <w:r>
        <w:lastRenderedPageBreak/>
        <w:t>Discussion</w:t>
      </w:r>
      <w:bookmarkStart w:id="9" w:name="_GoBack"/>
      <w:bookmarkEnd w:id="9"/>
    </w:p>
    <w:p w:rsidR="0029010F" w:rsidRDefault="00D03CD4">
      <w:r>
        <w:t>Using targeted maximum likelihood estimation (TMLE) to adjust precisely for measured confounders, we found that the differences in marginal risk of 30-day hospital readmission in twenty Montreal hospitals were much stronger than a model that only crudely adjusted for confounding readmission risk suggested. Additionally, our study revealed some practical positivity violations for some hospitals, suggesting that the relative readmission risk may not always be estimable from observed data.</w:t>
      </w:r>
    </w:p>
    <w:p w:rsidR="0029010F" w:rsidRDefault="00D03CD4">
      <w:r>
        <w:t>Our study has several strengths. By using a doubly-robust estimation technique, and by accurately adjusting for thousands of plausible confounders, we minimized the bias in our estimates of the effect of hospital care on readmissions. Our work suggests that the difference the bias reduction was not trivial; in assessing the effect of hospitals on readmission, it has a substantive effect as well. Also, since we did not have to restrict our cohort to a single healthcare insurance network, we had a large cohort of patients from all socioeconomic classes. Because we had complete access to all hospital visits in the province, we could accurately measure which patients were readmitted.</w:t>
      </w:r>
    </w:p>
    <w:p w:rsidR="0029010F" w:rsidRDefault="00D03CD4" w:rsidP="008A0BF6">
      <w:r>
        <w:t>Other hospital readmission studies have applied statistical and machine learning algorithms to readmission data to develop predictive models</w:t>
      </w:r>
      <w:r w:rsidR="008A0BF6">
        <w:fldChar w:fldCharType="begin"/>
      </w:r>
      <w:r w:rsidR="00AE4F1D">
        <w:instrText xml:space="preserve"> ADDIN ZOTERO_ITEM CSL_CITATION {"citationID":"jpk16fmpd","properties":{"formattedCitation":"{\\rtf \\super 7,20\\nosupersub{}}","plainCitation":"7,20"},"citationItems":[{"id":431,"uris":["http://zotero.org/users/808653/items/I4JM4G3A"],"uri":["http://zotero.org/users/808653/items/I4JM4G3A"],"itemData":{"id":431,"type":"article-journal","title":"Mining high-dimensional administrative claims data to predict early hospital readmissions","container-title":"Journal of the American Medical Informatics Association","page":"272-279","volume":"21","issue":"2","source":"CrossRef","DOI":"10.1136/amiajnl-2013-002151","ISSN":"1067-5027, 1527-974X","language":"en","author":[{"family":"He","given":"D."},{"family":"Mathews","given":"S. C."},{"family":"Kalloo","given":"A. N."},{"family":"Hutfless","given":"S."}],"issued":{"date-parts":[["2014",3,1]]},"accessed":{"date-parts":[["2014",8,15]]}}},{"id":217,"uris":["http://zotero.org/users/808653/items/TSCXXNK2"],"uri":["http://zotero.org/users/808653/items/TSCXXNK2"],"itemData":{"id":217,"type":"article-journal","title":"Derivation and validation of an index to predict early death or unplanned readmission after discharge from hospital to the community","container-title":"Canadian Medical Association Journal","page":"551-557","volume":"182","issue":"6","source":"CrossRef","DOI":"10.1503/cmaj.091117","ISSN":"0820-3946, 1488-2329","author":[{"family":"van Walraven","given":"C."},{"family":"Dhalla","given":"I. A."},{"family":"Bell","given":"C."},{"family":"Etchells","given":"E."},{"family":"Stiell","given":"I. G."},{"family":"Zarnke","given":"K."},{"family":"Austin","given":"P. C."},{"family":"Forster","given":"A. J."}],"issued":{"date-parts":[["2010",3,1]]},"accessed":{"date-parts":[["2011",12,10]]}}}],"schema":"https://github.com/citation-style-language/schema/raw/master/csl-citation.json"} </w:instrText>
      </w:r>
      <w:r w:rsidR="008A0BF6">
        <w:fldChar w:fldCharType="separate"/>
      </w:r>
      <w:r w:rsidR="00AE4F1D" w:rsidRPr="00AE4F1D">
        <w:rPr>
          <w:rFonts w:ascii="Cambria" w:hAnsi="Cambria" w:cs="Times New Roman"/>
          <w:vertAlign w:val="superscript"/>
        </w:rPr>
        <w:t>7,20</w:t>
      </w:r>
      <w:r w:rsidR="008A0BF6">
        <w:fldChar w:fldCharType="end"/>
      </w:r>
      <w:r>
        <w:t>, including one using the data used in this study.</w:t>
      </w:r>
      <w:r w:rsidR="008A0BF6">
        <w:fldChar w:fldCharType="begin"/>
      </w:r>
      <w:r w:rsidR="008A0BF6">
        <w:instrText xml:space="preserve"> ADDIN ZOTERO_ITEM CSL_CITATION {"citationID":"12q1vom21p","properties":{"formattedCitation":"{\\rtf \\super 8\\nosupersub{}}","plainCitation":"8"},"citationItems":[{"id":408,"uris":["http://zotero.org/users/808653/items/FUKFF8X8"],"uri":["http://zotero.org/users/808653/items/FUKFF8X8"],"itemData":{"id":408,"type":"article-journal","title":"Assessing the Predictability of Hospital Readmission Using Machine Learning","abstract":"Unplanned hospital readmissions raise health care costsand cause significant distress to patients. Hence, predictingwhich patients are at risk to be readmitted isof great interest. In this paper, we mine large amountsof administrative information from claim data, includingpatients demographics, dispensed drugs, medical orsurgical procedures performed, and medical diagnosis,in order to predict readmission using supervised learningmethods. Our objective is to gain knowledge aboutthe predictive power of the available information. Ourpreliminary results on data from the provincial hospitalsystem in Quebec illustrate the potential for this approachto reveal important information on factors thattrigger hospital readmission. Our findings suggest thata substantial portion of readmissions is inherently hardto predict. Consequently, the use of the raw readmissionrate as an indicator of the quality of provided care mightnot be appropriate.","URL":"http://www.aaai.org/ocs/index.php/IAAI/IAAI13/paper/view/6475/6431","author":[{"family":"Hosseinzadeh","given":"Arian"},{"family":"Izadi","given":"Masoumeh"},{"family":"Verma","given":"Aman"},{"family":"Precup","given":"Doina"},{"family":"Buckeridge","given":"David"}],"issued":{"date-parts":[["2013"]]}}}],"schema":"https://github.com/citation-style-language/schema/raw/master/csl-citation.json"} </w:instrText>
      </w:r>
      <w:r w:rsidR="008A0BF6">
        <w:fldChar w:fldCharType="separate"/>
      </w:r>
      <w:r w:rsidR="008A0BF6" w:rsidRPr="008A0BF6">
        <w:rPr>
          <w:rFonts w:ascii="Cambria" w:hAnsi="Cambria" w:cs="Times New Roman"/>
          <w:vertAlign w:val="superscript"/>
        </w:rPr>
        <w:t>8</w:t>
      </w:r>
      <w:r w:rsidR="008A0BF6">
        <w:fldChar w:fldCharType="end"/>
      </w:r>
      <w:r>
        <w:t xml:space="preserve"> Most studies, including our own, found relatively poor accuracy. No study to our knowledge has used machine learning algorithms to draw causal inference target parameters. Predictive models of hospital readmissions may not be very accurate, but our study demonstrates that machine learning techniques can improve our ability to draw inference on target parameters.</w:t>
      </w:r>
    </w:p>
    <w:p w:rsidR="0029010F" w:rsidRDefault="00D03CD4" w:rsidP="0013314E">
      <w:r>
        <w:t>Some authors</w:t>
      </w:r>
      <w:r w:rsidR="008A0BF6">
        <w:fldChar w:fldCharType="begin"/>
      </w:r>
      <w:r w:rsidR="00AE4F1D">
        <w:instrText xml:space="preserve"> ADDIN ZOTERO_ITEM CSL_CITATION {"citationID":"1gmfdq0dps","properties":{"formattedCitation":"{\\rtf \\super 3,21\\nosupersub{}}","plainCitation":"3,21"},"citationItems":[{"id":239,"uris":["http://zotero.org/users/808653/items/V5T6RXC3"],"uri":["http://zotero.org/users/808653/items/V5T6RXC3"],"itemData":{"id":239,"type":"article-journal","title":"Risk prediction models for hospital readmission: a systematic review","container-title":"JAMA: The Journal of the American Medical Association","page":"1688-1698","volume":"306","issue":"15","source":"NCBI PubMed","abstract":"CONTEXT\n\nPredicting hospital readmission risk is of great interest to identify which patients would benefit most from care transition interventions, as well as to risk-adjust readmission rates for the purposes of hospital comparison.\n\n\nOBJECTIVE\n\nTo summarize validated readmission risk prediction models, describe their performance, and assess suitability for clinical or administrative use.\n\n\nDATA SOURCES AND STUDY SELECTION\n\nThe databases of MEDLINE, CINAHL, and the Cochrane Library were searched from inception through March 2011, the EMBASE database was searched through August 2011, and hand searches were performed of the retrieved reference lists. Dual review was conducted to identify studies published in the English language of prediction models tested with medical patients in both derivation and validation cohorts.\n\n\nDATA EXTRACTION\n\nData were extracted on the population, setting, sample size, follow-up interval, readmission rate, model discrimination and calibration, type of data used, and timing of data collection.\n\n\nDATA SYNTHESIS\n\nOf 7843 citations reviewed, 30 studies of 26 unique models met the inclusion criteria. The most common outcome used was 30-day readmission; only 1 model specifically addressed preventable readmissions. Fourteen models that relied on retrospective administrative data could be potentially used to risk-adjust readmission rates for hospital comparison; of these, 9 were tested in large US populations and had poor discriminative ability (c statistic range: 0.55-0.65). Seven models could potentially be used to identify high-risk patients for intervention early during a hospitalization (c statistic range: 0.56-0.72), and 5 could be used at hospital discharge (c statistic range: 0.68-0.83). Six studies compared different models in the same population and 2 of these found that functional and social variables improved model discrimination. Although most models incorporated variables for medical comorbidity and use of prior medical services, few examined variables associated with overall health and function, illness severity, or social determinants of health.\n\n\nCONCLUSIONS\n\nMost current readmission risk prediction models that were designed for either comparative or clinical purposes perform poorly. Although in certain settings such models may prove useful, efforts to improve their performance are needed as use becomes more widespread.","DOI":"10.1001/jama.2011.1515","ISSN":"1538-3598","note":"PMID: 22009101","shortTitle":"Risk prediction models for hospital readmission","journalAbbreviation":"JAMA","author":[{"family":"Kansagara","given":"Devan"},{"family":"Englander","given":"Honora"},{"family":"Salanitro","given":"Amanda"},{"family":"Kagen","given":"David"},{"family":"Theobald","given":"Cecelia"},{"family":"Freeman","given":"Michele"},{"family":"Kripalani","given":"Sunil"}],"issued":{"date-parts":[["2011",10,19]]},"accessed":{"date-parts":[["2011",11,27]]},"PMID":"22009101"}},{"id":33,"uris":["http://zotero.org/users/808653/items/5UQETHFW"],"uri":["http://zotero.org/users/808653/items/5UQETHFW"],"itemData":{"id":33,"type":"article-journal","title":"Are readmissions avoidable?","container-title":"BMJ (Clinical Research Ed.)","page":"1136-1138","volume":"301","issue":"6761","source":"NCBI PubMed","abstract":"OBJECTIVE\n\nTo examine the possible use of readmission rates as an outcome indicator of hospital inpatient care by investigating avoidability of unplanned readmissions within 28 days of discharge.\n\n\nDESIGN\n\nRetrospective analysis of a stratified random sample of case notes of patients with an unplanned readmission between July 1987 and June 1988 by nine clinical assessors (263 assessments) and categorisation of the readmission as avoidable, unavoidable, or unclassifiable.\n\n\nSETTING\n\nDistrict in North East Thames region. 481 General medical, geriatric, and general surgical inpatients with a readmission at 0-6 days or 21-27 days after the first (index) discharge between July 1987 and June 1988 from whom 100 case notes were selected randomly and of which 74 were available for study.\n\n\nMAIN OUTCOME MEASURES\n\nAssessment of readmissions as avoidable, unavoidable, unclassifiable, variability of assessment within cases and variability among assessors according to specialty and duration to readmission.\n\n\nRESULTS\n\nGeneral medical and geriatric readmissions and surgical readmissions at 0-6 days after discharge were more likely to be assessed as avoidable than those at 21-27 days (medical readmissions 32 v 6%, surgical admissions 49 v 19%). General surgical readmissions were significantly more frequently assessed as avoidable than general medical and geriatric readmissions. The extent of agreement between doctors varied, with general medical and geriatric readmissions at 21-27 days after first discharge causing the greatest variability of judgment.\n\n\nCONCLUSIONS\n\nDifferences were apparent in the extent of avoidability of readmissions in different groups of admissions. However, assessors rated only 49.3% of the group with the highest proportion of avoidable admissions (surgical readmissions at 0-6 days) as avoidable. The remainder were thought to be unavoidable except for 2%, which could not be classified. The use of readmission rates as an outcome indicator of hospital inpatient care should be avoided.","ISSN":"0959-8138","note":"PMID: 2252925","journalAbbreviation":"BMJ","author":[{"family":"Clarke","given":"A"}],"issued":{"date-parts":[["1990",11,17]]},"accessed":{"date-parts":[["2011",12,5]]},"PMID":"2252925"}}],"schema":"https://github.com/citation-style-language/schema/raw/master/csl-citation.json"} </w:instrText>
      </w:r>
      <w:r w:rsidR="008A0BF6">
        <w:fldChar w:fldCharType="separate"/>
      </w:r>
      <w:r w:rsidR="00AE4F1D" w:rsidRPr="00AE4F1D">
        <w:rPr>
          <w:rFonts w:ascii="Cambria" w:hAnsi="Cambria" w:cs="Times New Roman"/>
          <w:vertAlign w:val="superscript"/>
        </w:rPr>
        <w:t>3,21</w:t>
      </w:r>
      <w:r w:rsidR="008A0BF6">
        <w:fldChar w:fldCharType="end"/>
      </w:r>
      <w:r>
        <w:t xml:space="preserve"> believe that by using readmission rates as a quality metric, we assume that readmissions are preventable. Hoping to develop a quality metric that compares preventable readmissions, some researchers have attempted to identify which individual readmissions were preventable. Some studies have clinicians classify individual readmissions as preventable</w:t>
      </w:r>
      <w:r w:rsidR="008A0BF6">
        <w:fldChar w:fldCharType="begin"/>
      </w:r>
      <w:r w:rsidR="00AE4F1D">
        <w:instrText xml:space="preserve"> ADDIN ZOTERO_ITEM CSL_CITATION {"citationID":"2jaui34rrc","properties":{"formattedCitation":"{\\rtf \\super 22\\uc0\\u8211{}24\\nosupersub{}}","plainCitation":"22–24"},"citationItems":[{"id":419,"uris":["http://zotero.org/users/808653/items/36JRQPF8"],"uri":["http://zotero.org/users/808653/items/36JRQPF8"],"itemData":{"id":419,"type":"article-journal","title":"Communication gaps and readmissions to hospital for patients aged 75 years and older: observational study","container-title":"Quality and Safety in Health Care","page":"71-75","volume":"17","issue":"1","source":"CrossRef","DOI":"10.1136/qshc.2006.020842","ISSN":"1475-3898, 1475-3901","shortTitle":"Communication gaps and readmissions to hospital for patients aged 75 years and older","language":"en","author":[{"family":"Witherington","given":"E M A"},{"family":"Pirzada","given":"O M"},{"family":"Avery","given":"A J"}],"issued":{"date-parts":[["2008",2,1]]},"accessed":{"date-parts":[["2014",8,13]]}}},{"id":417,"uris":["http://zotero.org/users/808653/items/VFQWG6GX"],"uri":["http://zotero.org/users/808653/items/VFQWG6GX"],"itemData":{"id":417,"type":"article-journal","title":"A review of internal medicine re-admissions in a peri-urban South African hospital","container-title":"South African Medical Journal = Suid-Afrikaanse Tydskrif Vir Geneeskunde","page":"291-294","volume":"98","issue":"4","source":"NCBI PubMed","abstract":"OBJECTIVE: To measure the re-admission rate and the number of preventable re-admissions in a secondary-level South African hospital, and to identify factors predictive of re-admission.\nMETHOD: The admission register for the medical wards at Cecilia Makiwane Hospital (CMH) was used to identify re-admitted patients, whose folders were then reviewed. A comparison group of patients who were not re-admitted was randomly generated from the same register.\nRESULTS: The re-admission rate for the 7 months ending October 2006 was 8.5% (262/3 083). Patients who were more likely to be re-admitted had chronic respiratory disease (odds ratio (OR) 4.2, 95% confidence interval (CI) 1.2 - 14.6), HIV infection (OR 5.0, CI 2.1 - 12.0), were older than 50 years (OR 5.2, CI 2.5 - 10.9), had a first admission of more than 8 days (OR 3.2, CI 1.5 - 6.6) or a booked medical outpatients followup (OR 5.1, CI 2.6 - 10.3). Age distribution of re-admissions was bimodal, with HIV-positive individuals (27.4% overall) accounting for 50% of all admissions younger than 50 years, but only 9.1% of those 50 years or older. In individuals older than 50 years, 42.1% of admissions were due to chronic cardiorespiratory illnesses. Half of re-admissions were judged to be potentially preventable, mainly through improved patient education.\nCONCLUSION: One in 12 general medical patients was readmitted. Chronic diseases and inadequate patient education and discharge planning accounted for the largest group of re-admissions in older patients. Re-admission of HIV/AIDS patients has generated a second peak in younger individuals, and the impact of the antiretroviral roll-out on admission rates warrants further scrutiny.","ISSN":"0038-2469","note":"PMID: 18637639","journalAbbreviation":"S. Afr. Med. J.","language":"eng","author":[{"family":"Stanley","given":"A."},{"family":"Graham","given":"N."},{"family":"Parrish","given":"A."}],"issued":{"date-parts":[["2008",4]]},"PMID":"18637639"}},{"id":416,"uris":["http://zotero.org/users/808653/items/UR7Q2IPR"],"uri":["http://zotero.org/users/808653/items/UR7Q2IPR"],"itemData":{"id":416,"type":"article-journal","title":"Factors predicting hospital readmissions related to adverse drug reactions","container-title":"European Journal of Clinical Pharmacology","page":"715-722","volume":"64","issue":"7","source":"CrossRef","DOI":"10.1007/s00228-008-0473-y","ISSN":"0031-6970, 1432-1041","language":"en","author":[{"family":"Ruiz","given":"Borja"},{"family":"García","given":"Montserrat"},{"family":"Aguirre","given":"Urko"},{"family":"Aguirre","given":"Carmelo"}],"issued":{"date-parts":[["2008",7]]},"accessed":{"date-parts":[["2014",8,13]]}}}],"schema":"https://github.com/citation-style-language/schema/raw/master/csl-citation.json"} </w:instrText>
      </w:r>
      <w:r w:rsidR="008A0BF6">
        <w:fldChar w:fldCharType="separate"/>
      </w:r>
      <w:r w:rsidR="00AE4F1D" w:rsidRPr="00AE4F1D">
        <w:rPr>
          <w:rFonts w:ascii="Cambria" w:hAnsi="Cambria" w:cs="Times New Roman"/>
          <w:vertAlign w:val="superscript"/>
        </w:rPr>
        <w:t>22–24</w:t>
      </w:r>
      <w:r w:rsidR="008A0BF6">
        <w:fldChar w:fldCharType="end"/>
      </w:r>
      <w:r>
        <w:t>, despite evidence that clinicians cannot reliably measure preventability.</w:t>
      </w:r>
      <w:r w:rsidR="008A0BF6">
        <w:fldChar w:fldCharType="begin"/>
      </w:r>
      <w:r w:rsidR="00AE4F1D">
        <w:instrText xml:space="preserve"> ADDIN ZOTERO_ITEM CSL_CITATION {"citationID":"1ci64mjmo1","properties":{"formattedCitation":"{\\rtf \\super 25\\nosupersub{}}","plainCitation":"25"},"citationItems":[{"id":268,"uris":["http://zotero.org/users/808653/items/ZFT7KPFZ"],"uri":["http://zotero.org/users/808653/items/ZFT7KPFZ"],"itemData":{"id":268,"type":"article-journal","title":"Incidence of potentially avoidable urgent readmissions and their relation to all-cause urgent readmissions","container-title":"CMAJ: Canadian Medical Association Journal = Journal De l'Association Medicale Canadienne","page":"E1067-1072","volume":"183","issue":"14","source":"NCBI PubMed","abstract":"BACKGROUND\n\nUrgent, unplanned hospital readmissions are increasingly being used to gauge the quality of care. We reviewed urgent readmissions to determine which were potentially avoidable and compared rates of all-cause and avoidable readmissions.\n\n\nMETHODS\n\nIn a multicentre, prospective cohort study, we reviewed all urgent readmissions that occurred within six months among patients discharged to the community from 11 teaching and community hospitals between October 2002 and July 2006. Summaries of the readmissions were reviewed by at least four practising physicians using standardized methods to judge whether the readmission was an adverse event (poor clinical outcome due to medical care) and whether the adverse event could have been avoided. We used a latent class model to determine whether the probability that each readmission was truly avoidable exceeded 50%.\n\n\nRESULTS\n\nOf the 4812 patients included in the study, 649 (13.5%, 95% confidence interval [CI] 12.5%-14.5%) had an urgent readmission within six months after discharge. We considered 104 of them (16.0% of those readmitted, 95% CI 13.3%-19.1%; 2.2% of those discharged, 95% CI 1.8%-2.6%) to have had a potentially avoidable readmission. The proportion of patients who had an urgent readmission varied significantly by hospital (range 7.5%-22.5%; χ(2) = 92.9, p &lt; 0.001); the proportion of readmissions deemed avoidable did not show significant variation by hospital (range 1.2%-3.7%; χ(2) = 12.5, p &lt; 0.25). We found no association between the proportion of patients who had an urgent readmission and the proportion of patients who had an avoidable readmission (Pearson correlation 0.294; p = 0.38). In addition, we found no association between hospital rankings by proportion of patients readmitted and rankings by proportion of patients with an avoidable readmission (Spearman correlation coefficient 0.28, p = 0.41).\n\n\nINTERPRETATION\n\nUrgent readmissions deemed potentially avoidable were relatively uncommon, comprising less than 20% of all urgent readmissions following hospital discharge. Hospital-specific proportions of patients who were readmitted were not related to proportions with a potentially avoidable readmission.","DOI":"10.1503/cmaj.110400","ISSN":"1488-2329","note":"PMID: 21859870","journalAbbreviation":"CMAJ","author":[{"family":"van Walraven","given":"Carl"},{"family":"Jennings","given":"Alison"},{"family":"Taljaard","given":"Monica"},{"family":"Dhalla","given":"Irfan"},{"family":"English","given":"Shane"},{"family":"Mulpuru","given":"Sunita"},{"family":"Blecker","given":"Saul"},{"family":"Forster","given":"Alan J"}],"issued":{"date-parts":[["2011",10,4]]},"accessed":{"date-parts":[["2011",12,5]]},"PMID":"21859870"}}],"schema":"https://github.com/citation-style-language/schema/raw/master/csl-citation.json"} </w:instrText>
      </w:r>
      <w:r w:rsidR="008A0BF6">
        <w:fldChar w:fldCharType="separate"/>
      </w:r>
      <w:r w:rsidR="00AE4F1D" w:rsidRPr="00AE4F1D">
        <w:rPr>
          <w:rFonts w:ascii="Cambria" w:hAnsi="Cambria" w:cs="Times New Roman"/>
          <w:vertAlign w:val="superscript"/>
        </w:rPr>
        <w:t>25</w:t>
      </w:r>
      <w:r w:rsidR="008A0BF6">
        <w:fldChar w:fldCharType="end"/>
      </w:r>
      <w:r>
        <w:t xml:space="preserve"> Other studies use pairs of admission/readmission diagnosis codes that identify “potentially preventable” readmissions.</w:t>
      </w:r>
      <w:r w:rsidR="0013314E">
        <w:fldChar w:fldCharType="begin"/>
      </w:r>
      <w:r w:rsidR="00AE4F1D">
        <w:instrText xml:space="preserve"> ADDIN ZOTERO_ITEM CSL_CITATION {"citationID":"1ff912kj12","properties":{"formattedCitation":"{\\rtf \\super 26\\nosupersub{}}","plainCitation":"26"},"citationItems":[{"id":41,"uris":["http://zotero.org/users/808653/items/6FKTMKIE"],"uri":["http://zotero.org/users/808653/items/6FKTMKIE"],"itemData":{"id":41,"type":"article-journal","title":"Measuring potentially avoidable hospital readmissions","container-title":"Journal of Clinical Epidemiology","page":"573-587","volume":"55","source":"CrossRef","DOI":"10.1016/S0895-4356(01)00521-2","ISSN":"08954356","author":[{"family":"Halfon","given":"Patricia"},{"family":"Eggli","given":"Yves"},{"family":"van Melle","given":"Guy"},{"family":"Chevalier","given":"Julia"},{"family":"Wasserfallen","given":"Jean-Blaise"},{"family":"Burnand","given":"Bernard"}],"issued":{"date-parts":[["2002",6]]},"accessed":{"date-parts":[["2011",11,28]]}}}],"schema":"https://github.com/citation-style-language/schema/raw/master/csl-citation.json"} </w:instrText>
      </w:r>
      <w:r w:rsidR="0013314E">
        <w:fldChar w:fldCharType="separate"/>
      </w:r>
      <w:r w:rsidR="00AE4F1D" w:rsidRPr="00AE4F1D">
        <w:rPr>
          <w:rFonts w:ascii="Cambria" w:hAnsi="Cambria" w:cs="Times New Roman"/>
          <w:vertAlign w:val="superscript"/>
        </w:rPr>
        <w:t>26</w:t>
      </w:r>
      <w:r w:rsidR="0013314E">
        <w:fldChar w:fldCharType="end"/>
      </w:r>
      <w:r>
        <w:t xml:space="preserve"> However, the proportion of those actually preventable among the “potentially” preventable differs among hospitals</w:t>
      </w:r>
      <w:r w:rsidR="0013314E">
        <w:fldChar w:fldCharType="begin"/>
      </w:r>
      <w:r w:rsidR="00AE4F1D">
        <w:instrText xml:space="preserve"> ADDIN ZOTERO_ITEM CSL_CITATION {"citationID":"carqsieg8","properties":{"formattedCitation":"{\\rtf \\super 27\\nosupersub{}}","plainCitation":"27"},"citationItems":[{"id":48,"uris":["http://zotero.org/users/808653/items/6VQ8JIPI"],"uri":["http://zotero.org/users/808653/items/6VQ8JIPI"],"itemData":{"id":48,"type":"article-journal","title":"Proportion of hospital readmissions deemed avoidable: a systematic review","container-title":"CMAJ: Canadian Medical Association Journal = Journal De l'Association Medicale Canadienne","page":"E391-402","volume":"183","issue":"7","source":"NCBI PubMed","abstract":"BACKGROUND\n\nReadmissions to hospital are increasingly being used as an indicator of quality of care. However, this approach is valid only when we know what proportion of readmissions are avoidable. We conducted a systematic review of studies that measured the proportion of readmissions deemed avoidable. We examined how such readmissions were measured and estimated their prevalence.\n\n\nMETHODS\n\nWe searched the MEDLINE and EMBASE databases to identify all studies published from 1966 to July 2010 that reviewed hospital readmissions and that specified how many were classified as avoidable.\n\n\nRESULTS\n\nOur search strategy identified 34 studies. Three of the studies used combinations of administrative diagnostic codes to determine whether readmissions were avoidable. Criteria used in the remaining studies were subjective. Most of the studies were conducted at single teaching hospitals, did not consider information from the community or treating physicians, and used only one reviewer to decide whether readmissions were avoidable. The median proportion of readmissions deemed avoidable was 27.1% but varied from 5% to 79%. Three study-level factors (teaching status of hospital, whether all diagnoses or only some were considered, and length of follow-up) were significantly associated with the proportion of admissions deemed to be avoidable and explained some, but not all, of the heterogeneity between the studies.\n\n\nINTERPRETATION\n\nAll but three of the studies used subjective criteria to determine whether readmissions were avoidable. Study methods had notable deficits and varied extensively, as did the proportion of readmissions deemed avoidable. The true proportion of hospital readmissions that are potentially avoidable remains unclear.","DOI":"10.1503/cmaj.101860","ISSN":"1488-2329","note":"PMID: 21444623","shortTitle":"Proportion of hospital readmissions deemed avoidable","journalAbbreviation":"CMAJ","author":[{"family":"van Walraven","given":"Carl"},{"family":"Bennett","given":"Carol"},{"family":"Jennings","given":"Alison"},{"family":"Austin","given":"Peter C"},{"family":"Forster","given":"Alan J"}],"issued":{"date-parts":[["2011",4,19]]},"accessed":{"date-parts":[["2011",12,5]]},"PMID":"21444623"}}],"schema":"https://github.com/citation-style-language/schema/raw/master/csl-citation.json"} </w:instrText>
      </w:r>
      <w:r w:rsidR="0013314E">
        <w:fldChar w:fldCharType="separate"/>
      </w:r>
      <w:r w:rsidR="00AE4F1D" w:rsidRPr="00AE4F1D">
        <w:rPr>
          <w:rFonts w:ascii="Cambria" w:hAnsi="Cambria" w:cs="Times New Roman"/>
          <w:vertAlign w:val="superscript"/>
        </w:rPr>
        <w:t>27</w:t>
      </w:r>
      <w:r w:rsidR="0013314E">
        <w:fldChar w:fldCharType="end"/>
      </w:r>
      <w:r>
        <w:t>, meaning that potentially preventable readmissions are not an adequate proxy for preventable readmissions.</w:t>
      </w:r>
      <w:r w:rsidR="0013314E">
        <w:fldChar w:fldCharType="begin"/>
      </w:r>
      <w:r w:rsidR="00AE4F1D">
        <w:instrText xml:space="preserve"> ADDIN ZOTERO_ITEM CSL_CITATION {"citationID":"g0n6t08gu","properties":{"formattedCitation":"{\\rtf \\super 21\\nosupersub{}}","plainCitation":"21"},"citationItems":[{"id":33,"uris":["http://zotero.org/users/808653/items/5UQETHFW"],"uri":["http://zotero.org/users/808653/items/5UQETHFW"],"itemData":{"id":33,"type":"article-journal","title":"Are readmissions avoidable?","container-title":"BMJ (Clinical Research Ed.)","page":"1136-1138","volume":"301","issue":"6761","source":"NCBI PubMed","abstract":"OBJECTIVE\n\nTo examine the possible use of readmission rates as an outcome indicator of hospital inpatient care by investigating avoidability of unplanned readmissions within 28 days of discharge.\n\n\nDESIGN\n\nRetrospective analysis of a stratified random sample of case notes of patients with an unplanned readmission between July 1987 and June 1988 by nine clinical assessors (263 assessments) and categorisation of the readmission as avoidable, unavoidable, or unclassifiable.\n\n\nSETTING\n\nDistrict in North East Thames region. 481 General medical, geriatric, and general surgical inpatients with a readmission at 0-6 days or 21-27 days after the first (index) discharge between July 1987 and June 1988 from whom 100 case notes were selected randomly and of which 74 were available for study.\n\n\nMAIN OUTCOME MEASURES\n\nAssessment of readmissions as avoidable, unavoidable, unclassifiable, variability of assessment within cases and variability among assessors according to specialty and duration to readmission.\n\n\nRESULTS\n\nGeneral medical and geriatric readmissions and surgical readmissions at 0-6 days after discharge were more likely to be assessed as avoidable than those at 21-27 days (medical readmissions 32 v 6%, surgical admissions 49 v 19%). General surgical readmissions were significantly more frequently assessed as avoidable than general medical and geriatric readmissions. The extent of agreement between doctors varied, with general medical and geriatric readmissions at 21-27 days after first discharge causing the greatest variability of judgment.\n\n\nCONCLUSIONS\n\nDifferences were apparent in the extent of avoidability of readmissions in different groups of admissions. However, assessors rated only 49.3% of the group with the highest proportion of avoidable admissions (surgical readmissions at 0-6 days) as avoidable. The remainder were thought to be unavoidable except for 2%, which could not be classified. The use of readmission rates as an outcome indicator of hospital inpatient care should be avoided.","ISSN":"0959-8138","note":"PMID: 2252925","journalAbbreviation":"BMJ","author":[{"family":"Clarke","given":"A"}],"issued":{"date-parts":[["1990",11,17]]},"accessed":{"date-parts":[["2011",12,5]]},"PMID":"2252925"}}],"schema":"https://github.com/citation-style-language/schema/raw/master/csl-citation.json"} </w:instrText>
      </w:r>
      <w:r w:rsidR="0013314E">
        <w:fldChar w:fldCharType="separate"/>
      </w:r>
      <w:r w:rsidR="00AE4F1D" w:rsidRPr="00AE4F1D">
        <w:rPr>
          <w:rFonts w:ascii="Cambria" w:hAnsi="Cambria" w:cs="Times New Roman"/>
          <w:vertAlign w:val="superscript"/>
        </w:rPr>
        <w:t>21</w:t>
      </w:r>
      <w:r w:rsidR="0013314E">
        <w:fldChar w:fldCharType="end"/>
      </w:r>
    </w:p>
    <w:p w:rsidR="0013314E" w:rsidRDefault="00D03CD4" w:rsidP="0013314E">
      <w:r>
        <w:t>But to estimate the effect of an exposure (like hospital care) on an outcome (like readmission), we do not need to identify exactly which individuals would not have had the outcome if they were not exposed.</w:t>
      </w:r>
      <w:r w:rsidR="0013314E">
        <w:fldChar w:fldCharType="begin"/>
      </w:r>
      <w:r w:rsidR="00AE4F1D">
        <w:instrText xml:space="preserve"> ADDIN ZOTERO_ITEM CSL_CITATION {"citationID":"n3co8kjd4","properties":{"formattedCitation":"{\\rtf \\super 28\\nosupersub{}}","plainCitation":"28"},"citationItems":[{"id":423,"uris":["http://zotero.org/users/808653/items/43MC5M5H"],"uri":["http://zotero.org/users/808653/items/43MC5M5H"],"itemData":{"id":423,"type":"book","title":"Causal Inference (Draft - May 14, 2014 )","URL":"http://www.hsph.harvard.edu/miguel-hernan/causal-inference-book/","author":[{"family":"Hernán","given":"Miguel A"},{"family":"Robins","given":"James M"}],"issued":{"date-parts":[["2014"]]},"accessed":{"date-parts":[["2014",8,5]]}}}],"schema":"https://github.com/citation-style-language/schema/raw/master/csl-citation.json"} </w:instrText>
      </w:r>
      <w:r w:rsidR="0013314E">
        <w:fldChar w:fldCharType="separate"/>
      </w:r>
      <w:r w:rsidR="00AE4F1D" w:rsidRPr="00AE4F1D">
        <w:rPr>
          <w:rFonts w:ascii="Cambria" w:hAnsi="Cambria" w:cs="Times New Roman"/>
          <w:vertAlign w:val="superscript"/>
        </w:rPr>
        <w:t>28</w:t>
      </w:r>
      <w:r w:rsidR="0013314E">
        <w:fldChar w:fldCharType="end"/>
      </w:r>
      <w:r>
        <w:t xml:space="preserve"> Some readmissions are unpreventable: no matter where they were treated, they would be readmitted. If patients were randomized among different hospitals, the number of unpreventable readmissions would be (asymptotically) the same among all hospitals, and any difference in readmission rates would be the “preventable proportion”. Since the patients were not randomized to each hospital, we attempted to recreate that situation by controlling for confounding. Assuming that we have adequately controlled for confounding, we have estimated the independent effect of each hospital on readmission risk, without identifying whether </w:t>
      </w:r>
      <w:r>
        <w:rPr>
          <w:i/>
        </w:rPr>
        <w:t>individual</w:t>
      </w:r>
      <w:r>
        <w:t xml:space="preserve"> readmissions were preventable. </w:t>
      </w:r>
    </w:p>
    <w:p w:rsidR="0013314E" w:rsidRDefault="00D03CD4">
      <w:r>
        <w:lastRenderedPageBreak/>
        <w:t xml:space="preserve">In this study, practical positivity violations occur when large subgroups of the hospitalized patients are rarely admitted to specific hospitals. Practical positivity violations can bias our estimates of the parameter of interest, because our risk estimates are heavily dependent on the few admitted patients from certain subgroups, and on the precision of our estimate of the probability of their attendance. For some hospitals, our estimates for marginal risk were sensitive to the parameter </w:t>
      </w:r>
      <m:oMath>
        <m:r>
          <m:rPr>
            <m:sty m:val="p"/>
          </m:rPr>
          <w:rPr>
            <w:rFonts w:ascii="Cambria Math" w:hAnsi="Cambria Math"/>
          </w:rPr>
          <m:t>δ</m:t>
        </m:r>
      </m:oMath>
      <w:r>
        <w:t xml:space="preserve">, which set a lower bound on the probability of exposure </w:t>
      </w:r>
      <m:oMath>
        <m:r>
          <m:rPr>
            <m:sty m:val="p"/>
          </m:rPr>
          <w:rPr>
            <w:rFonts w:ascii="Cambria Math" w:hAnsi="Cambria Math"/>
          </w:rPr>
          <m:t>g</m:t>
        </m:r>
      </m:oMath>
      <w:r>
        <w:t xml:space="preserve">, suggesting practical positivity violations. We believe that the discovery of practical positivity violations is an important finding: observational data may not provide us with enough information to meaningfully compare certain hospitals. </w:t>
      </w:r>
    </w:p>
    <w:p w:rsidR="0029010F" w:rsidRDefault="00D03CD4" w:rsidP="0013314E">
      <w:r>
        <w:t>To avoid adjusting for a variable on the causal pathway between hospital care and readmission, we did not adjust for hospital length of stay.</w:t>
      </w:r>
      <w:r w:rsidR="0013314E">
        <w:fldChar w:fldCharType="begin"/>
      </w:r>
      <w:r w:rsidR="00AE4F1D">
        <w:instrText xml:space="preserve"> ADDIN ZOTERO_ITEM CSL_CITATION {"citationID":"178iu96ge1","properties":{"formattedCitation":"{\\rtf \\super 29\\nosupersub{}}","plainCitation":"29"},"citationItems":[{"id":71,"uris":["http://zotero.org/users/808653/items/9MGMKCJK"],"uri":["http://zotero.org/users/808653/items/9MGMKCJK"],"itemData":{"id":71,"type":"article","title":"Statistical issues in assessing hospital performance: Commission by the Committee of Presidents of Statistical Societies (white paper)","publisher":"Centers for Medicare &amp; Medicaid Services","URL":"https://www.cms.gov/Medicare/Quality-Initiatives-Patient-Assessment-Instruments/HospitalQualityInits/Downloads/Statistical-Issues-in-Assessing-Hospital-Performance.pdf","author":[{"family":"Ash","given":"Arlene S"},{"family":"Fienberg","given":"Stephen E"},{"family":"Louis","given":"Thomas A"},{"family":"Normand","given":"Sharon-Lise T"},{"family":"Stukel","given":"Thérèse A"},{"family":"Utts","given":"Jessica"}],"issued":{"date-parts":[["2012",1,27]]},"accessed":{"date-parts":[["2012",6,4]]}}}],"schema":"https://github.com/citation-style-language/schema/raw/master/csl-citation.json"} </w:instrText>
      </w:r>
      <w:r w:rsidR="0013314E">
        <w:fldChar w:fldCharType="separate"/>
      </w:r>
      <w:r w:rsidR="00AE4F1D" w:rsidRPr="00AE4F1D">
        <w:rPr>
          <w:rFonts w:ascii="Cambria" w:hAnsi="Cambria" w:cs="Times New Roman"/>
          <w:vertAlign w:val="superscript"/>
        </w:rPr>
        <w:t>29</w:t>
      </w:r>
      <w:r w:rsidR="0013314E">
        <w:fldChar w:fldCharType="end"/>
      </w:r>
      <w:r>
        <w:t xml:space="preserve"> We also excluded all diagnoses and procedures that occurred during the hospital admission, because these covariates were also effectively mediators between hospital care and readmission.</w:t>
      </w:r>
    </w:p>
    <w:p w:rsidR="0029010F" w:rsidRDefault="00D03CD4">
      <w:r>
        <w:t>The major competing risk for 30-day hospital readmission is death, but others include moving outside the study area, or admission to a hospital for a non-emergency reason. In our analysis, we did not account for these competing risks. If patients died within 30 days of discharge more often at one hospital than another, we could have biased our estimate of readmission risk. Similarly, if patients died during the hospitalization more often at some hospitals than others, it could have created a selection bias (left censorship) in which hospitals with better care were discharging sicker (but still living) patients, who would be more likely to be readmitted. Also, there is no special significance of 30 days in readmission, except for the fact that it is (recently) widely used as a cutoff. In future work, we plan to account for both left censorship and competing risks in a model that estimates the effect of hospital care on time-to-readmission.</w:t>
      </w:r>
    </w:p>
    <w:p w:rsidR="0029010F" w:rsidRDefault="00D03CD4" w:rsidP="0013314E">
      <w:r>
        <w:t xml:space="preserve">Differing </w:t>
      </w:r>
      <w:r>
        <w:rPr>
          <w:i/>
        </w:rPr>
        <w:t>admission</w:t>
      </w:r>
      <w:r>
        <w:t xml:space="preserve"> practices can strongly affect the rates of readmission.</w:t>
      </w:r>
      <w:r w:rsidR="0013314E">
        <w:fldChar w:fldCharType="begin"/>
      </w:r>
      <w:r w:rsidR="00AE4F1D">
        <w:instrText xml:space="preserve"> ADDIN ZOTERO_ITEM CSL_CITATION {"citationID":"2pa92r7in0","properties":{"formattedCitation":"{\\rtf \\super 30\\nosupersub{}}","plainCitation":"30"},"citationItems":[{"id":203,"uris":["http://zotero.org/users/808653/items/SGWSIZKZ"],"uri":["http://zotero.org/users/808653/items/SGWSIZKZ"],"itemData":{"id":203,"type":"article-journal","title":"The relationship between hospital admission rates and rehospitalizations","container-title":"The New England journal of medicine","page":"2287-2295","volume":"365","issue":"24","source":"NCBI PubMed","abstract":"BACKGROUND\n\nEfforts to reduce hospital readmissions have focused primarily on improving transitional care. Yet variation in readmission rates may more closely reflect variation in the underlying hospitalization rates than differences in the quality of care during and after discharge.\n\n\nMETHODS\n\nWe used national Medicare data to calculate, for each local hospital referral region (HRR), the 30-day, 60-day, and 90-day readmission rates among patients discharged with congestive heart failure or pneumonia. We also calculated population-based all-cause admission rates among Medicare enrollees in each HRR. We examined the variation in HRR readmission rates that was explained by overall hospitalization rates versus differences in patients' coexisting conditions, quality of discharge planning, physician supply, and bed supply.\n\n\nRESULTS\n\nHRR readmission rates ranged from 11 to 32% for congestive heart failure and from 8 to 27% for pneumonia. In univariate analyses, all-cause admission rates accounted for the highest proportion of regional variation in readmission rates for congestive heart failure (28%, 34%, and 37% at 30, 60, and 90 days, respectively); the next highest proportions were explained by case mix (11%, 15%, and 18%) and the number of cardiologists per capita (12%, 14%, and 15%). Results for pneumonia were similar, except that the number of pulmonologists per capita accounted for a lower proportion of the variation (6%, 8%, and 7%, respectively). In multivariate analyses, admission rates accounted for 16 to 24% of the variation for congestive heart failure and 11 to 20% for pneumonia; no other factor accounted for more than 6%.\n\n\nCONCLUSIONS\n\nWe found a substantial association between regional rates of rehospitalization and overall admission rates. Programs directed at shared savings from lower utilization of hospital services might be more successful in reducing readmissions than programs initiated to date. (Funded by the Commonwealth Fund.).","DOI":"10.1056/NEJMsa1101942","ISSN":"1533-4406","note":"PMID: 22168643","journalAbbreviation":"N. Engl. J. Med.","author":[{"family":"Epstein","given":"Arnold M"},{"family":"Jha","given":"Ashish K"},{"family":"Orav","given":"E John"}],"issued":{"date-parts":[["2011",12,15]]},"accessed":{"date-parts":[["2012",6,10]]},"PMID":"22168643"}}],"schema":"https://github.com/citation-style-language/schema/raw/master/csl-citation.json"} </w:instrText>
      </w:r>
      <w:r w:rsidR="0013314E">
        <w:fldChar w:fldCharType="separate"/>
      </w:r>
      <w:r w:rsidR="00AE4F1D" w:rsidRPr="00AE4F1D">
        <w:rPr>
          <w:rFonts w:ascii="Cambria" w:hAnsi="Cambria" w:cs="Times New Roman"/>
          <w:vertAlign w:val="superscript"/>
        </w:rPr>
        <w:t>30</w:t>
      </w:r>
      <w:r w:rsidR="0013314E">
        <w:fldChar w:fldCharType="end"/>
      </w:r>
      <w:r w:rsidR="0013314E">
        <w:t xml:space="preserve"> </w:t>
      </w:r>
      <w:r>
        <w:t xml:space="preserve"> In some cases, like a major trauma, admission is certain, but in most cases, there is some variation in practice of how patients are admitted. Since most (89% in this cohort) patients who are readmitted within 30 days are readmitted to the same hospital that they were discharged from, a hospital that is more likely to admit patients will have a higher readmission rate. In future work, we plan to study the effect of the probability of admission on readmission.</w:t>
      </w:r>
    </w:p>
    <w:p w:rsidR="0029010F" w:rsidRDefault="00D03CD4">
      <w:r>
        <w:t>Entry to our cohort was dependent on having one diagnosis of a respiratory illness in an inpatient or outpatient setting. Respiratory illness was defined rather broadly, including extremely common diagnoses such as “cough”. We expect that the the majority of 65-year-old patients who would be hospitalized would have at least one respiratory illness diagnosis in an outpatient setting. We cannot, however, exclude the possibility that parameter estimates were affected by selection bias with respect to the full population of 65-year-old patients.</w:t>
      </w:r>
    </w:p>
    <w:p w:rsidR="0029010F" w:rsidRDefault="00D03CD4" w:rsidP="006F2D0A">
      <w:r>
        <w:t xml:space="preserve">The effect of hospital care on readmissions is confounded by a vast spectrum of health-related states of the admitted patients. In the absence of a clear theoretical basis of the structure of that confounding, we can 1) identify relatively few, well-understood and measurable confounders to include in our model, or 2) forgo any theoretical understanding of the structure of confounding, and attempt to identify the broadest </w:t>
      </w:r>
      <w:r>
        <w:lastRenderedPageBreak/>
        <w:t>measurable set of even faintly plausible confounders. The first option has some advantages: in a situation where data collection is expensive, it may not be plausible to measure thousands of variables. Additionally, by reducing the confounders to a well-understood few, the model gains credibility because it can be shown that the confounders are having the expected effect. Non-parametric techniques such as random forest don’t allow us to look (easily) at the individual effects of the confounders, and even in a parametric model it would be difficult to analyze thousands of variables. We summarized the densities of the effects a few classes of variables in Figure [fig:variable</w:t>
      </w:r>
      <w:r>
        <w:rPr>
          <w:vertAlign w:val="subscript"/>
        </w:rPr>
        <w:t>i</w:t>
      </w:r>
      <w:r>
        <w:t>mportance</w:t>
      </w:r>
      <w:r>
        <w:rPr>
          <w:vertAlign w:val="subscript"/>
        </w:rPr>
        <w:t>b</w:t>
      </w:r>
      <w:r>
        <w:t>y</w:t>
      </w:r>
      <w:r>
        <w:rPr>
          <w:vertAlign w:val="subscript"/>
        </w:rPr>
        <w:t>m</w:t>
      </w:r>
      <w:r>
        <w:t>odel</w:t>
      </w:r>
      <w:r>
        <w:rPr>
          <w:vertAlign w:val="subscript"/>
        </w:rPr>
        <w:t>a</w:t>
      </w:r>
      <w:r>
        <w:t>nd</w:t>
      </w:r>
      <w:r>
        <w:rPr>
          <w:vertAlign w:val="subscript"/>
        </w:rPr>
        <w:t>c</w:t>
      </w:r>
      <w:r>
        <w:t xml:space="preserve">lass], but this still does not allow the variable-by-variable analysis typical in an epidemiologic study. Also, by including many confounders we also risk </w:t>
      </w:r>
      <w:r>
        <w:rPr>
          <w:i/>
        </w:rPr>
        <w:t>inducing</w:t>
      </w:r>
      <w:r>
        <w:t xml:space="preserve"> bias, such as the M-bias</w:t>
      </w:r>
      <w:r w:rsidR="006F2D0A">
        <w:fldChar w:fldCharType="begin"/>
      </w:r>
      <w:r w:rsidR="00AE4F1D">
        <w:instrText xml:space="preserve"> ADDIN ZOTERO_ITEM CSL_CITATION {"citationID":"1st4mt9ptk","properties":{"formattedCitation":"{\\rtf \\super 31,32\\nosupersub{}}","plainCitation":"31,32"},"citationItems":[{"id":435,"uris":["http://zotero.org/users/808653/items/RFSRNBUA"],"uri":["http://zotero.org/users/808653/items/RFSRNBUA"],"itemData":{"id":435,"type":"article-journal","title":"Causal diagrams for empirical research","container-title":"Biometrika","page":"669-688","volume":"82","issue":"4","source":"CrossRef","DOI":"10.1093/biomet/82.4.669","ISSN":"0006-3444, 1464-3510","language":"en","author":[{"family":"Pearl","given":"Judea"}],"issued":{"date-parts":[["1995"]]},"accessed":{"date-parts":[["2014",8,15]]}}},{"id":434,"uris":["http://zotero.org/users/808653/items/P4328AZW"],"uri":["http://zotero.org/users/808653/items/P4328AZW"],"itemData":{"id":434,"type":"article-journal","title":"Quantifying biases in causal models: classical confounding vs collider-stratification bias","container-title":"Epidemiology (Cambridge, Mass.)","page":"300-306","volume":"14","issue":"3","source":"NCBI PubMed","abstract":"It has long been known that stratifying on variables affected by the study exposure can create selection bias. More recently it has been shown that stratifying on a variable that precedes exposure and disease can induce confounding, even if there is no confounding in the unstratified (crude) estimate. This paper examines the relative magnitudes of these biases under some simple causal models in which the stratification variable is graphically depicted as a collider (a variable directly affected by two or more other variables in the graph). The results suggest that bias from stratifying on variables affected by exposure and disease may often be comparable in size with bias from classical confounding (bias from failing to stratify on a common cause of exposure and disease), whereas other biases from collider stratification may tend to be much smaller.","ISSN":"1044-3983","note":"PMID: 12859030","shortTitle":"Quantifying biases in causal models","journalAbbreviation":"Epidemiology","language":"eng","author":[{"family":"Greenland","given":"Sander"}],"issued":{"date-parts":[["2003",5]]},"PMID":"12859030"}}],"schema":"https://github.com/citation-style-language/schema/raw/master/csl-citation.json"} </w:instrText>
      </w:r>
      <w:r w:rsidR="006F2D0A">
        <w:fldChar w:fldCharType="separate"/>
      </w:r>
      <w:r w:rsidR="00AE4F1D" w:rsidRPr="00AE4F1D">
        <w:rPr>
          <w:rFonts w:ascii="Cambria" w:hAnsi="Cambria" w:cs="Times New Roman"/>
          <w:vertAlign w:val="superscript"/>
        </w:rPr>
        <w:t>31,32</w:t>
      </w:r>
      <w:r w:rsidR="006F2D0A">
        <w:fldChar w:fldCharType="end"/>
      </w:r>
      <w:r>
        <w:t>. However, the recent availability of large scale healthcare administrative data has put us into the situation where the cost of data collection is relatively low. By using machine learning techniques like random forest, we also automatically fit multi-way interactions that we would be unlikely to explore in a model fit “by hand”. Finally, because the structure of the confounding is unclear, we cannot assess if M-bias is present, and some research suggests that the scale of M-bias may be small when compared to traditional confounding.</w:t>
      </w:r>
      <w:r w:rsidR="006F2D0A">
        <w:fldChar w:fldCharType="begin"/>
      </w:r>
      <w:r w:rsidR="00AE4F1D">
        <w:instrText xml:space="preserve"> ADDIN ZOTERO_ITEM CSL_CITATION {"citationID":"h5oidqer4","properties":{"formattedCitation":"{\\rtf \\super 33\\nosupersub{}}","plainCitation":"33"},"citationItems":[{"id":428,"uris":["http://zotero.org/users/808653/items/BAWTT2BN"],"uri":["http://zotero.org/users/808653/items/BAWTT2BN"],"itemData":{"id":428,"type":"article-journal","title":"Implications of M Bias in Epidemiologic Studies: A Simulation Study","container-title":"American Journal of Epidemiology","page":"938-948","volume":"176","issue":"10","source":"CrossRef","DOI":"10.1093/aje/kws165","ISSN":"0002-9262, 1476-6256","shortTitle":"Implications of M Bias in Epidemiologic Studies","language":"en","author":[{"family":"Liu","given":"W."},{"family":"Brookhart","given":"M. A."},{"family":"Schneeweiss","given":"S."},{"family":"Mi","given":"X."},{"family":"Setoguchi","given":"S."}],"issued":{"date-parts":[["2012",11,15]]},"accessed":{"date-parts":[["2014",8,15]]}}}],"schema":"https://github.com/citation-style-language/schema/raw/master/csl-citation.json"} </w:instrText>
      </w:r>
      <w:r w:rsidR="006F2D0A">
        <w:fldChar w:fldCharType="separate"/>
      </w:r>
      <w:r w:rsidR="00AE4F1D" w:rsidRPr="00AE4F1D">
        <w:rPr>
          <w:rFonts w:ascii="Cambria" w:hAnsi="Cambria" w:cs="Times New Roman"/>
          <w:vertAlign w:val="superscript"/>
        </w:rPr>
        <w:t>33</w:t>
      </w:r>
      <w:r w:rsidR="006F2D0A">
        <w:fldChar w:fldCharType="end"/>
      </w:r>
      <w:r>
        <w:t xml:space="preserve"> We argue that in this situation, where we have a large data set, thousands of measurable confounders, and little understanding of the structure of confounding, the second option is more appropriate.</w:t>
      </w:r>
    </w:p>
    <w:p w:rsidR="0029010F" w:rsidRDefault="00D03CD4">
      <w:r>
        <w:t>Despite a relatively standardized data collection process, some hospitals may have idiosyncratic code usage patterns, leading to differing specificity and sensitivity of some diagnostic and procedural codes. This possible differential misclassification could have biased our estimate of the parameters of interest.</w:t>
      </w:r>
    </w:p>
    <w:p w:rsidR="0029010F" w:rsidRDefault="00D03CD4">
      <w:r>
        <w:t>The unit of analysis in this study was the discharge, but each discharge was “clustered” within a patient. The expected within-cluster homogeneity could have biased our estimates of variance, and our parameter estimates. However, because the number of clusters (unique patients) was relatively high when compared to the sample size (the number of discharges), we do not expect that our parameter or variance estimates to be biased very strongly.</w:t>
      </w:r>
    </w:p>
    <w:p w:rsidR="0029010F" w:rsidRDefault="00D03CD4" w:rsidP="006F2D0A">
      <w:r>
        <w:t>Beside random forest, we could have used many other machine learning techniques on these data, many of which we explored in other work.</w:t>
      </w:r>
      <w:r w:rsidR="006F2D0A">
        <w:fldChar w:fldCharType="begin"/>
      </w:r>
      <w:r w:rsidR="006F2D0A">
        <w:instrText xml:space="preserve"> ADDIN ZOTERO_ITEM CSL_CITATION {"citationID":"1b1l51fh1u","properties":{"formattedCitation":"{\\rtf \\super 8\\nosupersub{}}","plainCitation":"8"},"citationItems":[{"id":408,"uris":["http://zotero.org/users/808653/items/FUKFF8X8"],"uri":["http://zotero.org/users/808653/items/FUKFF8X8"],"itemData":{"id":408,"type":"article-journal","title":"Assessing the Predictability of Hospital Readmission Using Machine Learning","abstract":"Unplanned hospital readmissions raise health care costsand cause significant distress to patients. Hence, predictingwhich patients are at risk to be readmitted isof great interest. In this paper, we mine large amountsof administrative information from claim data, includingpatients demographics, dispensed drugs, medical orsurgical procedures performed, and medical diagnosis,in order to predict readmission using supervised learningmethods. Our objective is to gain knowledge aboutthe predictive power of the available information. Ourpreliminary results on data from the provincial hospitalsystem in Quebec illustrate the potential for this approachto reveal important information on factors thattrigger hospital readmission. Our findings suggest thata substantial portion of readmissions is inherently hardto predict. Consequently, the use of the raw readmissionrate as an indicator of the quality of provided care mightnot be appropriate.","URL":"http://www.aaai.org/ocs/index.php/IAAI/IAAI13/paper/view/6475/6431","author":[{"family":"Hosseinzadeh","given":"Arian"},{"family":"Izadi","given":"Masoumeh"},{"family":"Verma","given":"Aman"},{"family":"Precup","given":"Doina"},{"family":"Buckeridge","given":"David"}],"issued":{"date-parts":[["2013"]]}}}],"schema":"https://github.com/citation-style-language/schema/raw/master/csl-citation.json"} </w:instrText>
      </w:r>
      <w:r w:rsidR="006F2D0A">
        <w:fldChar w:fldCharType="separate"/>
      </w:r>
      <w:r w:rsidR="006F2D0A" w:rsidRPr="006F2D0A">
        <w:rPr>
          <w:rFonts w:ascii="Cambria" w:hAnsi="Cambria" w:cs="Times New Roman"/>
          <w:vertAlign w:val="superscript"/>
        </w:rPr>
        <w:t>8</w:t>
      </w:r>
      <w:r w:rsidR="006F2D0A">
        <w:fldChar w:fldCharType="end"/>
      </w:r>
      <w:r>
        <w:t xml:space="preserve"> Also, some ensemble machine learning techniques, (in particular SuperLearner</w:t>
      </w:r>
      <w:r w:rsidR="006F2D0A">
        <w:fldChar w:fldCharType="begin"/>
      </w:r>
      <w:r w:rsidR="00AE4F1D">
        <w:instrText xml:space="preserve"> ADDIN ZOTERO_ITEM CSL_CITATION {"citationID":"2er4va0fbn","properties":{"formattedCitation":"{\\rtf \\super 34\\nosupersub{}}","plainCitation":"34"},"citationItems":[{"id":433,"uris":["http://zotero.org/users/808653/items/KG5689MM"],"uri":["http://zotero.org/users/808653/items/KG5689MM"],"itemData":{"id":433,"type":"article-journal","title":"Super Learner","container-title":"Statistical Applications in Genetics and Molecular Biology","volume":"6","issue":"1","source":"CrossRef","URL":"http://www.degruyter.com/view/j/sagmb.2007.6.1/sagmb.2007.6.1.1309/sagmb.2007.6.1.1309.xml","DOI":"10.2202/1544-6115.1309","ISSN":"1544-6115","author":[{"family":"van der Laan","given":"Mark J."},{"family":"Polley","given":"Eric C"},{"family":"Hubbard","given":"Alan E."}],"issued":{"date-parts":[["2007",1,16]]},"accessed":{"date-parts":[["2014",8,15]]}}}],"schema":"https://github.com/citation-style-language/schema/raw/master/csl-citation.json"} </w:instrText>
      </w:r>
      <w:r w:rsidR="006F2D0A">
        <w:fldChar w:fldCharType="separate"/>
      </w:r>
      <w:r w:rsidR="00AE4F1D" w:rsidRPr="00AE4F1D">
        <w:rPr>
          <w:rFonts w:ascii="Cambria" w:hAnsi="Cambria" w:cs="Times New Roman"/>
          <w:vertAlign w:val="superscript"/>
        </w:rPr>
        <w:t>34</w:t>
      </w:r>
      <w:r w:rsidR="006F2D0A">
        <w:fldChar w:fldCharType="end"/>
      </w:r>
      <w:r>
        <w:t xml:space="preserve"> which is commonly used with TMLE), are available, that combine any number of other machine learning techniques. We found that in these data, ensemble learning techniques were too computationally expensive. We selected random forest because of its relative simplicity, and because our variables were nearly all binary, for which decision trees are particularly suitable.</w:t>
      </w:r>
    </w:p>
    <w:p w:rsidR="0029010F" w:rsidRDefault="00D03CD4">
      <w:r>
        <w:t xml:space="preserve">Calibration of the random forest vote proportions in the </w:t>
      </w:r>
      <m:oMath>
        <m:r>
          <m:rPr>
            <m:sty m:val="p"/>
          </m:rPr>
          <w:rPr>
            <w:rFonts w:ascii="Cambria Math" w:hAnsi="Cambria Math"/>
          </w:rPr>
          <m:t>Q</m:t>
        </m:r>
      </m:oMath>
      <w:r>
        <w:t xml:space="preserve"> model strongly affected estimates of our parameter of interest in the </w:t>
      </w:r>
      <m:oMath>
        <m:sSup>
          <m:sSupPr>
            <m:ctrlPr>
              <w:rPr>
                <w:rFonts w:ascii="Cambria Math" w:hAnsi="Cambria Math"/>
              </w:rPr>
            </m:ctrlPr>
          </m:sSupPr>
          <m:e>
            <m:r>
              <m:rPr>
                <m:sty m:val="p"/>
              </m:rPr>
              <w:rPr>
                <w:rFonts w:ascii="Cambria Math" w:hAnsi="Cambria Math"/>
              </w:rPr>
              <m:t>Q</m:t>
            </m:r>
          </m:e>
          <m:sup>
            <m:r>
              <m:rPr>
                <m:sty m:val="p"/>
              </m:rPr>
              <w:rPr>
                <w:rFonts w:ascii="Cambria Math" w:hAnsi="Cambria Math"/>
              </w:rPr>
              <m:t>*</m:t>
            </m:r>
          </m:sup>
        </m:sSup>
      </m:oMath>
      <w:r>
        <w:t xml:space="preserve"> update step. Other articles using non-parametric techniques typically combined them with other models in an ensemble learner (like SuperLearner). The final step in (many) ensemble learners is to combine all the probability estimates in parametric model, which would effectively calibrate the probabilities. In our study, a single, non-parametric technique was used, so an additional, separate calibration step was necessary to convert the ranking scores into a probability estimate.</w:t>
      </w:r>
    </w:p>
    <w:p w:rsidR="0029010F" w:rsidRDefault="00D03CD4" w:rsidP="006F2D0A">
      <w:r>
        <w:lastRenderedPageBreak/>
        <w:t>Hospital readmissions can be a relatively crude proxy for quality of care, but they can still provide valuable insight. In a seminal research article on quality of care measures, Donabedian writes: “But how precise do estimates of quality have to be? At least the better methods have been adequate for the administrative and social policy purposes that have brought them into being. The search for perfection should not blind one to the fact that present techniques of evaluating quality, crude as they are, have revealed a range of quality from outstanding to deplorable.”</w:t>
      </w:r>
      <w:r w:rsidR="006F2D0A">
        <w:fldChar w:fldCharType="begin"/>
      </w:r>
      <w:r w:rsidR="00AE4F1D">
        <w:instrText xml:space="preserve"> ADDIN ZOTERO_ITEM CSL_CITATION {"citationID":"dhlkpvuns","properties":{"formattedCitation":"{\\rtf \\super 35\\nosupersub{}}","plainCitation":"35"},"citationItems":[{"id":212,"uris":["http://zotero.org/users/808653/items/TG48JSVT"],"uri":["http://zotero.org/users/808653/items/TG48JSVT"],"itemData":{"id":212,"type":"article-journal","title":"Evaluating the quality of medical care","container-title":"The Milbank Memorial Fund quarterly","page":"Suppl:166-206","volume":"44","issue":"3","source":"NCBI PubMed","ISSN":"0026-3745","note":"PMID: 5338568","journalAbbreviation":"Milbank Mem Fund Q","author":[{"family":"Donabedian","given":"A"}],"issued":{"date-parts":[["1966",7]]},"accessed":{"date-parts":[["2012",8,10]]},"PMID":"5338568"}}],"schema":"https://github.com/citation-style-language/schema/raw/master/csl-citation.json"} </w:instrText>
      </w:r>
      <w:r w:rsidR="006F2D0A">
        <w:fldChar w:fldCharType="separate"/>
      </w:r>
      <w:r w:rsidR="00AE4F1D" w:rsidRPr="00AE4F1D">
        <w:rPr>
          <w:rFonts w:ascii="Cambria" w:hAnsi="Cambria" w:cs="Times New Roman"/>
          <w:vertAlign w:val="superscript"/>
        </w:rPr>
        <w:t>35</w:t>
      </w:r>
      <w:r w:rsidR="006F2D0A">
        <w:fldChar w:fldCharType="end"/>
      </w:r>
      <w:r>
        <w:t xml:space="preserve"> Our work suggests that, when finely adjusted for confounding, hospital readmissions reveal wide differences in hospital quality of care.</w:t>
      </w:r>
    </w:p>
    <w:p w:rsidR="00AE4F1D" w:rsidRDefault="00AE4F1D">
      <w:pPr>
        <w:pStyle w:val="Heading1"/>
      </w:pPr>
      <w:bookmarkStart w:id="10" w:name="appendix"/>
      <w:bookmarkEnd w:id="10"/>
      <w:r>
        <w:t>References</w:t>
      </w:r>
    </w:p>
    <w:p w:rsidR="00AE4F1D" w:rsidRPr="00AE4F1D" w:rsidRDefault="00AE4F1D" w:rsidP="00AE4F1D">
      <w:pPr>
        <w:pStyle w:val="Bibliography"/>
        <w:rPr>
          <w:rFonts w:ascii="Cambria" w:hAnsi="Cambria"/>
        </w:rPr>
      </w:pPr>
      <w:r>
        <w:fldChar w:fldCharType="begin"/>
      </w:r>
      <w:r>
        <w:instrText xml:space="preserve"> ADDIN ZOTERO_BIBL {"custom":[]} CSL_BIBLIOGRAPHY </w:instrText>
      </w:r>
      <w:r>
        <w:fldChar w:fldCharType="separate"/>
      </w:r>
      <w:r w:rsidRPr="00AE4F1D">
        <w:rPr>
          <w:rFonts w:ascii="Cambria" w:hAnsi="Cambria"/>
        </w:rPr>
        <w:t xml:space="preserve">1. </w:t>
      </w:r>
      <w:r w:rsidRPr="00AE4F1D">
        <w:rPr>
          <w:rFonts w:ascii="Cambria" w:hAnsi="Cambria"/>
        </w:rPr>
        <w:tab/>
        <w:t xml:space="preserve">Institute of Medicine (U.S.). Division of Health Care Services, Lohr KN, Institute of Medicine (U.S.). Committee to Design a Strategy for Quality Review and Assurance in Medicare, United States. Health Care Financing Administration. </w:t>
      </w:r>
      <w:r w:rsidRPr="00AE4F1D">
        <w:rPr>
          <w:rFonts w:ascii="Cambria" w:hAnsi="Cambria"/>
          <w:i/>
          <w:iCs/>
        </w:rPr>
        <w:t>Medicare : A Strategy for Quality Assurance</w:t>
      </w:r>
      <w:r w:rsidRPr="00AE4F1D">
        <w:rPr>
          <w:rFonts w:ascii="Cambria" w:hAnsi="Cambria"/>
        </w:rPr>
        <w:t>. Washington, D.C.: National Academy Press; 1990.</w:t>
      </w:r>
    </w:p>
    <w:p w:rsidR="00AE4F1D" w:rsidRPr="00AE4F1D" w:rsidRDefault="00AE4F1D" w:rsidP="00AE4F1D">
      <w:pPr>
        <w:pStyle w:val="Bibliography"/>
        <w:rPr>
          <w:rFonts w:ascii="Cambria" w:hAnsi="Cambria"/>
        </w:rPr>
      </w:pPr>
      <w:r w:rsidRPr="00AE4F1D">
        <w:rPr>
          <w:rFonts w:ascii="Cambria" w:hAnsi="Cambria"/>
        </w:rPr>
        <w:t xml:space="preserve">2. </w:t>
      </w:r>
      <w:r w:rsidRPr="00AE4F1D">
        <w:rPr>
          <w:rFonts w:ascii="Cambria" w:hAnsi="Cambria"/>
        </w:rPr>
        <w:tab/>
        <w:t xml:space="preserve">US Government. </w:t>
      </w:r>
      <w:r w:rsidRPr="00AE4F1D">
        <w:rPr>
          <w:rFonts w:ascii="Cambria" w:hAnsi="Cambria"/>
          <w:i/>
          <w:iCs/>
        </w:rPr>
        <w:t>Public Law 111 - 148 - Patient Protection and Affordable Care Act</w:t>
      </w:r>
      <w:r w:rsidRPr="00AE4F1D">
        <w:rPr>
          <w:rFonts w:ascii="Cambria" w:hAnsi="Cambria"/>
        </w:rPr>
        <w:t>.; 2012. Available at: http://www.gpo.gov/fdsys/pkg/PLAW-111publ148/content-detail.html.</w:t>
      </w:r>
    </w:p>
    <w:p w:rsidR="00AE4F1D" w:rsidRPr="00AE4F1D" w:rsidRDefault="00AE4F1D" w:rsidP="00AE4F1D">
      <w:pPr>
        <w:pStyle w:val="Bibliography"/>
        <w:rPr>
          <w:rFonts w:ascii="Cambria" w:hAnsi="Cambria"/>
        </w:rPr>
      </w:pPr>
      <w:r w:rsidRPr="00AE4F1D">
        <w:rPr>
          <w:rFonts w:ascii="Cambria" w:hAnsi="Cambria"/>
        </w:rPr>
        <w:t xml:space="preserve">3. </w:t>
      </w:r>
      <w:r w:rsidRPr="00AE4F1D">
        <w:rPr>
          <w:rFonts w:ascii="Cambria" w:hAnsi="Cambria"/>
        </w:rPr>
        <w:tab/>
        <w:t xml:space="preserve">Kansagara D, Englander H, Salanitro A, et al. Risk prediction models for hospital readmission: a systematic review. </w:t>
      </w:r>
      <w:r w:rsidRPr="00AE4F1D">
        <w:rPr>
          <w:rFonts w:ascii="Cambria" w:hAnsi="Cambria"/>
          <w:i/>
          <w:iCs/>
        </w:rPr>
        <w:t>JAMA</w:t>
      </w:r>
      <w:r w:rsidRPr="00AE4F1D">
        <w:rPr>
          <w:rFonts w:ascii="Cambria" w:hAnsi="Cambria"/>
        </w:rPr>
        <w:t>. 2011;306(15):1688-1698. doi:10.1001/jama.2011.1515.</w:t>
      </w:r>
    </w:p>
    <w:p w:rsidR="00AE4F1D" w:rsidRPr="00AE4F1D" w:rsidRDefault="00AE4F1D" w:rsidP="00AE4F1D">
      <w:pPr>
        <w:pStyle w:val="Bibliography"/>
        <w:rPr>
          <w:rFonts w:ascii="Cambria" w:hAnsi="Cambria"/>
        </w:rPr>
      </w:pPr>
      <w:r w:rsidRPr="00AE4F1D">
        <w:rPr>
          <w:rFonts w:ascii="Cambria" w:hAnsi="Cambria"/>
        </w:rPr>
        <w:t xml:space="preserve">4. </w:t>
      </w:r>
      <w:r w:rsidRPr="00AE4F1D">
        <w:rPr>
          <w:rFonts w:ascii="Cambria" w:hAnsi="Cambria"/>
        </w:rPr>
        <w:tab/>
        <w:t xml:space="preserve">Glymour MM, Osypuk TL, Rehkopf DH. Invited Commentary: Off-Roading With Social Epidemiology--Exploration, Causation, Translation. </w:t>
      </w:r>
      <w:r w:rsidRPr="00AE4F1D">
        <w:rPr>
          <w:rFonts w:ascii="Cambria" w:hAnsi="Cambria"/>
          <w:i/>
          <w:iCs/>
        </w:rPr>
        <w:t>American Journal of Epidemiology</w:t>
      </w:r>
      <w:r w:rsidRPr="00AE4F1D">
        <w:rPr>
          <w:rFonts w:ascii="Cambria" w:hAnsi="Cambria"/>
        </w:rPr>
        <w:t>. 2013;178(6):858-863. doi:10.1093/aje/kwt145.</w:t>
      </w:r>
    </w:p>
    <w:p w:rsidR="00AE4F1D" w:rsidRPr="00AE4F1D" w:rsidRDefault="00AE4F1D" w:rsidP="00AE4F1D">
      <w:pPr>
        <w:pStyle w:val="Bibliography"/>
        <w:rPr>
          <w:rFonts w:ascii="Cambria" w:hAnsi="Cambria"/>
        </w:rPr>
      </w:pPr>
      <w:r w:rsidRPr="00AE4F1D">
        <w:rPr>
          <w:rFonts w:ascii="Cambria" w:hAnsi="Cambria"/>
        </w:rPr>
        <w:t xml:space="preserve">5. </w:t>
      </w:r>
      <w:r w:rsidRPr="00AE4F1D">
        <w:rPr>
          <w:rFonts w:ascii="Cambria" w:hAnsi="Cambria"/>
        </w:rPr>
        <w:tab/>
        <w:t xml:space="preserve">Hastie T. </w:t>
      </w:r>
      <w:r w:rsidRPr="00AE4F1D">
        <w:rPr>
          <w:rFonts w:ascii="Cambria" w:hAnsi="Cambria"/>
          <w:i/>
          <w:iCs/>
        </w:rPr>
        <w:t>The Elements of Statistical Learning: Data Mining, Inference, and Prediction</w:t>
      </w:r>
      <w:r w:rsidRPr="00AE4F1D">
        <w:rPr>
          <w:rFonts w:ascii="Cambria" w:hAnsi="Cambria"/>
        </w:rPr>
        <w:t>. 2nd ed. New York, NY: Springer; 2009.</w:t>
      </w:r>
    </w:p>
    <w:p w:rsidR="00AE4F1D" w:rsidRPr="00AE4F1D" w:rsidRDefault="00AE4F1D" w:rsidP="00AE4F1D">
      <w:pPr>
        <w:pStyle w:val="Bibliography"/>
        <w:rPr>
          <w:rFonts w:ascii="Cambria" w:hAnsi="Cambria"/>
        </w:rPr>
      </w:pPr>
      <w:r w:rsidRPr="00AE4F1D">
        <w:rPr>
          <w:rFonts w:ascii="Cambria" w:hAnsi="Cambria"/>
        </w:rPr>
        <w:t xml:space="preserve">6. </w:t>
      </w:r>
      <w:r w:rsidRPr="00AE4F1D">
        <w:rPr>
          <w:rFonts w:ascii="Cambria" w:hAnsi="Cambria"/>
        </w:rPr>
        <w:tab/>
        <w:t xml:space="preserve">Van der Laan MJ, Rose S. </w:t>
      </w:r>
      <w:r w:rsidRPr="00AE4F1D">
        <w:rPr>
          <w:rFonts w:ascii="Cambria" w:hAnsi="Cambria"/>
          <w:i/>
          <w:iCs/>
        </w:rPr>
        <w:t>Targeted Learning: Causal Inference for Observational Data</w:t>
      </w:r>
      <w:r w:rsidRPr="00AE4F1D">
        <w:rPr>
          <w:rFonts w:ascii="Cambria" w:hAnsi="Cambria"/>
        </w:rPr>
        <w:t>. New York, NY: Springer New York; 2011. Available at: http://link.springer.com/10.1007/978-1-4419-9782-1. Accessed July 19, 2014.</w:t>
      </w:r>
    </w:p>
    <w:p w:rsidR="00AE4F1D" w:rsidRPr="00AE4F1D" w:rsidRDefault="00AE4F1D" w:rsidP="00AE4F1D">
      <w:pPr>
        <w:pStyle w:val="Bibliography"/>
        <w:rPr>
          <w:rFonts w:ascii="Cambria" w:hAnsi="Cambria"/>
        </w:rPr>
      </w:pPr>
      <w:r w:rsidRPr="00AE4F1D">
        <w:rPr>
          <w:rFonts w:ascii="Cambria" w:hAnsi="Cambria"/>
        </w:rPr>
        <w:t xml:space="preserve">7. </w:t>
      </w:r>
      <w:r w:rsidRPr="00AE4F1D">
        <w:rPr>
          <w:rFonts w:ascii="Cambria" w:hAnsi="Cambria"/>
        </w:rPr>
        <w:tab/>
        <w:t xml:space="preserve">He D, Mathews SC, Kalloo AN, Hutfless S. Mining high-dimensional administrative claims data to predict early hospital readmissions. </w:t>
      </w:r>
      <w:r w:rsidRPr="00AE4F1D">
        <w:rPr>
          <w:rFonts w:ascii="Cambria" w:hAnsi="Cambria"/>
          <w:i/>
          <w:iCs/>
        </w:rPr>
        <w:t>Journal of the American Medical Informatics Association</w:t>
      </w:r>
      <w:r w:rsidRPr="00AE4F1D">
        <w:rPr>
          <w:rFonts w:ascii="Cambria" w:hAnsi="Cambria"/>
        </w:rPr>
        <w:t>. 2014;21(2):272-279. doi:10.1136/amiajnl-2013-002151.</w:t>
      </w:r>
    </w:p>
    <w:p w:rsidR="00AE4F1D" w:rsidRPr="00AE4F1D" w:rsidRDefault="00AE4F1D" w:rsidP="00AE4F1D">
      <w:pPr>
        <w:pStyle w:val="Bibliography"/>
        <w:rPr>
          <w:rFonts w:ascii="Cambria" w:hAnsi="Cambria"/>
        </w:rPr>
      </w:pPr>
      <w:r w:rsidRPr="00AE4F1D">
        <w:rPr>
          <w:rFonts w:ascii="Cambria" w:hAnsi="Cambria"/>
        </w:rPr>
        <w:t xml:space="preserve">8. </w:t>
      </w:r>
      <w:r w:rsidRPr="00AE4F1D">
        <w:rPr>
          <w:rFonts w:ascii="Cambria" w:hAnsi="Cambria"/>
        </w:rPr>
        <w:tab/>
        <w:t>Hosseinzadeh A, Izadi M, Verma A, Precup D, Buckeridge D. Assessing the Predictability of Hospital Readmission Using Machine Learning. 2013. Available at: http://www.aaai.org/ocs/index.php/IAAI/IAAI13/paper/view/6475/6431.</w:t>
      </w:r>
    </w:p>
    <w:p w:rsidR="00AE4F1D" w:rsidRPr="00AE4F1D" w:rsidRDefault="00AE4F1D" w:rsidP="00AE4F1D">
      <w:pPr>
        <w:pStyle w:val="Bibliography"/>
        <w:rPr>
          <w:rFonts w:ascii="Cambria" w:hAnsi="Cambria"/>
        </w:rPr>
      </w:pPr>
      <w:r w:rsidRPr="00AE4F1D">
        <w:rPr>
          <w:rFonts w:ascii="Cambria" w:hAnsi="Cambria"/>
        </w:rPr>
        <w:t xml:space="preserve">9. </w:t>
      </w:r>
      <w:r w:rsidRPr="00AE4F1D">
        <w:rPr>
          <w:rFonts w:ascii="Cambria" w:hAnsi="Cambria"/>
        </w:rPr>
        <w:tab/>
        <w:t xml:space="preserve">Breiman L. Random Forests. </w:t>
      </w:r>
      <w:r w:rsidRPr="00AE4F1D">
        <w:rPr>
          <w:rFonts w:ascii="Cambria" w:hAnsi="Cambria"/>
          <w:i/>
          <w:iCs/>
        </w:rPr>
        <w:t>Machine Learning</w:t>
      </w:r>
      <w:r w:rsidRPr="00AE4F1D">
        <w:rPr>
          <w:rFonts w:ascii="Cambria" w:hAnsi="Cambria"/>
        </w:rPr>
        <w:t>. 2001;45(1):5-32. doi:10.1023/A:1010933404324.</w:t>
      </w:r>
    </w:p>
    <w:p w:rsidR="00AE4F1D" w:rsidRPr="00AE4F1D" w:rsidRDefault="00AE4F1D" w:rsidP="00AE4F1D">
      <w:pPr>
        <w:pStyle w:val="Bibliography"/>
        <w:rPr>
          <w:rFonts w:ascii="Cambria" w:hAnsi="Cambria"/>
        </w:rPr>
      </w:pPr>
      <w:r w:rsidRPr="00AE4F1D">
        <w:rPr>
          <w:rFonts w:ascii="Cambria" w:hAnsi="Cambria"/>
        </w:rPr>
        <w:t xml:space="preserve">10. </w:t>
      </w:r>
      <w:r w:rsidRPr="00AE4F1D">
        <w:rPr>
          <w:rFonts w:ascii="Cambria" w:hAnsi="Cambria"/>
        </w:rPr>
        <w:tab/>
        <w:t xml:space="preserve">Van Walraven C, Bell CM. Risk of death or readmission among people discharged from hospital on Fridays. </w:t>
      </w:r>
      <w:r w:rsidRPr="00AE4F1D">
        <w:rPr>
          <w:rFonts w:ascii="Cambria" w:hAnsi="Cambria"/>
          <w:i/>
          <w:iCs/>
        </w:rPr>
        <w:t>CMAJ</w:t>
      </w:r>
      <w:r w:rsidRPr="00AE4F1D">
        <w:rPr>
          <w:rFonts w:ascii="Cambria" w:hAnsi="Cambria"/>
        </w:rPr>
        <w:t>. 2002;166(13):1672-1673.</w:t>
      </w:r>
    </w:p>
    <w:p w:rsidR="00AE4F1D" w:rsidRPr="00AE4F1D" w:rsidRDefault="00AE4F1D" w:rsidP="00AE4F1D">
      <w:pPr>
        <w:pStyle w:val="Bibliography"/>
        <w:rPr>
          <w:rFonts w:ascii="Cambria" w:hAnsi="Cambria"/>
        </w:rPr>
      </w:pPr>
      <w:r w:rsidRPr="00AE4F1D">
        <w:rPr>
          <w:rFonts w:ascii="Cambria" w:hAnsi="Cambria"/>
        </w:rPr>
        <w:t xml:space="preserve">11. </w:t>
      </w:r>
      <w:r w:rsidRPr="00AE4F1D">
        <w:rPr>
          <w:rFonts w:ascii="Cambria" w:hAnsi="Cambria"/>
        </w:rPr>
        <w:tab/>
        <w:t>Statistics Canada. 2006 Census Dictionary. 2007. Available at: http://www12.statcan.ca/english/census06/reference/dictionary/index.cfm. Accessed August 15, 2014.</w:t>
      </w:r>
    </w:p>
    <w:p w:rsidR="00AE4F1D" w:rsidRPr="00AE4F1D" w:rsidRDefault="00AE4F1D" w:rsidP="00AE4F1D">
      <w:pPr>
        <w:pStyle w:val="Bibliography"/>
        <w:rPr>
          <w:rFonts w:ascii="Cambria" w:hAnsi="Cambria"/>
        </w:rPr>
      </w:pPr>
      <w:r w:rsidRPr="00AE4F1D">
        <w:rPr>
          <w:rFonts w:ascii="Cambria" w:hAnsi="Cambria"/>
          <w:lang w:val="fr-CA"/>
        </w:rPr>
        <w:lastRenderedPageBreak/>
        <w:t xml:space="preserve">12. </w:t>
      </w:r>
      <w:r w:rsidRPr="00AE4F1D">
        <w:rPr>
          <w:rFonts w:ascii="Cambria" w:hAnsi="Cambria"/>
          <w:lang w:val="fr-CA"/>
        </w:rPr>
        <w:tab/>
        <w:t xml:space="preserve">Gini C. </w:t>
      </w:r>
      <w:r w:rsidRPr="00AE4F1D">
        <w:rPr>
          <w:rFonts w:ascii="Cambria" w:hAnsi="Cambria"/>
          <w:i/>
          <w:iCs/>
          <w:lang w:val="fr-CA"/>
        </w:rPr>
        <w:t>Variabilità e Mutabilità: Contributo allo studio delle distribuzioni e delle relazioni statistiche.</w:t>
      </w:r>
      <w:r w:rsidRPr="00AE4F1D">
        <w:rPr>
          <w:rFonts w:ascii="Cambria" w:hAnsi="Cambria"/>
          <w:lang w:val="fr-CA"/>
        </w:rPr>
        <w:t xml:space="preserve"> </w:t>
      </w:r>
      <w:r w:rsidRPr="00AE4F1D">
        <w:rPr>
          <w:rFonts w:ascii="Cambria" w:hAnsi="Cambria"/>
        </w:rPr>
        <w:t>Bologna: C. Cuppini; 1912.</w:t>
      </w:r>
    </w:p>
    <w:p w:rsidR="00AE4F1D" w:rsidRPr="00AE4F1D" w:rsidRDefault="00AE4F1D" w:rsidP="00AE4F1D">
      <w:pPr>
        <w:pStyle w:val="Bibliography"/>
        <w:rPr>
          <w:rFonts w:ascii="Cambria" w:hAnsi="Cambria"/>
        </w:rPr>
      </w:pPr>
      <w:r w:rsidRPr="00AE4F1D">
        <w:rPr>
          <w:rFonts w:ascii="Cambria" w:hAnsi="Cambria"/>
        </w:rPr>
        <w:t xml:space="preserve">13. </w:t>
      </w:r>
      <w:r w:rsidRPr="00AE4F1D">
        <w:rPr>
          <w:rFonts w:ascii="Cambria" w:hAnsi="Cambria"/>
        </w:rPr>
        <w:tab/>
        <w:t xml:space="preserve">Platt JC. Probabilistic Outputs for Support Vector Machines and Comparisons to Regularized Likelihood Methods. In: </w:t>
      </w:r>
      <w:r w:rsidRPr="00AE4F1D">
        <w:rPr>
          <w:rFonts w:ascii="Cambria" w:hAnsi="Cambria"/>
          <w:i/>
          <w:iCs/>
        </w:rPr>
        <w:t>Advances in Large Margin Classifiers</w:t>
      </w:r>
      <w:r w:rsidRPr="00AE4F1D">
        <w:rPr>
          <w:rFonts w:ascii="Cambria" w:hAnsi="Cambria"/>
        </w:rPr>
        <w:t>. MIT Press; 1999:61–74.</w:t>
      </w:r>
    </w:p>
    <w:p w:rsidR="00AE4F1D" w:rsidRPr="00AE4F1D" w:rsidRDefault="00AE4F1D" w:rsidP="00AE4F1D">
      <w:pPr>
        <w:pStyle w:val="Bibliography"/>
        <w:rPr>
          <w:rFonts w:ascii="Cambria" w:hAnsi="Cambria"/>
        </w:rPr>
      </w:pPr>
      <w:r w:rsidRPr="00AE4F1D">
        <w:rPr>
          <w:rFonts w:ascii="Cambria" w:hAnsi="Cambria"/>
        </w:rPr>
        <w:t xml:space="preserve">14. </w:t>
      </w:r>
      <w:r w:rsidRPr="00AE4F1D">
        <w:rPr>
          <w:rFonts w:ascii="Cambria" w:hAnsi="Cambria"/>
        </w:rPr>
        <w:tab/>
        <w:t xml:space="preserve">Elixhauser A, Steiner C, Harris DR, Coffey RM. Comorbidity Measures for Use with Administrative Data: </w:t>
      </w:r>
      <w:r w:rsidRPr="00AE4F1D">
        <w:rPr>
          <w:rFonts w:ascii="Cambria" w:hAnsi="Cambria"/>
          <w:i/>
          <w:iCs/>
        </w:rPr>
        <w:t>Medical Care</w:t>
      </w:r>
      <w:r w:rsidRPr="00AE4F1D">
        <w:rPr>
          <w:rFonts w:ascii="Cambria" w:hAnsi="Cambria"/>
        </w:rPr>
        <w:t>. 1998;36(1):8-27. doi:10.1097/00005650-199801000-00004.</w:t>
      </w:r>
    </w:p>
    <w:p w:rsidR="00AE4F1D" w:rsidRPr="00AE4F1D" w:rsidRDefault="00AE4F1D" w:rsidP="00AE4F1D">
      <w:pPr>
        <w:pStyle w:val="Bibliography"/>
        <w:rPr>
          <w:rFonts w:ascii="Cambria" w:hAnsi="Cambria"/>
        </w:rPr>
      </w:pPr>
      <w:r w:rsidRPr="00AE4F1D">
        <w:rPr>
          <w:rFonts w:ascii="Cambria" w:hAnsi="Cambria"/>
        </w:rPr>
        <w:t xml:space="preserve">15. </w:t>
      </w:r>
      <w:r w:rsidRPr="00AE4F1D">
        <w:rPr>
          <w:rFonts w:ascii="Cambria" w:hAnsi="Cambria"/>
        </w:rPr>
        <w:tab/>
        <w:t xml:space="preserve">Team RC. </w:t>
      </w:r>
      <w:r w:rsidRPr="00AE4F1D">
        <w:rPr>
          <w:rFonts w:ascii="Cambria" w:hAnsi="Cambria"/>
          <w:i/>
          <w:iCs/>
        </w:rPr>
        <w:t>R: A Language and Environment for Statistical Computing</w:t>
      </w:r>
      <w:r w:rsidRPr="00AE4F1D">
        <w:rPr>
          <w:rFonts w:ascii="Cambria" w:hAnsi="Cambria"/>
        </w:rPr>
        <w:t>. Vienna, Austria: R Foundation for Statistical Computing; 2014. Available at: http://www.R-project.org/.</w:t>
      </w:r>
    </w:p>
    <w:p w:rsidR="00AE4F1D" w:rsidRPr="00AE4F1D" w:rsidRDefault="00AE4F1D" w:rsidP="00AE4F1D">
      <w:pPr>
        <w:pStyle w:val="Bibliography"/>
        <w:rPr>
          <w:rFonts w:ascii="Cambria" w:hAnsi="Cambria"/>
        </w:rPr>
      </w:pPr>
      <w:r w:rsidRPr="00AE4F1D">
        <w:rPr>
          <w:rFonts w:ascii="Cambria" w:hAnsi="Cambria"/>
        </w:rPr>
        <w:t xml:space="preserve">16. </w:t>
      </w:r>
      <w:r w:rsidRPr="00AE4F1D">
        <w:rPr>
          <w:rFonts w:ascii="Cambria" w:hAnsi="Cambria"/>
        </w:rPr>
        <w:tab/>
        <w:t xml:space="preserve">Lim A, Breiman L, Cutler A. </w:t>
      </w:r>
      <w:r w:rsidRPr="00AE4F1D">
        <w:rPr>
          <w:rFonts w:ascii="Cambria" w:hAnsi="Cambria"/>
          <w:i/>
          <w:iCs/>
        </w:rPr>
        <w:t>Bigrf: Big Random Forests: Classification and Regression Forests for Large Data Sets</w:t>
      </w:r>
      <w:r w:rsidRPr="00AE4F1D">
        <w:rPr>
          <w:rFonts w:ascii="Cambria" w:hAnsi="Cambria"/>
        </w:rPr>
        <w:t>.; 2014. Available at: https://github.com/aloysius-lim/bigrf.</w:t>
      </w:r>
    </w:p>
    <w:p w:rsidR="00AE4F1D" w:rsidRPr="00AE4F1D" w:rsidRDefault="00AE4F1D" w:rsidP="00AE4F1D">
      <w:pPr>
        <w:pStyle w:val="Bibliography"/>
        <w:rPr>
          <w:rFonts w:ascii="Cambria" w:hAnsi="Cambria"/>
        </w:rPr>
      </w:pPr>
      <w:r w:rsidRPr="00AE4F1D">
        <w:rPr>
          <w:rFonts w:ascii="Cambria" w:hAnsi="Cambria"/>
        </w:rPr>
        <w:t xml:space="preserve">17. </w:t>
      </w:r>
      <w:r w:rsidRPr="00AE4F1D">
        <w:rPr>
          <w:rFonts w:ascii="Cambria" w:hAnsi="Cambria"/>
        </w:rPr>
        <w:tab/>
        <w:t xml:space="preserve">Wickham H. </w:t>
      </w:r>
      <w:r w:rsidRPr="00AE4F1D">
        <w:rPr>
          <w:rFonts w:ascii="Cambria" w:hAnsi="Cambria"/>
          <w:i/>
          <w:iCs/>
        </w:rPr>
        <w:t>ggplot2: Elegant Graphics for Data Analysis</w:t>
      </w:r>
      <w:r w:rsidRPr="00AE4F1D">
        <w:rPr>
          <w:rFonts w:ascii="Cambria" w:hAnsi="Cambria"/>
        </w:rPr>
        <w:t>. Springer New York; 2009. Available at: http://had.co.nz/ggplot2/book.</w:t>
      </w:r>
    </w:p>
    <w:p w:rsidR="00AE4F1D" w:rsidRPr="00AE4F1D" w:rsidRDefault="00AE4F1D" w:rsidP="00AE4F1D">
      <w:pPr>
        <w:pStyle w:val="Bibliography"/>
        <w:rPr>
          <w:rFonts w:ascii="Cambria" w:hAnsi="Cambria"/>
        </w:rPr>
      </w:pPr>
      <w:r w:rsidRPr="00AE4F1D">
        <w:rPr>
          <w:rFonts w:ascii="Cambria" w:hAnsi="Cambria"/>
        </w:rPr>
        <w:t xml:space="preserve">18. </w:t>
      </w:r>
      <w:r w:rsidRPr="00AE4F1D">
        <w:rPr>
          <w:rFonts w:ascii="Cambria" w:hAnsi="Cambria"/>
        </w:rPr>
        <w:tab/>
        <w:t xml:space="preserve">Cox DR. </w:t>
      </w:r>
      <w:r w:rsidRPr="00AE4F1D">
        <w:rPr>
          <w:rFonts w:ascii="Cambria" w:hAnsi="Cambria"/>
          <w:i/>
          <w:iCs/>
        </w:rPr>
        <w:t>The Analysis of Binary Data</w:t>
      </w:r>
      <w:r w:rsidRPr="00AE4F1D">
        <w:rPr>
          <w:rFonts w:ascii="Cambria" w:hAnsi="Cambria"/>
        </w:rPr>
        <w:t>. London: Methuen; 1970.</w:t>
      </w:r>
    </w:p>
    <w:p w:rsidR="00AE4F1D" w:rsidRPr="00AE4F1D" w:rsidRDefault="00AE4F1D" w:rsidP="00AE4F1D">
      <w:pPr>
        <w:pStyle w:val="Bibliography"/>
        <w:rPr>
          <w:rFonts w:ascii="Cambria" w:hAnsi="Cambria"/>
        </w:rPr>
      </w:pPr>
      <w:r w:rsidRPr="00AE4F1D">
        <w:rPr>
          <w:rFonts w:ascii="Cambria" w:hAnsi="Cambria"/>
        </w:rPr>
        <w:t xml:space="preserve">19. </w:t>
      </w:r>
      <w:r w:rsidRPr="00AE4F1D">
        <w:rPr>
          <w:rFonts w:ascii="Cambria" w:hAnsi="Cambria"/>
        </w:rPr>
        <w:tab/>
        <w:t xml:space="preserve">Silverman BW. </w:t>
      </w:r>
      <w:r w:rsidRPr="00AE4F1D">
        <w:rPr>
          <w:rFonts w:ascii="Cambria" w:hAnsi="Cambria"/>
          <w:i/>
          <w:iCs/>
        </w:rPr>
        <w:t>Density Estimation for Statistics and Data Analysis</w:t>
      </w:r>
      <w:r w:rsidRPr="00AE4F1D">
        <w:rPr>
          <w:rFonts w:ascii="Cambria" w:hAnsi="Cambria"/>
        </w:rPr>
        <w:t>. CRC press; 1986.</w:t>
      </w:r>
    </w:p>
    <w:p w:rsidR="00AE4F1D" w:rsidRPr="00AE4F1D" w:rsidRDefault="00AE4F1D" w:rsidP="00AE4F1D">
      <w:pPr>
        <w:pStyle w:val="Bibliography"/>
        <w:rPr>
          <w:rFonts w:ascii="Cambria" w:hAnsi="Cambria"/>
        </w:rPr>
      </w:pPr>
      <w:r w:rsidRPr="00AE4F1D">
        <w:rPr>
          <w:rFonts w:ascii="Cambria" w:hAnsi="Cambria"/>
        </w:rPr>
        <w:t xml:space="preserve">20. </w:t>
      </w:r>
      <w:r w:rsidRPr="00AE4F1D">
        <w:rPr>
          <w:rFonts w:ascii="Cambria" w:hAnsi="Cambria"/>
        </w:rPr>
        <w:tab/>
        <w:t xml:space="preserve">Van Walraven C, Dhalla IA, Bell C, et al. Derivation and validation of an index to predict early death or unplanned readmission after discharge from hospital to the community. </w:t>
      </w:r>
      <w:r w:rsidRPr="00AE4F1D">
        <w:rPr>
          <w:rFonts w:ascii="Cambria" w:hAnsi="Cambria"/>
          <w:i/>
          <w:iCs/>
        </w:rPr>
        <w:t>Canadian Medical Association Journal</w:t>
      </w:r>
      <w:r w:rsidRPr="00AE4F1D">
        <w:rPr>
          <w:rFonts w:ascii="Cambria" w:hAnsi="Cambria"/>
        </w:rPr>
        <w:t>. 2010;182(6):551-557. doi:10.1503/cmaj.091117.</w:t>
      </w:r>
    </w:p>
    <w:p w:rsidR="00AE4F1D" w:rsidRPr="00AE4F1D" w:rsidRDefault="00AE4F1D" w:rsidP="00AE4F1D">
      <w:pPr>
        <w:pStyle w:val="Bibliography"/>
        <w:rPr>
          <w:rFonts w:ascii="Cambria" w:hAnsi="Cambria"/>
        </w:rPr>
      </w:pPr>
      <w:r w:rsidRPr="00AE4F1D">
        <w:rPr>
          <w:rFonts w:ascii="Cambria" w:hAnsi="Cambria"/>
        </w:rPr>
        <w:t xml:space="preserve">21. </w:t>
      </w:r>
      <w:r w:rsidRPr="00AE4F1D">
        <w:rPr>
          <w:rFonts w:ascii="Cambria" w:hAnsi="Cambria"/>
        </w:rPr>
        <w:tab/>
        <w:t xml:space="preserve">Clarke A. Are readmissions avoidable? </w:t>
      </w:r>
      <w:r w:rsidRPr="00AE4F1D">
        <w:rPr>
          <w:rFonts w:ascii="Cambria" w:hAnsi="Cambria"/>
          <w:i/>
          <w:iCs/>
        </w:rPr>
        <w:t>BMJ</w:t>
      </w:r>
      <w:r w:rsidRPr="00AE4F1D">
        <w:rPr>
          <w:rFonts w:ascii="Cambria" w:hAnsi="Cambria"/>
        </w:rPr>
        <w:t>. 1990;301(6761):1136-1138.</w:t>
      </w:r>
    </w:p>
    <w:p w:rsidR="00AE4F1D" w:rsidRPr="00AE4F1D" w:rsidRDefault="00AE4F1D" w:rsidP="00AE4F1D">
      <w:pPr>
        <w:pStyle w:val="Bibliography"/>
        <w:rPr>
          <w:rFonts w:ascii="Cambria" w:hAnsi="Cambria"/>
        </w:rPr>
      </w:pPr>
      <w:r w:rsidRPr="00AE4F1D">
        <w:rPr>
          <w:rFonts w:ascii="Cambria" w:hAnsi="Cambria"/>
        </w:rPr>
        <w:t xml:space="preserve">22. </w:t>
      </w:r>
      <w:r w:rsidRPr="00AE4F1D">
        <w:rPr>
          <w:rFonts w:ascii="Cambria" w:hAnsi="Cambria"/>
        </w:rPr>
        <w:tab/>
        <w:t xml:space="preserve">Witherington EMA, Pirzada OM, Avery AJ. Communication gaps and readmissions to hospital for patients aged 75 years and older: observational study. </w:t>
      </w:r>
      <w:r w:rsidRPr="00AE4F1D">
        <w:rPr>
          <w:rFonts w:ascii="Cambria" w:hAnsi="Cambria"/>
          <w:i/>
          <w:iCs/>
        </w:rPr>
        <w:t>Quality and Safety in Health Care</w:t>
      </w:r>
      <w:r w:rsidRPr="00AE4F1D">
        <w:rPr>
          <w:rFonts w:ascii="Cambria" w:hAnsi="Cambria"/>
        </w:rPr>
        <w:t>. 2008;17(1):71-75. doi:10.1136/qshc.2006.020842.</w:t>
      </w:r>
    </w:p>
    <w:p w:rsidR="00AE4F1D" w:rsidRPr="00AE4F1D" w:rsidRDefault="00AE4F1D" w:rsidP="00AE4F1D">
      <w:pPr>
        <w:pStyle w:val="Bibliography"/>
        <w:rPr>
          <w:rFonts w:ascii="Cambria" w:hAnsi="Cambria"/>
        </w:rPr>
      </w:pPr>
      <w:r w:rsidRPr="00AE4F1D">
        <w:rPr>
          <w:rFonts w:ascii="Cambria" w:hAnsi="Cambria"/>
        </w:rPr>
        <w:t xml:space="preserve">23. </w:t>
      </w:r>
      <w:r w:rsidRPr="00AE4F1D">
        <w:rPr>
          <w:rFonts w:ascii="Cambria" w:hAnsi="Cambria"/>
        </w:rPr>
        <w:tab/>
        <w:t xml:space="preserve">Stanley A, Graham N, Parrish A. A review of internal medicine re-admissions in a peri-urban South African hospital. </w:t>
      </w:r>
      <w:r w:rsidRPr="00AE4F1D">
        <w:rPr>
          <w:rFonts w:ascii="Cambria" w:hAnsi="Cambria"/>
          <w:i/>
          <w:iCs/>
        </w:rPr>
        <w:t>S Afr Med J</w:t>
      </w:r>
      <w:r w:rsidRPr="00AE4F1D">
        <w:rPr>
          <w:rFonts w:ascii="Cambria" w:hAnsi="Cambria"/>
        </w:rPr>
        <w:t>. 2008;98(4):291-294.</w:t>
      </w:r>
    </w:p>
    <w:p w:rsidR="00AE4F1D" w:rsidRPr="00AE4F1D" w:rsidRDefault="00AE4F1D" w:rsidP="00AE4F1D">
      <w:pPr>
        <w:pStyle w:val="Bibliography"/>
        <w:rPr>
          <w:rFonts w:ascii="Cambria" w:hAnsi="Cambria"/>
        </w:rPr>
      </w:pPr>
      <w:r w:rsidRPr="00AE4F1D">
        <w:rPr>
          <w:rFonts w:ascii="Cambria" w:hAnsi="Cambria"/>
        </w:rPr>
        <w:t xml:space="preserve">24. </w:t>
      </w:r>
      <w:r w:rsidRPr="00AE4F1D">
        <w:rPr>
          <w:rFonts w:ascii="Cambria" w:hAnsi="Cambria"/>
        </w:rPr>
        <w:tab/>
        <w:t xml:space="preserve">Ruiz B, García M, Aguirre U, Aguirre C. Factors predicting hospital readmissions related to adverse drug reactions. </w:t>
      </w:r>
      <w:r w:rsidRPr="00AE4F1D">
        <w:rPr>
          <w:rFonts w:ascii="Cambria" w:hAnsi="Cambria"/>
          <w:i/>
          <w:iCs/>
        </w:rPr>
        <w:t>European Journal of Clinical Pharmacology</w:t>
      </w:r>
      <w:r w:rsidRPr="00AE4F1D">
        <w:rPr>
          <w:rFonts w:ascii="Cambria" w:hAnsi="Cambria"/>
        </w:rPr>
        <w:t>. 2008;64(7):715-722. doi:10.1007/s00228-008-0473-y.</w:t>
      </w:r>
    </w:p>
    <w:p w:rsidR="00AE4F1D" w:rsidRPr="00AE4F1D" w:rsidRDefault="00AE4F1D" w:rsidP="00AE4F1D">
      <w:pPr>
        <w:pStyle w:val="Bibliography"/>
        <w:rPr>
          <w:rFonts w:ascii="Cambria" w:hAnsi="Cambria"/>
        </w:rPr>
      </w:pPr>
      <w:r w:rsidRPr="00AE4F1D">
        <w:rPr>
          <w:rFonts w:ascii="Cambria" w:hAnsi="Cambria"/>
        </w:rPr>
        <w:t xml:space="preserve">25. </w:t>
      </w:r>
      <w:r w:rsidRPr="00AE4F1D">
        <w:rPr>
          <w:rFonts w:ascii="Cambria" w:hAnsi="Cambria"/>
        </w:rPr>
        <w:tab/>
        <w:t xml:space="preserve">Van Walraven C, Jennings A, Taljaard M, et al. Incidence of potentially avoidable urgent readmissions and their relation to all-cause urgent readmissions. </w:t>
      </w:r>
      <w:r w:rsidRPr="00AE4F1D">
        <w:rPr>
          <w:rFonts w:ascii="Cambria" w:hAnsi="Cambria"/>
          <w:i/>
          <w:iCs/>
        </w:rPr>
        <w:t>CMAJ</w:t>
      </w:r>
      <w:r w:rsidRPr="00AE4F1D">
        <w:rPr>
          <w:rFonts w:ascii="Cambria" w:hAnsi="Cambria"/>
        </w:rPr>
        <w:t>. 2011;183(14):E1067-1072. doi:10.1503/cmaj.110400.</w:t>
      </w:r>
    </w:p>
    <w:p w:rsidR="00AE4F1D" w:rsidRPr="00AE4F1D" w:rsidRDefault="00AE4F1D" w:rsidP="00AE4F1D">
      <w:pPr>
        <w:pStyle w:val="Bibliography"/>
        <w:rPr>
          <w:rFonts w:ascii="Cambria" w:hAnsi="Cambria"/>
        </w:rPr>
      </w:pPr>
      <w:r w:rsidRPr="00AE4F1D">
        <w:rPr>
          <w:rFonts w:ascii="Cambria" w:hAnsi="Cambria"/>
        </w:rPr>
        <w:t xml:space="preserve">26. </w:t>
      </w:r>
      <w:r w:rsidRPr="00AE4F1D">
        <w:rPr>
          <w:rFonts w:ascii="Cambria" w:hAnsi="Cambria"/>
        </w:rPr>
        <w:tab/>
        <w:t xml:space="preserve">Halfon P, Eggli Y, van Melle G, Chevalier J, Wasserfallen J-B, Burnand B. Measuring potentially avoidable hospital readmissions. </w:t>
      </w:r>
      <w:r w:rsidRPr="00AE4F1D">
        <w:rPr>
          <w:rFonts w:ascii="Cambria" w:hAnsi="Cambria"/>
          <w:i/>
          <w:iCs/>
        </w:rPr>
        <w:t>Journal of Clinical Epidemiology</w:t>
      </w:r>
      <w:r w:rsidRPr="00AE4F1D">
        <w:rPr>
          <w:rFonts w:ascii="Cambria" w:hAnsi="Cambria"/>
        </w:rPr>
        <w:t>. 2002;55:573-587. doi:10.1016/S0895-4356(01)00521-2.</w:t>
      </w:r>
    </w:p>
    <w:p w:rsidR="00AE4F1D" w:rsidRPr="00AE4F1D" w:rsidRDefault="00AE4F1D" w:rsidP="00AE4F1D">
      <w:pPr>
        <w:pStyle w:val="Bibliography"/>
        <w:rPr>
          <w:rFonts w:ascii="Cambria" w:hAnsi="Cambria"/>
        </w:rPr>
      </w:pPr>
      <w:r w:rsidRPr="00AE4F1D">
        <w:rPr>
          <w:rFonts w:ascii="Cambria" w:hAnsi="Cambria"/>
        </w:rPr>
        <w:t xml:space="preserve">27. </w:t>
      </w:r>
      <w:r w:rsidRPr="00AE4F1D">
        <w:rPr>
          <w:rFonts w:ascii="Cambria" w:hAnsi="Cambria"/>
        </w:rPr>
        <w:tab/>
        <w:t xml:space="preserve">Van Walraven C, Bennett C, Jennings A, Austin PC, Forster AJ. Proportion of hospital readmissions deemed avoidable: a systematic review. </w:t>
      </w:r>
      <w:r w:rsidRPr="00AE4F1D">
        <w:rPr>
          <w:rFonts w:ascii="Cambria" w:hAnsi="Cambria"/>
          <w:i/>
          <w:iCs/>
        </w:rPr>
        <w:t>CMAJ</w:t>
      </w:r>
      <w:r w:rsidRPr="00AE4F1D">
        <w:rPr>
          <w:rFonts w:ascii="Cambria" w:hAnsi="Cambria"/>
        </w:rPr>
        <w:t>. 2011;183(7):E391-402. doi:10.1503/cmaj.101860.</w:t>
      </w:r>
    </w:p>
    <w:p w:rsidR="00AE4F1D" w:rsidRPr="00AE4F1D" w:rsidRDefault="00AE4F1D" w:rsidP="00AE4F1D">
      <w:pPr>
        <w:pStyle w:val="Bibliography"/>
        <w:rPr>
          <w:rFonts w:ascii="Cambria" w:hAnsi="Cambria"/>
        </w:rPr>
      </w:pPr>
      <w:r w:rsidRPr="00AE4F1D">
        <w:rPr>
          <w:rFonts w:ascii="Cambria" w:hAnsi="Cambria"/>
        </w:rPr>
        <w:t xml:space="preserve">28. </w:t>
      </w:r>
      <w:r w:rsidRPr="00AE4F1D">
        <w:rPr>
          <w:rFonts w:ascii="Cambria" w:hAnsi="Cambria"/>
        </w:rPr>
        <w:tab/>
        <w:t xml:space="preserve">Hernán MA, Robins JM. </w:t>
      </w:r>
      <w:r w:rsidRPr="00AE4F1D">
        <w:rPr>
          <w:rFonts w:ascii="Cambria" w:hAnsi="Cambria"/>
          <w:i/>
          <w:iCs/>
        </w:rPr>
        <w:t>Causal Inference (Draft - May 14, 2014 )</w:t>
      </w:r>
      <w:r w:rsidRPr="00AE4F1D">
        <w:rPr>
          <w:rFonts w:ascii="Cambria" w:hAnsi="Cambria"/>
        </w:rPr>
        <w:t>.; 2014. Available at: http://www.hsph.harvard.edu/miguel-hernan/causal-inference-book/. Accessed August 5, 2014.</w:t>
      </w:r>
    </w:p>
    <w:p w:rsidR="00AE4F1D" w:rsidRPr="00AE4F1D" w:rsidRDefault="00AE4F1D" w:rsidP="00AE4F1D">
      <w:pPr>
        <w:pStyle w:val="Bibliography"/>
        <w:rPr>
          <w:rFonts w:ascii="Cambria" w:hAnsi="Cambria"/>
        </w:rPr>
      </w:pPr>
      <w:r w:rsidRPr="00AE4F1D">
        <w:rPr>
          <w:rFonts w:ascii="Cambria" w:hAnsi="Cambria"/>
        </w:rPr>
        <w:lastRenderedPageBreak/>
        <w:t xml:space="preserve">29. </w:t>
      </w:r>
      <w:r w:rsidRPr="00AE4F1D">
        <w:rPr>
          <w:rFonts w:ascii="Cambria" w:hAnsi="Cambria"/>
        </w:rPr>
        <w:tab/>
        <w:t>Ash AS, Fienberg SE, Louis TA, Normand S-LT, Stukel TA, Utts J. Statistical issues in assessing hospital performance: Commission by the Committee of Presidents of Statistical Societies (white paper). 2012. Available at: https://www.cms.gov/Medicare/Quality-Initiatives-Patient-Assessment-Instruments/HospitalQualityInits/Downloads/Statistical-Issues-in-Assessing-Hospital-Performance.pdf. Accessed June 4, 2012.</w:t>
      </w:r>
    </w:p>
    <w:p w:rsidR="00AE4F1D" w:rsidRPr="00AE4F1D" w:rsidRDefault="00AE4F1D" w:rsidP="00AE4F1D">
      <w:pPr>
        <w:pStyle w:val="Bibliography"/>
        <w:rPr>
          <w:rFonts w:ascii="Cambria" w:hAnsi="Cambria"/>
        </w:rPr>
      </w:pPr>
      <w:r w:rsidRPr="00AE4F1D">
        <w:rPr>
          <w:rFonts w:ascii="Cambria" w:hAnsi="Cambria"/>
        </w:rPr>
        <w:t xml:space="preserve">30. </w:t>
      </w:r>
      <w:r w:rsidRPr="00AE4F1D">
        <w:rPr>
          <w:rFonts w:ascii="Cambria" w:hAnsi="Cambria"/>
        </w:rPr>
        <w:tab/>
        <w:t xml:space="preserve">Epstein AM, Jha AK, Orav EJ. The relationship between hospital admission rates and rehospitalizations. </w:t>
      </w:r>
      <w:r w:rsidRPr="00AE4F1D">
        <w:rPr>
          <w:rFonts w:ascii="Cambria" w:hAnsi="Cambria"/>
          <w:i/>
          <w:iCs/>
        </w:rPr>
        <w:t>N Engl J Med</w:t>
      </w:r>
      <w:r w:rsidRPr="00AE4F1D">
        <w:rPr>
          <w:rFonts w:ascii="Cambria" w:hAnsi="Cambria"/>
        </w:rPr>
        <w:t>. 2011;365(24):2287-2295. doi:10.1056/NEJMsa1101942.</w:t>
      </w:r>
    </w:p>
    <w:p w:rsidR="00AE4F1D" w:rsidRPr="00AE4F1D" w:rsidRDefault="00AE4F1D" w:rsidP="00AE4F1D">
      <w:pPr>
        <w:pStyle w:val="Bibliography"/>
        <w:rPr>
          <w:rFonts w:ascii="Cambria" w:hAnsi="Cambria"/>
        </w:rPr>
      </w:pPr>
      <w:r w:rsidRPr="00AE4F1D">
        <w:rPr>
          <w:rFonts w:ascii="Cambria" w:hAnsi="Cambria"/>
        </w:rPr>
        <w:t xml:space="preserve">31. </w:t>
      </w:r>
      <w:r w:rsidRPr="00AE4F1D">
        <w:rPr>
          <w:rFonts w:ascii="Cambria" w:hAnsi="Cambria"/>
        </w:rPr>
        <w:tab/>
        <w:t xml:space="preserve">Pearl J. Causal diagrams for empirical research. </w:t>
      </w:r>
      <w:r w:rsidRPr="00AE4F1D">
        <w:rPr>
          <w:rFonts w:ascii="Cambria" w:hAnsi="Cambria"/>
          <w:i/>
          <w:iCs/>
        </w:rPr>
        <w:t>Biometrika</w:t>
      </w:r>
      <w:r w:rsidRPr="00AE4F1D">
        <w:rPr>
          <w:rFonts w:ascii="Cambria" w:hAnsi="Cambria"/>
        </w:rPr>
        <w:t>. 1995;82(4):669-688. doi:10.1093/biomet/82.4.669.</w:t>
      </w:r>
    </w:p>
    <w:p w:rsidR="00AE4F1D" w:rsidRPr="00AE4F1D" w:rsidRDefault="00AE4F1D" w:rsidP="00AE4F1D">
      <w:pPr>
        <w:pStyle w:val="Bibliography"/>
        <w:rPr>
          <w:rFonts w:ascii="Cambria" w:hAnsi="Cambria"/>
        </w:rPr>
      </w:pPr>
      <w:r w:rsidRPr="00AE4F1D">
        <w:rPr>
          <w:rFonts w:ascii="Cambria" w:hAnsi="Cambria"/>
        </w:rPr>
        <w:t xml:space="preserve">32. </w:t>
      </w:r>
      <w:r w:rsidRPr="00AE4F1D">
        <w:rPr>
          <w:rFonts w:ascii="Cambria" w:hAnsi="Cambria"/>
        </w:rPr>
        <w:tab/>
        <w:t xml:space="preserve">Greenland S. Quantifying biases in causal models: classical confounding vs collider-stratification bias. </w:t>
      </w:r>
      <w:r w:rsidRPr="00AE4F1D">
        <w:rPr>
          <w:rFonts w:ascii="Cambria" w:hAnsi="Cambria"/>
          <w:i/>
          <w:iCs/>
        </w:rPr>
        <w:t>Epidemiology</w:t>
      </w:r>
      <w:r w:rsidRPr="00AE4F1D">
        <w:rPr>
          <w:rFonts w:ascii="Cambria" w:hAnsi="Cambria"/>
        </w:rPr>
        <w:t>. 2003;14(3):300-306.</w:t>
      </w:r>
    </w:p>
    <w:p w:rsidR="00AE4F1D" w:rsidRPr="00AE4F1D" w:rsidRDefault="00AE4F1D" w:rsidP="00AE4F1D">
      <w:pPr>
        <w:pStyle w:val="Bibliography"/>
        <w:rPr>
          <w:rFonts w:ascii="Cambria" w:hAnsi="Cambria"/>
        </w:rPr>
      </w:pPr>
      <w:r w:rsidRPr="00AE4F1D">
        <w:rPr>
          <w:rFonts w:ascii="Cambria" w:hAnsi="Cambria"/>
        </w:rPr>
        <w:t xml:space="preserve">33. </w:t>
      </w:r>
      <w:r w:rsidRPr="00AE4F1D">
        <w:rPr>
          <w:rFonts w:ascii="Cambria" w:hAnsi="Cambria"/>
        </w:rPr>
        <w:tab/>
        <w:t xml:space="preserve">Liu W, Brookhart MA, Schneeweiss S, Mi X, Setoguchi S. Implications of M Bias in Epidemiologic Studies: A Simulation Study. </w:t>
      </w:r>
      <w:r w:rsidRPr="00AE4F1D">
        <w:rPr>
          <w:rFonts w:ascii="Cambria" w:hAnsi="Cambria"/>
          <w:i/>
          <w:iCs/>
        </w:rPr>
        <w:t>American Journal of Epidemiology</w:t>
      </w:r>
      <w:r w:rsidRPr="00AE4F1D">
        <w:rPr>
          <w:rFonts w:ascii="Cambria" w:hAnsi="Cambria"/>
        </w:rPr>
        <w:t>. 2012;176(10):938-948. doi:10.1093/aje/kws165.</w:t>
      </w:r>
    </w:p>
    <w:p w:rsidR="00AE4F1D" w:rsidRPr="00AE4F1D" w:rsidRDefault="00AE4F1D" w:rsidP="00AE4F1D">
      <w:pPr>
        <w:pStyle w:val="Bibliography"/>
        <w:rPr>
          <w:rFonts w:ascii="Cambria" w:hAnsi="Cambria"/>
        </w:rPr>
      </w:pPr>
      <w:r w:rsidRPr="00AE4F1D">
        <w:rPr>
          <w:rFonts w:ascii="Cambria" w:hAnsi="Cambria"/>
        </w:rPr>
        <w:t xml:space="preserve">34. </w:t>
      </w:r>
      <w:r w:rsidRPr="00AE4F1D">
        <w:rPr>
          <w:rFonts w:ascii="Cambria" w:hAnsi="Cambria"/>
        </w:rPr>
        <w:tab/>
        <w:t xml:space="preserve">Van der Laan MJ, Polley EC, Hubbard AE. Super Learner. </w:t>
      </w:r>
      <w:r w:rsidRPr="00AE4F1D">
        <w:rPr>
          <w:rFonts w:ascii="Cambria" w:hAnsi="Cambria"/>
          <w:i/>
          <w:iCs/>
        </w:rPr>
        <w:t>Statistical Applications in Genetics and Molecular Biology</w:t>
      </w:r>
      <w:r w:rsidRPr="00AE4F1D">
        <w:rPr>
          <w:rFonts w:ascii="Cambria" w:hAnsi="Cambria"/>
        </w:rPr>
        <w:t>. 2007;6(1). doi:10.2202/1544-6115.1309.</w:t>
      </w:r>
    </w:p>
    <w:p w:rsidR="00AE4F1D" w:rsidRPr="00AE4F1D" w:rsidRDefault="00AE4F1D" w:rsidP="00AE4F1D">
      <w:pPr>
        <w:pStyle w:val="Bibliography"/>
        <w:rPr>
          <w:rFonts w:ascii="Cambria" w:hAnsi="Cambria"/>
        </w:rPr>
      </w:pPr>
      <w:r w:rsidRPr="00AE4F1D">
        <w:rPr>
          <w:rFonts w:ascii="Cambria" w:hAnsi="Cambria"/>
        </w:rPr>
        <w:t xml:space="preserve">35. </w:t>
      </w:r>
      <w:r w:rsidRPr="00AE4F1D">
        <w:rPr>
          <w:rFonts w:ascii="Cambria" w:hAnsi="Cambria"/>
        </w:rPr>
        <w:tab/>
        <w:t xml:space="preserve">Donabedian A. Evaluating the quality of medical care. </w:t>
      </w:r>
      <w:r w:rsidRPr="00AE4F1D">
        <w:rPr>
          <w:rFonts w:ascii="Cambria" w:hAnsi="Cambria"/>
          <w:i/>
          <w:iCs/>
        </w:rPr>
        <w:t>Milbank Mem Fund Q</w:t>
      </w:r>
      <w:r w:rsidRPr="00AE4F1D">
        <w:rPr>
          <w:rFonts w:ascii="Cambria" w:hAnsi="Cambria"/>
        </w:rPr>
        <w:t>. 1966;44(3):Suppl:166-206.</w:t>
      </w:r>
    </w:p>
    <w:p w:rsidR="00AE4F1D" w:rsidRDefault="00AE4F1D" w:rsidP="00AE4F1D">
      <w:pPr>
        <w:sectPr w:rsidR="00AE4F1D" w:rsidSect="00D03CD4">
          <w:pgSz w:w="12240" w:h="15840"/>
          <w:pgMar w:top="720" w:right="720" w:bottom="720" w:left="720" w:header="720" w:footer="720" w:gutter="0"/>
          <w:cols w:space="720"/>
          <w:docGrid w:linePitch="326"/>
        </w:sectPr>
      </w:pPr>
      <w:r>
        <w:fldChar w:fldCharType="end"/>
      </w:r>
    </w:p>
    <w:p w:rsidR="0029010F" w:rsidRDefault="00D03CD4">
      <w:pPr>
        <w:pStyle w:val="Heading1"/>
      </w:pPr>
      <w:r>
        <w:lastRenderedPageBreak/>
        <w:t>Appendix</w:t>
      </w:r>
    </w:p>
    <w:p w:rsidR="00AE4F1D" w:rsidRDefault="00D03CD4" w:rsidP="00AE4F1D">
      <w:pPr>
        <w:keepNext/>
      </w:pPr>
      <w:r>
        <w:rPr>
          <w:noProof/>
          <w:lang w:val="en-CA" w:eastAsia="en-CA"/>
        </w:rPr>
        <w:drawing>
          <wp:inline distT="0" distB="0" distL="0" distR="0" wp14:anchorId="01806958" wp14:editId="3655F45D">
            <wp:extent cx="6886800" cy="336240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error_rate_g_and_Q.png"/>
                    <pic:cNvPicPr>
                      <a:picLocks noChangeAspect="1" noChangeArrowheads="1"/>
                    </pic:cNvPicPr>
                  </pic:nvPicPr>
                  <pic:blipFill>
                    <a:blip r:embed="rId10"/>
                    <a:stretch>
                      <a:fillRect/>
                    </a:stretch>
                  </pic:blipFill>
                  <pic:spPr bwMode="auto">
                    <a:xfrm>
                      <a:off x="0" y="0"/>
                      <a:ext cx="6886800" cy="3362400"/>
                    </a:xfrm>
                    <a:prstGeom prst="rect">
                      <a:avLst/>
                    </a:prstGeom>
                    <a:noFill/>
                    <a:ln w="9525">
                      <a:noFill/>
                      <a:headEnd/>
                      <a:tailEnd/>
                    </a:ln>
                  </pic:spPr>
                </pic:pic>
              </a:graphicData>
            </a:graphic>
          </wp:inline>
        </w:drawing>
      </w:r>
    </w:p>
    <w:p w:rsidR="0029010F" w:rsidRDefault="00AE4F1D" w:rsidP="00AE4F1D">
      <w:r>
        <w:t xml:space="preserve">Figure </w:t>
      </w:r>
      <w:r>
        <w:fldChar w:fldCharType="begin"/>
      </w:r>
      <w:r>
        <w:instrText xml:space="preserve"> SEQ Figure \* ARABIC </w:instrText>
      </w:r>
      <w:r>
        <w:fldChar w:fldCharType="separate"/>
      </w:r>
      <w:r>
        <w:rPr>
          <w:noProof/>
        </w:rPr>
        <w:t>3</w:t>
      </w:r>
      <w:r>
        <w:fldChar w:fldCharType="end"/>
      </w:r>
      <w:r>
        <w:t xml:space="preserve"> – </w:t>
      </w:r>
      <w:r w:rsidRPr="00AE4F1D">
        <w:rPr>
          <w:b/>
          <w:bCs/>
          <w:lang w:val="en-CA"/>
        </w:rPr>
        <w:t xml:space="preserve"> </w:t>
      </w:r>
      <w:r w:rsidRPr="00AE4F1D">
        <w:rPr>
          <w:lang w:val="en-CA"/>
        </w:rPr>
        <w:t>Error rate for both random forest models of hospital choice (</w:t>
      </w:r>
      <w:r w:rsidRPr="00AE4F1D">
        <w:rPr>
          <w:i/>
          <w:iCs/>
          <w:lang w:val="en-CA"/>
        </w:rPr>
        <w:t>g</w:t>
      </w:r>
      <w:r w:rsidRPr="00AE4F1D">
        <w:rPr>
          <w:lang w:val="en-CA"/>
        </w:rPr>
        <w:t>) and readmission (</w:t>
      </w:r>
      <w:r w:rsidRPr="00AE4F1D">
        <w:rPr>
          <w:i/>
          <w:iCs/>
          <w:lang w:val="en-CA"/>
        </w:rPr>
        <w:t>Q</w:t>
      </w:r>
      <w:r w:rsidRPr="00AE4F1D">
        <w:rPr>
          <w:lang w:val="en-CA"/>
        </w:rPr>
        <w:t>) as a function of the number of trees grown.</w:t>
      </w:r>
      <w:r>
        <w:rPr>
          <w:lang w:val="en-CA"/>
        </w:rPr>
        <w:t xml:space="preserve"> </w:t>
      </w:r>
      <w:r w:rsidRPr="00AE4F1D">
        <w:rPr>
          <w:lang w:val="en-CA"/>
        </w:rPr>
        <w:t>For each admission, only out-of-bag trees were used to predict the given outcome.</w:t>
      </w:r>
    </w:p>
    <w:p w:rsidR="006F2D0A" w:rsidRDefault="00D03CD4" w:rsidP="006F2D0A">
      <w:pPr>
        <w:keepNext/>
      </w:pPr>
      <w:r>
        <w:rPr>
          <w:noProof/>
          <w:lang w:val="en-CA" w:eastAsia="en-CA"/>
        </w:rPr>
        <w:lastRenderedPageBreak/>
        <w:drawing>
          <wp:inline distT="0" distB="0" distL="0" distR="0" wp14:anchorId="363F62A4" wp14:editId="38B80971">
            <wp:extent cx="6886800" cy="82764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dist_g_zoomed.png"/>
                    <pic:cNvPicPr>
                      <a:picLocks noChangeAspect="1" noChangeArrowheads="1"/>
                    </pic:cNvPicPr>
                  </pic:nvPicPr>
                  <pic:blipFill>
                    <a:blip r:embed="rId11"/>
                    <a:stretch>
                      <a:fillRect/>
                    </a:stretch>
                  </pic:blipFill>
                  <pic:spPr bwMode="auto">
                    <a:xfrm>
                      <a:off x="0" y="0"/>
                      <a:ext cx="6886800" cy="8276400"/>
                    </a:xfrm>
                    <a:prstGeom prst="rect">
                      <a:avLst/>
                    </a:prstGeom>
                    <a:noFill/>
                    <a:ln w="9525">
                      <a:noFill/>
                      <a:headEnd/>
                      <a:tailEnd/>
                    </a:ln>
                  </pic:spPr>
                </pic:pic>
              </a:graphicData>
            </a:graphic>
          </wp:inline>
        </w:drawing>
      </w:r>
    </w:p>
    <w:p w:rsidR="0029010F" w:rsidRPr="006F2D0A" w:rsidRDefault="006F2D0A" w:rsidP="006F2D0A">
      <w:pPr>
        <w:rPr>
          <w:i/>
          <w:iCs/>
        </w:rPr>
      </w:pPr>
      <w:r>
        <w:t xml:space="preserve">Figure </w:t>
      </w:r>
      <w:r>
        <w:fldChar w:fldCharType="begin"/>
      </w:r>
      <w:r>
        <w:instrText xml:space="preserve"> SEQ Figure \* ARABIC </w:instrText>
      </w:r>
      <w:r>
        <w:fldChar w:fldCharType="separate"/>
      </w:r>
      <w:r w:rsidR="00AE4F1D">
        <w:rPr>
          <w:noProof/>
        </w:rPr>
        <w:t>4</w:t>
      </w:r>
      <w:r>
        <w:fldChar w:fldCharType="end"/>
      </w:r>
      <w:r>
        <w:t xml:space="preserve"> – </w:t>
      </w:r>
      <w:r w:rsidRPr="006F2D0A">
        <w:rPr>
          <w:i/>
          <w:iCs/>
        </w:rPr>
        <w:t>Histogram of the probability of exposure (</w:t>
      </w:r>
      <m:oMath>
        <m:r>
          <w:rPr>
            <w:rFonts w:ascii="Cambria Math" w:hAnsi="Cambria Math"/>
          </w:rPr>
          <m:t>g</m:t>
        </m:r>
      </m:oMath>
      <w:r w:rsidRPr="006F2D0A">
        <w:rPr>
          <w:i/>
          <w:iCs/>
        </w:rPr>
        <w:t xml:space="preserve">), restricted to the range of (0,0.05). The bin width is 0.005. The dotted red lines indicate the two values of </w:t>
      </w:r>
      <m:oMath>
        <m:r>
          <w:rPr>
            <w:rFonts w:ascii="Cambria Math" w:hAnsi="Cambria Math"/>
          </w:rPr>
          <m:t>δ</m:t>
        </m:r>
      </m:oMath>
      <w:r w:rsidRPr="006F2D0A">
        <w:rPr>
          <w:i/>
          <w:iCs/>
        </w:rPr>
        <w:t xml:space="preserve"> used in Tables 1, 2, and 3. </w:t>
      </w:r>
    </w:p>
    <w:sectPr w:rsidR="0029010F" w:rsidRPr="006F2D0A" w:rsidSect="00D03CD4">
      <w:pgSz w:w="12240" w:h="15840"/>
      <w:pgMar w:top="720" w:right="720" w:bottom="720" w:left="72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AB1BE5"/>
    <w:multiLevelType w:val="multilevel"/>
    <w:tmpl w:val="7D940B1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1F0A42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8994794"/>
    <w:multiLevelType w:val="multilevel"/>
    <w:tmpl w:val="0400B7F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w:rsids>
    <w:rsidRoot w:val="00590D07"/>
    <w:rsid w:val="00011C8B"/>
    <w:rsid w:val="000C2F31"/>
    <w:rsid w:val="0013314E"/>
    <w:rsid w:val="0029010F"/>
    <w:rsid w:val="0030156D"/>
    <w:rsid w:val="003A7796"/>
    <w:rsid w:val="003B5FEB"/>
    <w:rsid w:val="004E29B3"/>
    <w:rsid w:val="00590D07"/>
    <w:rsid w:val="006A5941"/>
    <w:rsid w:val="006C6AA4"/>
    <w:rsid w:val="006F2D0A"/>
    <w:rsid w:val="00784D58"/>
    <w:rsid w:val="007C518B"/>
    <w:rsid w:val="008A0BF6"/>
    <w:rsid w:val="008D6863"/>
    <w:rsid w:val="009B2E2F"/>
    <w:rsid w:val="00AE4F1D"/>
    <w:rsid w:val="00B86B75"/>
    <w:rsid w:val="00BC48D5"/>
    <w:rsid w:val="00C248FE"/>
    <w:rsid w:val="00C36279"/>
    <w:rsid w:val="00CC3D8F"/>
    <w:rsid w:val="00D03CD4"/>
    <w:rsid w:val="00DA27C8"/>
    <w:rsid w:val="00E16E4E"/>
    <w:rsid w:val="00E315A3"/>
    <w:rsid w:val="00E6242A"/>
    <w:rsid w:val="00EB1399"/>
  </w:rsids>
  <m:mathPr>
    <m:mathFont m:val="Cambria Math"/>
    <m:brkBin m:val="before"/>
    <m:brkBinSub m:val="--"/>
    <m:smallFrac m:val="0"/>
    <m:dispDef m:val="0"/>
    <m:lMargin m:val="0"/>
    <m:rMargin m:val="0"/>
    <m:defJc m:val="centerGroup"/>
    <m:wrapRight/>
    <m:intLim m:val="subSup"/>
    <m:naryLim m:val="subSup"/>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rsid w:val="00D04908"/>
    <w:pPr>
      <w:spacing w:before="180" w:after="180" w:line="300" w:lineRule="auto"/>
    </w:pPr>
  </w:style>
  <w:style w:type="paragraph" w:styleId="Heading1">
    <w:name w:val="heading 1"/>
    <w:basedOn w:val="Normal"/>
    <w:next w:val="Normal"/>
    <w:uiPriority w:val="9"/>
    <w:qFormat/>
    <w:rsid w:val="00D04908"/>
    <w:pPr>
      <w:keepNext/>
      <w:keepLines/>
      <w:spacing w:before="480" w:after="0"/>
      <w:outlineLvl w:val="0"/>
    </w:pPr>
    <w:rPr>
      <w:rFonts w:eastAsiaTheme="majorEastAsia" w:cstheme="majorBidi"/>
      <w:b/>
      <w:bCs/>
      <w:sz w:val="32"/>
      <w:szCs w:val="32"/>
    </w:rPr>
  </w:style>
  <w:style w:type="paragraph" w:styleId="Heading2">
    <w:name w:val="heading 2"/>
    <w:basedOn w:val="Normal"/>
    <w:next w:val="Normal"/>
    <w:uiPriority w:val="9"/>
    <w:unhideWhenUsed/>
    <w:qFormat/>
    <w:rsid w:val="00D04908"/>
    <w:pPr>
      <w:keepNext/>
      <w:keepLines/>
      <w:spacing w:before="200" w:after="0"/>
      <w:outlineLvl w:val="1"/>
    </w:pPr>
    <w:rPr>
      <w:rFonts w:eastAsiaTheme="majorEastAsia" w:cstheme="majorBidi"/>
      <w:b/>
      <w:bCs/>
      <w:sz w:val="28"/>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E0A3A"/>
    <w:pPr>
      <w:keepNext/>
      <w:keepLines/>
      <w:spacing w:before="480" w:after="240"/>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pPr>
      <w:tabs>
        <w:tab w:val="left" w:pos="504"/>
      </w:tabs>
      <w:spacing w:after="240" w:line="240" w:lineRule="auto"/>
      <w:ind w:left="504" w:hanging="504"/>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styleId="BalloonText">
    <w:name w:val="Balloon Text"/>
    <w:basedOn w:val="Normal"/>
    <w:link w:val="BalloonTextChar"/>
    <w:rsid w:val="00D04908"/>
    <w:pPr>
      <w:spacing w:before="0" w:after="0"/>
    </w:pPr>
    <w:rPr>
      <w:rFonts w:ascii="Tahoma" w:hAnsi="Tahoma" w:cs="Tahoma"/>
      <w:sz w:val="16"/>
      <w:szCs w:val="16"/>
    </w:rPr>
  </w:style>
  <w:style w:type="character" w:customStyle="1" w:styleId="BalloonTextChar">
    <w:name w:val="Balloon Text Char"/>
    <w:basedOn w:val="DefaultParagraphFont"/>
    <w:link w:val="BalloonText"/>
    <w:rsid w:val="00D04908"/>
    <w:rPr>
      <w:rFonts w:ascii="Tahoma" w:hAnsi="Tahoma" w:cs="Tahoma"/>
      <w:sz w:val="16"/>
      <w:szCs w:val="16"/>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Caption">
    <w:name w:val="caption"/>
    <w:basedOn w:val="Normal"/>
    <w:next w:val="Normal"/>
    <w:rsid w:val="003A7796"/>
    <w:pPr>
      <w:spacing w:before="0" w:after="200" w:line="240" w:lineRule="auto"/>
    </w:pPr>
    <w:rPr>
      <w:b/>
      <w:bCs/>
      <w:color w:val="4F81BD" w:themeColor="accent1"/>
      <w:sz w:val="18"/>
      <w:szCs w:val="18"/>
    </w:rPr>
  </w:style>
  <w:style w:type="table" w:styleId="TableGrid">
    <w:name w:val="Table Grid"/>
    <w:basedOn w:val="TableNormal"/>
    <w:rsid w:val="003B5FE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027660">
      <w:bodyDiv w:val="1"/>
      <w:marLeft w:val="0"/>
      <w:marRight w:val="0"/>
      <w:marTop w:val="0"/>
      <w:marBottom w:val="0"/>
      <w:divBdr>
        <w:top w:val="none" w:sz="0" w:space="0" w:color="auto"/>
        <w:left w:val="none" w:sz="0" w:space="0" w:color="auto"/>
        <w:bottom w:val="none" w:sz="0" w:space="0" w:color="auto"/>
        <w:right w:val="none" w:sz="0" w:space="0" w:color="auto"/>
      </w:divBdr>
    </w:div>
    <w:div w:id="288051679">
      <w:bodyDiv w:val="1"/>
      <w:marLeft w:val="0"/>
      <w:marRight w:val="0"/>
      <w:marTop w:val="0"/>
      <w:marBottom w:val="0"/>
      <w:divBdr>
        <w:top w:val="none" w:sz="0" w:space="0" w:color="auto"/>
        <w:left w:val="none" w:sz="0" w:space="0" w:color="auto"/>
        <w:bottom w:val="none" w:sz="0" w:space="0" w:color="auto"/>
        <w:right w:val="none" w:sz="0" w:space="0" w:color="auto"/>
      </w:divBdr>
    </w:div>
    <w:div w:id="484980832">
      <w:bodyDiv w:val="1"/>
      <w:marLeft w:val="0"/>
      <w:marRight w:val="0"/>
      <w:marTop w:val="0"/>
      <w:marBottom w:val="0"/>
      <w:divBdr>
        <w:top w:val="none" w:sz="0" w:space="0" w:color="auto"/>
        <w:left w:val="none" w:sz="0" w:space="0" w:color="auto"/>
        <w:bottom w:val="none" w:sz="0" w:space="0" w:color="auto"/>
        <w:right w:val="none" w:sz="0" w:space="0" w:color="auto"/>
      </w:divBdr>
    </w:div>
    <w:div w:id="544563618">
      <w:bodyDiv w:val="1"/>
      <w:marLeft w:val="0"/>
      <w:marRight w:val="0"/>
      <w:marTop w:val="0"/>
      <w:marBottom w:val="0"/>
      <w:divBdr>
        <w:top w:val="none" w:sz="0" w:space="0" w:color="auto"/>
        <w:left w:val="none" w:sz="0" w:space="0" w:color="auto"/>
        <w:bottom w:val="none" w:sz="0" w:space="0" w:color="auto"/>
        <w:right w:val="none" w:sz="0" w:space="0" w:color="auto"/>
      </w:divBdr>
    </w:div>
    <w:div w:id="607927097">
      <w:bodyDiv w:val="1"/>
      <w:marLeft w:val="0"/>
      <w:marRight w:val="0"/>
      <w:marTop w:val="0"/>
      <w:marBottom w:val="0"/>
      <w:divBdr>
        <w:top w:val="none" w:sz="0" w:space="0" w:color="auto"/>
        <w:left w:val="none" w:sz="0" w:space="0" w:color="auto"/>
        <w:bottom w:val="none" w:sz="0" w:space="0" w:color="auto"/>
        <w:right w:val="none" w:sz="0" w:space="0" w:color="auto"/>
      </w:divBdr>
    </w:div>
    <w:div w:id="625896059">
      <w:bodyDiv w:val="1"/>
      <w:marLeft w:val="0"/>
      <w:marRight w:val="0"/>
      <w:marTop w:val="0"/>
      <w:marBottom w:val="0"/>
      <w:divBdr>
        <w:top w:val="none" w:sz="0" w:space="0" w:color="auto"/>
        <w:left w:val="none" w:sz="0" w:space="0" w:color="auto"/>
        <w:bottom w:val="none" w:sz="0" w:space="0" w:color="auto"/>
        <w:right w:val="none" w:sz="0" w:space="0" w:color="auto"/>
      </w:divBdr>
    </w:div>
    <w:div w:id="773861022">
      <w:bodyDiv w:val="1"/>
      <w:marLeft w:val="0"/>
      <w:marRight w:val="0"/>
      <w:marTop w:val="0"/>
      <w:marBottom w:val="0"/>
      <w:divBdr>
        <w:top w:val="none" w:sz="0" w:space="0" w:color="auto"/>
        <w:left w:val="none" w:sz="0" w:space="0" w:color="auto"/>
        <w:bottom w:val="none" w:sz="0" w:space="0" w:color="auto"/>
        <w:right w:val="none" w:sz="0" w:space="0" w:color="auto"/>
      </w:divBdr>
    </w:div>
    <w:div w:id="809899887">
      <w:bodyDiv w:val="1"/>
      <w:marLeft w:val="0"/>
      <w:marRight w:val="0"/>
      <w:marTop w:val="0"/>
      <w:marBottom w:val="0"/>
      <w:divBdr>
        <w:top w:val="none" w:sz="0" w:space="0" w:color="auto"/>
        <w:left w:val="none" w:sz="0" w:space="0" w:color="auto"/>
        <w:bottom w:val="none" w:sz="0" w:space="0" w:color="auto"/>
        <w:right w:val="none" w:sz="0" w:space="0" w:color="auto"/>
      </w:divBdr>
    </w:div>
    <w:div w:id="847259015">
      <w:bodyDiv w:val="1"/>
      <w:marLeft w:val="0"/>
      <w:marRight w:val="0"/>
      <w:marTop w:val="0"/>
      <w:marBottom w:val="0"/>
      <w:divBdr>
        <w:top w:val="none" w:sz="0" w:space="0" w:color="auto"/>
        <w:left w:val="none" w:sz="0" w:space="0" w:color="auto"/>
        <w:bottom w:val="none" w:sz="0" w:space="0" w:color="auto"/>
        <w:right w:val="none" w:sz="0" w:space="0" w:color="auto"/>
      </w:divBdr>
    </w:div>
    <w:div w:id="850070130">
      <w:bodyDiv w:val="1"/>
      <w:marLeft w:val="0"/>
      <w:marRight w:val="0"/>
      <w:marTop w:val="0"/>
      <w:marBottom w:val="0"/>
      <w:divBdr>
        <w:top w:val="none" w:sz="0" w:space="0" w:color="auto"/>
        <w:left w:val="none" w:sz="0" w:space="0" w:color="auto"/>
        <w:bottom w:val="none" w:sz="0" w:space="0" w:color="auto"/>
        <w:right w:val="none" w:sz="0" w:space="0" w:color="auto"/>
      </w:divBdr>
    </w:div>
    <w:div w:id="852837295">
      <w:bodyDiv w:val="1"/>
      <w:marLeft w:val="0"/>
      <w:marRight w:val="0"/>
      <w:marTop w:val="0"/>
      <w:marBottom w:val="0"/>
      <w:divBdr>
        <w:top w:val="none" w:sz="0" w:space="0" w:color="auto"/>
        <w:left w:val="none" w:sz="0" w:space="0" w:color="auto"/>
        <w:bottom w:val="none" w:sz="0" w:space="0" w:color="auto"/>
        <w:right w:val="none" w:sz="0" w:space="0" w:color="auto"/>
      </w:divBdr>
    </w:div>
    <w:div w:id="1002198994">
      <w:bodyDiv w:val="1"/>
      <w:marLeft w:val="0"/>
      <w:marRight w:val="0"/>
      <w:marTop w:val="0"/>
      <w:marBottom w:val="0"/>
      <w:divBdr>
        <w:top w:val="none" w:sz="0" w:space="0" w:color="auto"/>
        <w:left w:val="none" w:sz="0" w:space="0" w:color="auto"/>
        <w:bottom w:val="none" w:sz="0" w:space="0" w:color="auto"/>
        <w:right w:val="none" w:sz="0" w:space="0" w:color="auto"/>
      </w:divBdr>
    </w:div>
    <w:div w:id="1023627572">
      <w:bodyDiv w:val="1"/>
      <w:marLeft w:val="0"/>
      <w:marRight w:val="0"/>
      <w:marTop w:val="0"/>
      <w:marBottom w:val="0"/>
      <w:divBdr>
        <w:top w:val="none" w:sz="0" w:space="0" w:color="auto"/>
        <w:left w:val="none" w:sz="0" w:space="0" w:color="auto"/>
        <w:bottom w:val="none" w:sz="0" w:space="0" w:color="auto"/>
        <w:right w:val="none" w:sz="0" w:space="0" w:color="auto"/>
      </w:divBdr>
    </w:div>
    <w:div w:id="1070494778">
      <w:bodyDiv w:val="1"/>
      <w:marLeft w:val="0"/>
      <w:marRight w:val="0"/>
      <w:marTop w:val="0"/>
      <w:marBottom w:val="0"/>
      <w:divBdr>
        <w:top w:val="none" w:sz="0" w:space="0" w:color="auto"/>
        <w:left w:val="none" w:sz="0" w:space="0" w:color="auto"/>
        <w:bottom w:val="none" w:sz="0" w:space="0" w:color="auto"/>
        <w:right w:val="none" w:sz="0" w:space="0" w:color="auto"/>
      </w:divBdr>
    </w:div>
    <w:div w:id="1096830248">
      <w:bodyDiv w:val="1"/>
      <w:marLeft w:val="0"/>
      <w:marRight w:val="0"/>
      <w:marTop w:val="0"/>
      <w:marBottom w:val="0"/>
      <w:divBdr>
        <w:top w:val="none" w:sz="0" w:space="0" w:color="auto"/>
        <w:left w:val="none" w:sz="0" w:space="0" w:color="auto"/>
        <w:bottom w:val="none" w:sz="0" w:space="0" w:color="auto"/>
        <w:right w:val="none" w:sz="0" w:space="0" w:color="auto"/>
      </w:divBdr>
    </w:div>
    <w:div w:id="1103889435">
      <w:bodyDiv w:val="1"/>
      <w:marLeft w:val="0"/>
      <w:marRight w:val="0"/>
      <w:marTop w:val="0"/>
      <w:marBottom w:val="0"/>
      <w:divBdr>
        <w:top w:val="none" w:sz="0" w:space="0" w:color="auto"/>
        <w:left w:val="none" w:sz="0" w:space="0" w:color="auto"/>
        <w:bottom w:val="none" w:sz="0" w:space="0" w:color="auto"/>
        <w:right w:val="none" w:sz="0" w:space="0" w:color="auto"/>
      </w:divBdr>
    </w:div>
    <w:div w:id="1264265717">
      <w:bodyDiv w:val="1"/>
      <w:marLeft w:val="0"/>
      <w:marRight w:val="0"/>
      <w:marTop w:val="0"/>
      <w:marBottom w:val="0"/>
      <w:divBdr>
        <w:top w:val="none" w:sz="0" w:space="0" w:color="auto"/>
        <w:left w:val="none" w:sz="0" w:space="0" w:color="auto"/>
        <w:bottom w:val="none" w:sz="0" w:space="0" w:color="auto"/>
        <w:right w:val="none" w:sz="0" w:space="0" w:color="auto"/>
      </w:divBdr>
    </w:div>
    <w:div w:id="1319387586">
      <w:bodyDiv w:val="1"/>
      <w:marLeft w:val="0"/>
      <w:marRight w:val="0"/>
      <w:marTop w:val="0"/>
      <w:marBottom w:val="0"/>
      <w:divBdr>
        <w:top w:val="none" w:sz="0" w:space="0" w:color="auto"/>
        <w:left w:val="none" w:sz="0" w:space="0" w:color="auto"/>
        <w:bottom w:val="none" w:sz="0" w:space="0" w:color="auto"/>
        <w:right w:val="none" w:sz="0" w:space="0" w:color="auto"/>
      </w:divBdr>
    </w:div>
    <w:div w:id="1323199183">
      <w:bodyDiv w:val="1"/>
      <w:marLeft w:val="0"/>
      <w:marRight w:val="0"/>
      <w:marTop w:val="0"/>
      <w:marBottom w:val="0"/>
      <w:divBdr>
        <w:top w:val="none" w:sz="0" w:space="0" w:color="auto"/>
        <w:left w:val="none" w:sz="0" w:space="0" w:color="auto"/>
        <w:bottom w:val="none" w:sz="0" w:space="0" w:color="auto"/>
        <w:right w:val="none" w:sz="0" w:space="0" w:color="auto"/>
      </w:divBdr>
    </w:div>
    <w:div w:id="1492018080">
      <w:bodyDiv w:val="1"/>
      <w:marLeft w:val="0"/>
      <w:marRight w:val="0"/>
      <w:marTop w:val="0"/>
      <w:marBottom w:val="0"/>
      <w:divBdr>
        <w:top w:val="none" w:sz="0" w:space="0" w:color="auto"/>
        <w:left w:val="none" w:sz="0" w:space="0" w:color="auto"/>
        <w:bottom w:val="none" w:sz="0" w:space="0" w:color="auto"/>
        <w:right w:val="none" w:sz="0" w:space="0" w:color="auto"/>
      </w:divBdr>
    </w:div>
    <w:div w:id="1497064950">
      <w:bodyDiv w:val="1"/>
      <w:marLeft w:val="0"/>
      <w:marRight w:val="0"/>
      <w:marTop w:val="0"/>
      <w:marBottom w:val="0"/>
      <w:divBdr>
        <w:top w:val="none" w:sz="0" w:space="0" w:color="auto"/>
        <w:left w:val="none" w:sz="0" w:space="0" w:color="auto"/>
        <w:bottom w:val="none" w:sz="0" w:space="0" w:color="auto"/>
        <w:right w:val="none" w:sz="0" w:space="0" w:color="auto"/>
      </w:divBdr>
    </w:div>
    <w:div w:id="1605573145">
      <w:bodyDiv w:val="1"/>
      <w:marLeft w:val="0"/>
      <w:marRight w:val="0"/>
      <w:marTop w:val="0"/>
      <w:marBottom w:val="0"/>
      <w:divBdr>
        <w:top w:val="none" w:sz="0" w:space="0" w:color="auto"/>
        <w:left w:val="none" w:sz="0" w:space="0" w:color="auto"/>
        <w:bottom w:val="none" w:sz="0" w:space="0" w:color="auto"/>
        <w:right w:val="none" w:sz="0" w:space="0" w:color="auto"/>
      </w:divBdr>
    </w:div>
    <w:div w:id="1641765118">
      <w:bodyDiv w:val="1"/>
      <w:marLeft w:val="0"/>
      <w:marRight w:val="0"/>
      <w:marTop w:val="0"/>
      <w:marBottom w:val="0"/>
      <w:divBdr>
        <w:top w:val="none" w:sz="0" w:space="0" w:color="auto"/>
        <w:left w:val="none" w:sz="0" w:space="0" w:color="auto"/>
        <w:bottom w:val="none" w:sz="0" w:space="0" w:color="auto"/>
        <w:right w:val="none" w:sz="0" w:space="0" w:color="auto"/>
      </w:divBdr>
    </w:div>
    <w:div w:id="1660770997">
      <w:bodyDiv w:val="1"/>
      <w:marLeft w:val="0"/>
      <w:marRight w:val="0"/>
      <w:marTop w:val="0"/>
      <w:marBottom w:val="0"/>
      <w:divBdr>
        <w:top w:val="none" w:sz="0" w:space="0" w:color="auto"/>
        <w:left w:val="none" w:sz="0" w:space="0" w:color="auto"/>
        <w:bottom w:val="none" w:sz="0" w:space="0" w:color="auto"/>
        <w:right w:val="none" w:sz="0" w:space="0" w:color="auto"/>
      </w:divBdr>
    </w:div>
    <w:div w:id="1914654074">
      <w:bodyDiv w:val="1"/>
      <w:marLeft w:val="0"/>
      <w:marRight w:val="0"/>
      <w:marTop w:val="0"/>
      <w:marBottom w:val="0"/>
      <w:divBdr>
        <w:top w:val="none" w:sz="0" w:space="0" w:color="auto"/>
        <w:left w:val="none" w:sz="0" w:space="0" w:color="auto"/>
        <w:bottom w:val="none" w:sz="0" w:space="0" w:color="auto"/>
        <w:right w:val="none" w:sz="0" w:space="0" w:color="auto"/>
      </w:divBdr>
    </w:div>
    <w:div w:id="1977564904">
      <w:bodyDiv w:val="1"/>
      <w:marLeft w:val="0"/>
      <w:marRight w:val="0"/>
      <w:marTop w:val="0"/>
      <w:marBottom w:val="0"/>
      <w:divBdr>
        <w:top w:val="none" w:sz="0" w:space="0" w:color="auto"/>
        <w:left w:val="none" w:sz="0" w:space="0" w:color="auto"/>
        <w:bottom w:val="none" w:sz="0" w:space="0" w:color="auto"/>
        <w:right w:val="none" w:sz="0" w:space="0" w:color="auto"/>
      </w:divBdr>
    </w:div>
    <w:div w:id="2063360017">
      <w:bodyDiv w:val="1"/>
      <w:marLeft w:val="0"/>
      <w:marRight w:val="0"/>
      <w:marTop w:val="0"/>
      <w:marBottom w:val="0"/>
      <w:divBdr>
        <w:top w:val="none" w:sz="0" w:space="0" w:color="auto"/>
        <w:left w:val="none" w:sz="0" w:space="0" w:color="auto"/>
        <w:bottom w:val="none" w:sz="0" w:space="0" w:color="auto"/>
        <w:right w:val="none" w:sz="0" w:space="0" w:color="auto"/>
      </w:divBdr>
    </w:div>
    <w:div w:id="2067755402">
      <w:bodyDiv w:val="1"/>
      <w:marLeft w:val="0"/>
      <w:marRight w:val="0"/>
      <w:marTop w:val="0"/>
      <w:marBottom w:val="0"/>
      <w:divBdr>
        <w:top w:val="none" w:sz="0" w:space="0" w:color="auto"/>
        <w:left w:val="none" w:sz="0" w:space="0" w:color="auto"/>
        <w:bottom w:val="none" w:sz="0" w:space="0" w:color="auto"/>
        <w:right w:val="none" w:sz="0" w:space="0" w:color="auto"/>
      </w:divBdr>
    </w:div>
    <w:div w:id="21077227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github.com/nograpes/tmle_readmissions"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0"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05EC94-4DA6-4811-AD42-501759067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19</Pages>
  <Words>15050</Words>
  <Characters>85787</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Targeted maximum likelihood estimation and hospital readmissions</vt:lpstr>
    </vt:vector>
  </TitlesOfParts>
  <Company/>
  <LinksUpToDate>false</LinksUpToDate>
  <CharactersWithSpaces>100636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Targeted maximum likelihood estimation and hospital readmissions</dc:title>
  <dc:creator/>
  <cp:lastModifiedBy>aman</cp:lastModifiedBy>
  <cp:revision>4</cp:revision>
  <dcterms:created xsi:type="dcterms:W3CDTF">2014-09-05T15:40:00Z</dcterms:created>
  <dcterms:modified xsi:type="dcterms:W3CDTF">2014-09-05T20:48:00Z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zotero-version="4.0.21.2"&gt;&lt;session id="LqedHN4X"/&gt;&lt;style id="http://www.zotero.org/styles/epidemiology" hasBibliography="1" bibliographyStyleHasBeenSet="1"/&gt;&lt;prefs&gt;&lt;pref name="fieldType" value="Field"/&gt;&lt;pref name="storeReferences" v</vt:lpwstr>
  </property>
  <property fmtid="{D5CDD505-2E9C-101B-9397-08002B2CF9AE}" pid="3" name="ZOTERO_PREF_2">
    <vt:lpwstr>alue="true"/&gt;&lt;pref name="automaticJournalAbbreviations" value="false"/&gt;&lt;pref name="noteType" value="0"/&gt;&lt;/prefs&gt;&lt;/data&gt;</vt:lpwstr>
  </property>
</Properties>
</file>