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85BB5" w14:textId="02985467" w:rsidR="00010FAC" w:rsidRPr="00842444" w:rsidRDefault="00010FAC">
      <w:pPr>
        <w:rPr>
          <w:b/>
          <w:bCs/>
        </w:rPr>
      </w:pPr>
      <w:r w:rsidRPr="00842444">
        <w:rPr>
          <w:b/>
          <w:bCs/>
        </w:rPr>
        <w:t>Nohelia Agudelo Cuervo – 2210413</w:t>
      </w:r>
    </w:p>
    <w:p w14:paraId="2B2336D2" w14:textId="162DA44E" w:rsidR="00010FAC" w:rsidRPr="00842444" w:rsidRDefault="00010FAC">
      <w:pPr>
        <w:rPr>
          <w:b/>
          <w:bCs/>
        </w:rPr>
      </w:pPr>
      <w:r w:rsidRPr="00842444">
        <w:rPr>
          <w:b/>
          <w:bCs/>
        </w:rPr>
        <w:t>Fabián Camilo Chacón Vargas – 2214192</w:t>
      </w:r>
    </w:p>
    <w:p w14:paraId="4E8A6D50" w14:textId="35B04B7B" w:rsidR="00010FAC" w:rsidRDefault="00010FAC">
      <w:pPr>
        <w:rPr>
          <w:b/>
          <w:bCs/>
        </w:rPr>
      </w:pPr>
      <w:r>
        <w:rPr>
          <w:b/>
          <w:bCs/>
        </w:rPr>
        <w:t>______________________________________________________________________________</w:t>
      </w:r>
      <w:r w:rsidR="00911979">
        <w:rPr>
          <w:b/>
          <w:bCs/>
        </w:rPr>
        <w:t>___________________</w:t>
      </w:r>
      <w:r>
        <w:rPr>
          <w:b/>
          <w:bCs/>
        </w:rPr>
        <w:t>_________</w:t>
      </w:r>
      <w:r w:rsidR="00AC67B7">
        <w:rPr>
          <w:b/>
          <w:bCs/>
        </w:rPr>
        <w:t>___________________________________</w:t>
      </w:r>
    </w:p>
    <w:p w14:paraId="23EC27CD" w14:textId="77777777" w:rsidR="00A845E2" w:rsidRDefault="00A845E2" w:rsidP="00010FAC">
      <w:pPr>
        <w:jc w:val="center"/>
        <w:rPr>
          <w:b/>
          <w:bCs/>
        </w:rPr>
      </w:pPr>
    </w:p>
    <w:p w14:paraId="360CE2FD" w14:textId="24CE930D" w:rsidR="00010FAC" w:rsidRDefault="00010FAC" w:rsidP="00010FAC">
      <w:pPr>
        <w:jc w:val="center"/>
        <w:rPr>
          <w:b/>
          <w:bCs/>
        </w:rPr>
      </w:pPr>
      <w:r>
        <w:rPr>
          <w:b/>
          <w:bCs/>
        </w:rPr>
        <w:t xml:space="preserve">PRÁCTICA </w:t>
      </w:r>
      <w:r w:rsidR="0049079B">
        <w:rPr>
          <w:b/>
          <w:bCs/>
        </w:rPr>
        <w:t>B</w:t>
      </w:r>
      <w:r>
        <w:rPr>
          <w:b/>
          <w:bCs/>
        </w:rPr>
        <w:t xml:space="preserve"> </w:t>
      </w:r>
      <w:r w:rsidR="00842444">
        <w:rPr>
          <w:b/>
          <w:bCs/>
        </w:rPr>
        <w:t xml:space="preserve">– PARTE </w:t>
      </w:r>
      <w:r w:rsidR="0049079B">
        <w:rPr>
          <w:b/>
          <w:bCs/>
        </w:rPr>
        <w:t>1</w:t>
      </w:r>
      <w:r w:rsidR="00842444">
        <w:rPr>
          <w:b/>
          <w:bCs/>
        </w:rPr>
        <w:t xml:space="preserve"> </w:t>
      </w:r>
      <w:r>
        <w:rPr>
          <w:b/>
          <w:bCs/>
        </w:rPr>
        <w:t>- LABORATORIO 3</w:t>
      </w:r>
    </w:p>
    <w:p w14:paraId="2BB5C982" w14:textId="213FE5EE" w:rsidR="004206FB" w:rsidRPr="004206FB" w:rsidRDefault="004206FB" w:rsidP="004206FB">
      <w:r>
        <w:t>De antemano, hay que aclarar que para esta parte del laboratorio se utilizó involuntariamente un radio URSP en malas condiciones, por lo que el docente Efrén Acevedo recomendó ajustar la ganancia a 30[dB] para los tres casos.</w:t>
      </w:r>
    </w:p>
    <w:p w14:paraId="173DFFC8" w14:textId="64465569" w:rsidR="009D4708" w:rsidRPr="003303A8" w:rsidRDefault="00010FAC">
      <w:pPr>
        <w:rPr>
          <w:b/>
          <w:bCs/>
        </w:rPr>
      </w:pPr>
      <w:r w:rsidRPr="00010FAC">
        <w:rPr>
          <w:b/>
          <w:bCs/>
        </w:rPr>
        <w:t xml:space="preserve">Caso 1. </w:t>
      </w:r>
      <w:r w:rsidR="0049079B" w:rsidRPr="0049079B">
        <w:t xml:space="preserve">Señal modulada en 75% </w:t>
      </w:r>
      <w:r w:rsidR="0049079B">
        <w:t>(con f</w:t>
      </w:r>
      <w:r w:rsidR="0049079B" w:rsidRPr="0049079B">
        <w:t xml:space="preserve">recuencia de portadora </w:t>
      </w:r>
      <w:r w:rsidR="0049079B">
        <w:t xml:space="preserve">= </w:t>
      </w:r>
      <w:r w:rsidR="0049079B" w:rsidRPr="0049079B">
        <w:t>100</w:t>
      </w:r>
      <w:r w:rsidR="0049079B">
        <w:t>[</w:t>
      </w:r>
      <w:r w:rsidR="0049079B" w:rsidRPr="0049079B">
        <w:t>MHz</w:t>
      </w:r>
      <w:r w:rsidR="0049079B">
        <w:t>]</w:t>
      </w:r>
      <w:r w:rsidR="0049079B" w:rsidRPr="0049079B">
        <w:t xml:space="preserve">, </w:t>
      </w:r>
      <w:r w:rsidR="0049079B">
        <w:t>g</w:t>
      </w:r>
      <w:r w:rsidR="0049079B" w:rsidRPr="0049079B">
        <w:t>anancia de TX = 10</w:t>
      </w:r>
      <w:r w:rsidR="0049079B">
        <w:t>[</w:t>
      </w:r>
      <w:r w:rsidR="0049079B" w:rsidRPr="0049079B">
        <w:t>dB</w:t>
      </w:r>
      <w:r w:rsidR="0049079B">
        <w:t>] y</w:t>
      </w:r>
      <w:r w:rsidR="0049079B" w:rsidRPr="0049079B">
        <w:t xml:space="preserve"> 10 muestras por </w:t>
      </w:r>
      <w:r w:rsidR="0049079B">
        <w:t>símbolo)</w:t>
      </w:r>
    </w:p>
    <w:tbl>
      <w:tblPr>
        <w:tblStyle w:val="Tablaconcuadrcula"/>
        <w:tblW w:w="14390" w:type="dxa"/>
        <w:tblLayout w:type="fixed"/>
        <w:tblLook w:val="04A0" w:firstRow="1" w:lastRow="0" w:firstColumn="1" w:lastColumn="0" w:noHBand="0" w:noVBand="1"/>
      </w:tblPr>
      <w:tblGrid>
        <w:gridCol w:w="4815"/>
        <w:gridCol w:w="4678"/>
        <w:gridCol w:w="4897"/>
      </w:tblGrid>
      <w:tr w:rsidR="00AC67B7" w14:paraId="192D7279" w14:textId="7E442504" w:rsidTr="00AC67B7">
        <w:trPr>
          <w:trHeight w:val="267"/>
        </w:trPr>
        <w:tc>
          <w:tcPr>
            <w:tcW w:w="4815" w:type="dxa"/>
          </w:tcPr>
          <w:p w14:paraId="304943C0" w14:textId="12D0B931" w:rsidR="00AC67B7" w:rsidRPr="00911979" w:rsidRDefault="00AC67B7" w:rsidP="00911979">
            <w:pPr>
              <w:jc w:val="center"/>
              <w:rPr>
                <w:b/>
                <w:bCs/>
                <w:lang w:val="en-US"/>
              </w:rPr>
            </w:pPr>
            <w:r w:rsidRPr="00911979">
              <w:rPr>
                <w:b/>
                <w:bCs/>
                <w:lang w:val="en-US"/>
              </w:rPr>
              <w:t>GNU Radio</w:t>
            </w:r>
          </w:p>
        </w:tc>
        <w:tc>
          <w:tcPr>
            <w:tcW w:w="4678" w:type="dxa"/>
          </w:tcPr>
          <w:p w14:paraId="05B8E0A4" w14:textId="7DE83B0B" w:rsidR="00AC67B7" w:rsidRPr="00911979" w:rsidRDefault="00AC67B7" w:rsidP="009119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Osciloscopio</w:t>
            </w:r>
          </w:p>
        </w:tc>
        <w:tc>
          <w:tcPr>
            <w:tcW w:w="4897" w:type="dxa"/>
          </w:tcPr>
          <w:p w14:paraId="174D16CC" w14:textId="475C52E1" w:rsidR="00AC67B7" w:rsidRDefault="00AC67B7" w:rsidP="0091197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Analizador de espectros</w:t>
            </w:r>
          </w:p>
        </w:tc>
      </w:tr>
      <w:tr w:rsidR="00AC67B7" w14:paraId="14F69F7B" w14:textId="03704BD5" w:rsidTr="00AC67B7">
        <w:trPr>
          <w:trHeight w:val="2831"/>
        </w:trPr>
        <w:tc>
          <w:tcPr>
            <w:tcW w:w="4815" w:type="dxa"/>
          </w:tcPr>
          <w:p w14:paraId="7F8D3923" w14:textId="0823456D" w:rsidR="00AC67B7" w:rsidRDefault="00AC67B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2B1235" wp14:editId="007B436B">
                  <wp:extent cx="3002280" cy="1697955"/>
                  <wp:effectExtent l="0" t="0" r="7620" b="0"/>
                  <wp:docPr id="9319699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215" cy="171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7D5E1DB" w14:textId="0F0CABD1" w:rsidR="00AC67B7" w:rsidRDefault="00AC67B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872CEF" wp14:editId="5F432CE8">
                  <wp:extent cx="2763959" cy="1775460"/>
                  <wp:effectExtent l="0" t="0" r="0" b="0"/>
                  <wp:docPr id="9346552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996" cy="1779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7" w:type="dxa"/>
          </w:tcPr>
          <w:p w14:paraId="0619D4F1" w14:textId="1B630D2B" w:rsidR="00AC67B7" w:rsidRDefault="00AC67B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1FCEBBC" wp14:editId="1ECFAB89">
                  <wp:extent cx="3014345" cy="1694815"/>
                  <wp:effectExtent l="0" t="0" r="0" b="635"/>
                  <wp:docPr id="190726000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345" cy="169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7FF66" w14:textId="384E7833" w:rsidR="00842444" w:rsidRDefault="00842444">
      <w:pPr>
        <w:rPr>
          <w:lang w:val="en-US"/>
        </w:rPr>
      </w:pPr>
    </w:p>
    <w:p w14:paraId="2D487E42" w14:textId="5704BF78" w:rsidR="004206FB" w:rsidRPr="00535DB6" w:rsidRDefault="00237877" w:rsidP="006934D9">
      <w:pPr>
        <w:jc w:val="both"/>
      </w:pPr>
      <w:bookmarkStart w:id="0" w:name="_Hlk195263216"/>
      <w:r w:rsidRPr="00237877">
        <w:t>Como se puede o</w:t>
      </w:r>
      <w:r>
        <w:t>bservar para este caso, la respuesta en frecuencia vista desde el analizador de espectros concuerda con el comportamiento de la vista en el simulador de GNU Radio</w:t>
      </w:r>
      <w:r w:rsidR="004206FB">
        <w:t xml:space="preserve">. </w:t>
      </w:r>
      <w:r w:rsidR="002868F4">
        <w:t xml:space="preserve">Del mismo modo, se midió un ancho de banda de </w:t>
      </w:r>
      <w:r w:rsidR="002868F4" w:rsidRPr="002868F4">
        <w:t>57,53</w:t>
      </w:r>
      <w:r w:rsidR="002868F4">
        <w:t xml:space="preserve">[kHz]. </w:t>
      </w:r>
      <w:r w:rsidR="004206FB">
        <w:t>Por otro lado, el osciloscopio reflejó el comportamiento de la señal en el tiempo.</w:t>
      </w:r>
      <w:r>
        <w:t xml:space="preserve"> Aquí </w:t>
      </w:r>
      <w:r w:rsidR="004206FB">
        <w:t xml:space="preserve">se midió el valor del tiempo de bit de </w:t>
      </w:r>
      <m:oMath>
        <m:r>
          <w:rPr>
            <w:rFonts w:ascii="Cambria Math" w:hAnsi="Cambria Math"/>
          </w:rPr>
          <m:t>14</m:t>
        </m:r>
      </m:oMath>
      <w:r w:rsidR="004206FB">
        <w:rPr>
          <w:rFonts w:eastAsiaTheme="minorEastAsia"/>
        </w:rPr>
        <w:t>[</w:t>
      </w:r>
      <w:r w:rsidR="004206FB">
        <w:rPr>
          <w:rFonts w:ascii="Calibri" w:eastAsiaTheme="minorEastAsia" w:hAnsi="Calibri" w:cs="Calibri"/>
        </w:rPr>
        <w:t>μ</w:t>
      </w:r>
      <w:r w:rsidR="004206FB">
        <w:rPr>
          <w:rFonts w:eastAsiaTheme="minorEastAsia"/>
        </w:rPr>
        <w:t>s] y una altura mínima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4206FB">
        <w:rPr>
          <w:rFonts w:eastAsiaTheme="minorEastAsia"/>
        </w:rPr>
        <w:t>) y máxima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4206FB">
        <w:rPr>
          <w:rFonts w:eastAsiaTheme="minorEastAsia"/>
        </w:rPr>
        <w:t xml:space="preserve">) con motivo de calcular el índice de modulación </w:t>
      </w:r>
      <w:r w:rsidR="006934D9">
        <w:rPr>
          <w:rFonts w:eastAsiaTheme="minorEastAsia"/>
        </w:rPr>
        <w:t>experimental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</m:oMath>
      <w:r w:rsidR="006934D9">
        <w:rPr>
          <w:rFonts w:eastAsiaTheme="minorEastAsia"/>
        </w:rPr>
        <w:t xml:space="preserve">) </w:t>
      </w:r>
      <w:r w:rsidR="004206FB">
        <w:rPr>
          <w:rFonts w:eastAsiaTheme="minorEastAsia"/>
        </w:rPr>
        <w:t>a través de la fórmula</w:t>
      </w:r>
      <w:bookmarkEnd w:id="0"/>
      <w:r w:rsidR="004206FB">
        <w:rPr>
          <w:rFonts w:eastAsiaTheme="minorEastAsia"/>
        </w:rPr>
        <w:t>:</w:t>
      </w:r>
    </w:p>
    <w:p w14:paraId="38DE1DD8" w14:textId="7F3FFCA4" w:rsidR="006934D9" w:rsidRDefault="00000000" w:rsidP="006934D9">
      <w:pPr>
        <w:jc w:val="center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exp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min</m:t>
                </m:r>
              </m:sub>
            </m:sSub>
          </m:den>
        </m:f>
      </m:oMath>
      <w:r w:rsidR="006934D9" w:rsidRPr="006934D9">
        <w:rPr>
          <w:rFonts w:eastAsiaTheme="minorEastAsia"/>
          <w:sz w:val="28"/>
          <w:szCs w:val="28"/>
        </w:rPr>
        <w:t xml:space="preserve"> </w:t>
      </w:r>
      <w:r w:rsidR="006934D9">
        <w:rPr>
          <w:rFonts w:eastAsiaTheme="minorEastAsia"/>
        </w:rPr>
        <w:tab/>
      </w:r>
      <w:r w:rsidR="006934D9" w:rsidRPr="006934D9">
        <w:rPr>
          <w:rFonts w:eastAsiaTheme="minorEastAsia"/>
          <w:color w:val="FF0000"/>
        </w:rPr>
        <w:t>(1)</w:t>
      </w:r>
    </w:p>
    <w:p w14:paraId="62F2CE32" w14:textId="667E8CDD" w:rsidR="004206FB" w:rsidRDefault="006934D9" w:rsidP="006934D9">
      <w:pPr>
        <w:jc w:val="both"/>
      </w:pPr>
      <w:r>
        <w:t xml:space="preserve">Dando como resultado </w:t>
      </w:r>
      <w:r>
        <w:rPr>
          <w:rFonts w:eastAsiaTheme="minorEastAsia"/>
        </w:rPr>
        <w:t xml:space="preserve">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  <m:r>
          <w:rPr>
            <w:rFonts w:ascii="Cambria Math" w:hAnsi="Cambria Math"/>
          </w:rPr>
          <m:t xml:space="preserve"> = 0,671</m:t>
        </m:r>
      </m:oMath>
      <w:r>
        <w:rPr>
          <w:rFonts w:eastAsiaTheme="minorEastAsia"/>
        </w:rPr>
        <w:t>. Teniendo en cuenta que</w:t>
      </w:r>
      <w:r w:rsidR="00535DB6">
        <w:rPr>
          <w:rFonts w:eastAsiaTheme="minorEastAsia"/>
        </w:rPr>
        <w:t xml:space="preserve"> el índice de modulación teórica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teo</m:t>
            </m:r>
          </m:sub>
        </m:sSub>
      </m:oMath>
      <w:r w:rsidR="00535DB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 </w:t>
      </w:r>
      <w:r w:rsidR="00535DB6">
        <w:rPr>
          <w:rFonts w:eastAsiaTheme="minorEastAsia"/>
        </w:rPr>
        <w:t xml:space="preserve">es igual a </w:t>
      </w:r>
      <m:oMath>
        <m:r>
          <w:rPr>
            <w:rFonts w:ascii="Cambria Math" w:hAnsi="Cambria Math"/>
          </w:rPr>
          <m:t>0,75</m:t>
        </m:r>
      </m:oMath>
      <w:r>
        <w:rPr>
          <w:rFonts w:eastAsiaTheme="minorEastAsia"/>
        </w:rPr>
        <w:t>, se puede afirmar entonces que el error entre ambas medidas es de 7,933%. Dicho error puede deberse al uso del radio URSP en malas condiciones que conllevó a aplicar una ganancia de TX diferente a la propuesta en la guía de laboratorio</w:t>
      </w:r>
      <w:r w:rsidR="00535DB6">
        <w:rPr>
          <w:rFonts w:eastAsiaTheme="minorEastAsia"/>
        </w:rPr>
        <w:t>, lo que afecta la modulación de la señal binaria</w:t>
      </w:r>
      <w:r w:rsidR="009E5A8A">
        <w:rPr>
          <w:rFonts w:eastAsiaTheme="minorEastAsia"/>
        </w:rPr>
        <w:t xml:space="preserve"> y su visualización con mayor ruido en el osciloscopio</w:t>
      </w:r>
      <w:r w:rsidR="00535DB6">
        <w:rPr>
          <w:rFonts w:eastAsiaTheme="minorEastAsia"/>
        </w:rPr>
        <w:t>.</w:t>
      </w:r>
    </w:p>
    <w:p w14:paraId="1665374A" w14:textId="77777777" w:rsidR="00535DB6" w:rsidRPr="00237877" w:rsidRDefault="00535DB6"/>
    <w:p w14:paraId="0437EB47" w14:textId="12911E5B" w:rsidR="00010FAC" w:rsidRPr="0049079B" w:rsidRDefault="00010FAC">
      <w:pPr>
        <w:rPr>
          <w:b/>
          <w:bCs/>
        </w:rPr>
      </w:pPr>
      <w:r w:rsidRPr="0049079B">
        <w:rPr>
          <w:b/>
          <w:bCs/>
        </w:rPr>
        <w:lastRenderedPageBreak/>
        <w:t xml:space="preserve">Caso 2. </w:t>
      </w:r>
      <w:r w:rsidR="0049079B" w:rsidRPr="0049079B">
        <w:t xml:space="preserve">Señal modulada en </w:t>
      </w:r>
      <w:r w:rsidR="0049079B">
        <w:t>100</w:t>
      </w:r>
      <w:r w:rsidR="0049079B" w:rsidRPr="0049079B">
        <w:t xml:space="preserve">% (con frecuencia de portadora = </w:t>
      </w:r>
      <w:r w:rsidR="0049079B">
        <w:t>25</w:t>
      </w:r>
      <w:r w:rsidR="0049079B" w:rsidRPr="0049079B">
        <w:t>0</w:t>
      </w:r>
      <w:r w:rsidR="0049079B">
        <w:t>[</w:t>
      </w:r>
      <w:r w:rsidR="0049079B" w:rsidRPr="0049079B">
        <w:t>MHz</w:t>
      </w:r>
      <w:r w:rsidR="0049079B">
        <w:t>]</w:t>
      </w:r>
      <w:r w:rsidR="0049079B" w:rsidRPr="0049079B">
        <w:t>, ganancia de TX = 1</w:t>
      </w:r>
      <w:r w:rsidR="0049079B">
        <w:t>5[</w:t>
      </w:r>
      <w:r w:rsidR="0049079B" w:rsidRPr="0049079B">
        <w:t>dB</w:t>
      </w:r>
      <w:r w:rsidR="0049079B">
        <w:t>]</w:t>
      </w:r>
      <w:r w:rsidR="0049079B" w:rsidRPr="0049079B">
        <w:t xml:space="preserve"> y </w:t>
      </w:r>
      <w:r w:rsidR="0049079B">
        <w:t>5</w:t>
      </w:r>
      <w:r w:rsidR="0049079B" w:rsidRPr="0049079B">
        <w:t xml:space="preserve"> muestras por símbolo)</w:t>
      </w:r>
    </w:p>
    <w:tbl>
      <w:tblPr>
        <w:tblStyle w:val="Tablaconcuadrcula"/>
        <w:tblW w:w="14390" w:type="dxa"/>
        <w:tblLayout w:type="fixed"/>
        <w:tblLook w:val="04A0" w:firstRow="1" w:lastRow="0" w:firstColumn="1" w:lastColumn="0" w:noHBand="0" w:noVBand="1"/>
      </w:tblPr>
      <w:tblGrid>
        <w:gridCol w:w="4815"/>
        <w:gridCol w:w="4678"/>
        <w:gridCol w:w="4897"/>
      </w:tblGrid>
      <w:tr w:rsidR="00AC67B7" w14:paraId="73F964E7" w14:textId="18AA0599" w:rsidTr="00AC67B7">
        <w:trPr>
          <w:trHeight w:val="267"/>
        </w:trPr>
        <w:tc>
          <w:tcPr>
            <w:tcW w:w="4815" w:type="dxa"/>
          </w:tcPr>
          <w:p w14:paraId="09C5249E" w14:textId="77777777" w:rsidR="00AC67B7" w:rsidRPr="00911979" w:rsidRDefault="00AC67B7" w:rsidP="007916F5">
            <w:pPr>
              <w:jc w:val="center"/>
              <w:rPr>
                <w:b/>
                <w:bCs/>
                <w:lang w:val="en-US"/>
              </w:rPr>
            </w:pPr>
            <w:r w:rsidRPr="00911979">
              <w:rPr>
                <w:b/>
                <w:bCs/>
                <w:lang w:val="en-US"/>
              </w:rPr>
              <w:t>GNU Radio</w:t>
            </w:r>
          </w:p>
        </w:tc>
        <w:tc>
          <w:tcPr>
            <w:tcW w:w="4678" w:type="dxa"/>
          </w:tcPr>
          <w:p w14:paraId="6B1A88A7" w14:textId="37B15C11" w:rsidR="00AC67B7" w:rsidRPr="00911979" w:rsidRDefault="00AC67B7" w:rsidP="007916F5">
            <w:pPr>
              <w:jc w:val="center"/>
              <w:rPr>
                <w:b/>
                <w:bCs/>
                <w:lang w:val="en-US"/>
              </w:rPr>
            </w:pPr>
            <w:r w:rsidRPr="00AC67B7">
              <w:rPr>
                <w:b/>
                <w:bCs/>
                <w:lang w:val="en-US"/>
              </w:rPr>
              <w:t>Osciloscopio</w:t>
            </w:r>
          </w:p>
        </w:tc>
        <w:tc>
          <w:tcPr>
            <w:tcW w:w="4897" w:type="dxa"/>
          </w:tcPr>
          <w:p w14:paraId="4DA56B20" w14:textId="2AFD54BE" w:rsidR="00AC67B7" w:rsidRDefault="00AC67B7" w:rsidP="007916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Analizador de espectros</w:t>
            </w:r>
          </w:p>
        </w:tc>
      </w:tr>
      <w:tr w:rsidR="00AC67B7" w14:paraId="7461A6A3" w14:textId="5E0B9715" w:rsidTr="00AC67B7">
        <w:trPr>
          <w:trHeight w:val="2920"/>
        </w:trPr>
        <w:tc>
          <w:tcPr>
            <w:tcW w:w="4815" w:type="dxa"/>
          </w:tcPr>
          <w:p w14:paraId="41A0E409" w14:textId="192FFFCC" w:rsidR="00AC67B7" w:rsidRDefault="00AC67B7" w:rsidP="007916F5">
            <w:pPr>
              <w:rPr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174F313" wp14:editId="2326B3E2">
                  <wp:extent cx="2937218" cy="1661160"/>
                  <wp:effectExtent l="0" t="0" r="0" b="0"/>
                  <wp:docPr id="172492332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186" cy="1666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5458F952" w14:textId="64B00792" w:rsidR="00AC67B7" w:rsidRDefault="00AC67B7" w:rsidP="007916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1F5191" wp14:editId="108F29CC">
                  <wp:extent cx="2773680" cy="1782571"/>
                  <wp:effectExtent l="0" t="0" r="7620" b="8255"/>
                  <wp:docPr id="474759977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8389" cy="1785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7" w:type="dxa"/>
          </w:tcPr>
          <w:p w14:paraId="7DAFEAB9" w14:textId="6545BC50" w:rsidR="00AC67B7" w:rsidRDefault="00AC67B7" w:rsidP="007916F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55F93F34" wp14:editId="638CCFE9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0</wp:posOffset>
                  </wp:positionV>
                  <wp:extent cx="2954633" cy="1661160"/>
                  <wp:effectExtent l="0" t="0" r="0" b="0"/>
                  <wp:wrapSquare wrapText="bothSides"/>
                  <wp:docPr id="1081572982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4633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577B87E" w14:textId="765503D6" w:rsidR="00911979" w:rsidRDefault="00911979">
      <w:pPr>
        <w:rPr>
          <w:b/>
          <w:bCs/>
          <w:lang w:val="en-US"/>
        </w:rPr>
      </w:pPr>
    </w:p>
    <w:p w14:paraId="6FD49991" w14:textId="096AAB1F" w:rsidR="00535DB6" w:rsidRPr="00535DB6" w:rsidRDefault="00535DB6" w:rsidP="00535DB6">
      <w:pPr>
        <w:jc w:val="both"/>
      </w:pPr>
      <w:r w:rsidRPr="00237877">
        <w:t>Como se puede o</w:t>
      </w:r>
      <w:r>
        <w:t xml:space="preserve">bservar para este caso, la respuesta en frecuencia vista desde el analizador de espectros concuerda con el comportamiento de la vista en el simulador de GNU Radio. </w:t>
      </w:r>
      <w:r w:rsidR="002868F4">
        <w:t xml:space="preserve">Del mismo modo, se midió un ancho de banda de </w:t>
      </w:r>
      <w:r w:rsidR="002868F4" w:rsidRPr="002868F4">
        <w:t>82,91</w:t>
      </w:r>
      <w:r w:rsidR="002868F4">
        <w:t xml:space="preserve">[kHz]. </w:t>
      </w:r>
      <w:r>
        <w:t xml:space="preserve">Por otro lado, el osciloscopio reflejó el comportamiento de la señal en el tiempo. Aquí se midió el valor del tiempo de bit de </w:t>
      </w:r>
      <m:oMath>
        <m:r>
          <w:rPr>
            <w:rFonts w:ascii="Cambria Math" w:hAnsi="Cambria Math"/>
          </w:rPr>
          <m:t>66</m:t>
        </m:r>
      </m:oMath>
      <w:r>
        <w:rPr>
          <w:rFonts w:eastAsiaTheme="minorEastAsia"/>
        </w:rPr>
        <w:t>[</w:t>
      </w:r>
      <w:r>
        <w:rPr>
          <w:rFonts w:ascii="Calibri" w:eastAsiaTheme="minorEastAsia" w:hAnsi="Calibri" w:cs="Calibri"/>
        </w:rPr>
        <w:t>μ</w:t>
      </w:r>
      <w:r>
        <w:rPr>
          <w:rFonts w:eastAsiaTheme="minorEastAsia"/>
        </w:rPr>
        <w:t>s] y una altura mínima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>) y máxima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>) con motivo de calcular el índice de modulación experimental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</m:oMath>
      <w:r>
        <w:rPr>
          <w:rFonts w:eastAsiaTheme="minorEastAsia"/>
        </w:rPr>
        <w:t xml:space="preserve">) a través de la fórmula </w:t>
      </w:r>
      <w:r w:rsidRPr="00535DB6">
        <w:rPr>
          <w:rFonts w:eastAsiaTheme="minorEastAsia"/>
          <w:color w:val="FF0000"/>
        </w:rPr>
        <w:t>(1)</w:t>
      </w:r>
      <w:r>
        <w:rPr>
          <w:rFonts w:eastAsiaTheme="minorEastAsia"/>
        </w:rPr>
        <w:t>, d</w:t>
      </w:r>
      <w:r w:rsidRPr="00535DB6">
        <w:rPr>
          <w:rFonts w:eastAsiaTheme="minorEastAsia"/>
        </w:rPr>
        <w:t xml:space="preserve">ando como resultado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exp</m:t>
            </m:r>
          </m:sub>
        </m:sSub>
        <m:r>
          <w:rPr>
            <w:rFonts w:ascii="Cambria Math" w:eastAsiaTheme="minorEastAsia" w:hAnsi="Cambria Math"/>
          </w:rPr>
          <m:t xml:space="preserve"> =0,74</m:t>
        </m:r>
      </m:oMath>
      <w:r>
        <w:rPr>
          <w:rFonts w:eastAsiaTheme="minorEastAsia"/>
        </w:rPr>
        <w:t xml:space="preserve">. </w:t>
      </w:r>
    </w:p>
    <w:p w14:paraId="3E15F130" w14:textId="29889B74" w:rsidR="00237877" w:rsidRDefault="00535DB6" w:rsidP="00DD2F9E">
      <w:pPr>
        <w:jc w:val="both"/>
        <w:rPr>
          <w:b/>
          <w:bCs/>
        </w:rPr>
      </w:pPr>
      <w:r w:rsidRPr="00535DB6">
        <w:rPr>
          <w:rFonts w:eastAsiaTheme="minorEastAsia"/>
        </w:rPr>
        <w:t xml:space="preserve">Teniendo en cuenta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teo</m:t>
            </m:r>
          </m:sub>
        </m:sSub>
        <m:r>
          <w:rPr>
            <w:rFonts w:ascii="Cambria Math" w:eastAsiaTheme="minorEastAsia" w:hAnsi="Cambria Math"/>
          </w:rPr>
          <m:t xml:space="preserve"> = 1</m:t>
        </m:r>
      </m:oMath>
      <w:r w:rsidRPr="00535DB6">
        <w:rPr>
          <w:rFonts w:eastAsiaTheme="minorEastAsia"/>
        </w:rPr>
        <w:t xml:space="preserve">, se puede afirmar entonces que el error entre ambas medidas es de </w:t>
      </w:r>
      <w:r>
        <w:rPr>
          <w:rFonts w:eastAsiaTheme="minorEastAsia"/>
        </w:rPr>
        <w:t>26</w:t>
      </w:r>
      <w:r w:rsidR="00DD2F9E">
        <w:rPr>
          <w:rFonts w:eastAsiaTheme="minorEastAsia"/>
        </w:rPr>
        <w:t>,</w:t>
      </w:r>
      <w:r>
        <w:rPr>
          <w:rFonts w:eastAsiaTheme="minorEastAsia"/>
        </w:rPr>
        <w:t>028</w:t>
      </w:r>
      <w:r w:rsidRPr="00535DB6">
        <w:rPr>
          <w:rFonts w:eastAsiaTheme="minorEastAsia"/>
        </w:rPr>
        <w:t>%. Dicho error puede deberse al uso del radio URSP en malas condiciones que conllevó a aplicar una ganancia de TX diferente a la propuesta en la guía de laboratorio, lo que afecta la modulación de la señal binaria</w:t>
      </w:r>
      <w:r w:rsidR="009E5A8A" w:rsidRPr="009E5A8A">
        <w:rPr>
          <w:rFonts w:eastAsiaTheme="minorEastAsia"/>
        </w:rPr>
        <w:t xml:space="preserve"> </w:t>
      </w:r>
      <w:r w:rsidR="009E5A8A">
        <w:rPr>
          <w:rFonts w:eastAsiaTheme="minorEastAsia"/>
        </w:rPr>
        <w:t>y su visualización con mayor ruido en el osciloscopio</w:t>
      </w:r>
      <w:r w:rsidRPr="00535DB6">
        <w:rPr>
          <w:rFonts w:eastAsiaTheme="minorEastAsia"/>
        </w:rPr>
        <w:t>.</w:t>
      </w:r>
      <w:r w:rsidR="005E5180">
        <w:rPr>
          <w:rFonts w:eastAsiaTheme="minorEastAsia"/>
        </w:rPr>
        <w:t xml:space="preserve"> Además</w:t>
      </w:r>
      <w:r w:rsidR="00DD2F9E">
        <w:rPr>
          <w:rFonts w:eastAsiaTheme="minorEastAsia"/>
        </w:rPr>
        <w:t>, se hace la observación de que aumentó el error al haber aumentado la frecuencia de la señal portadora y el porcentaje de la señal modulada.</w:t>
      </w:r>
    </w:p>
    <w:p w14:paraId="2B46254B" w14:textId="48964DE3" w:rsidR="00DD2F9E" w:rsidRPr="0049079B" w:rsidRDefault="00842444">
      <w:r w:rsidRPr="0049079B">
        <w:rPr>
          <w:b/>
          <w:bCs/>
        </w:rPr>
        <w:t xml:space="preserve">Caso 3. </w:t>
      </w:r>
      <w:r w:rsidR="0049079B" w:rsidRPr="0049079B">
        <w:t>Señal modulada en 1</w:t>
      </w:r>
      <w:r w:rsidR="0049079B">
        <w:t>5</w:t>
      </w:r>
      <w:r w:rsidR="0049079B" w:rsidRPr="0049079B">
        <w:t xml:space="preserve">0% (con frecuencia de portadora = </w:t>
      </w:r>
      <w:r w:rsidR="0049079B">
        <w:t>1</w:t>
      </w:r>
      <w:r w:rsidR="0049079B" w:rsidRPr="0049079B">
        <w:t xml:space="preserve">50[MHz], ganancia de TX = </w:t>
      </w:r>
      <w:r w:rsidR="0049079B">
        <w:t>20</w:t>
      </w:r>
      <w:r w:rsidR="0049079B" w:rsidRPr="0049079B">
        <w:t xml:space="preserve">[dB] y </w:t>
      </w:r>
      <w:r w:rsidR="0049079B">
        <w:t>2</w:t>
      </w:r>
      <w:r w:rsidR="0049079B" w:rsidRPr="0049079B">
        <w:t>0 muestras por símbolo)</w:t>
      </w:r>
    </w:p>
    <w:tbl>
      <w:tblPr>
        <w:tblStyle w:val="Tablaconcuadrcula"/>
        <w:tblW w:w="14390" w:type="dxa"/>
        <w:tblLayout w:type="fixed"/>
        <w:tblLook w:val="04A0" w:firstRow="1" w:lastRow="0" w:firstColumn="1" w:lastColumn="0" w:noHBand="0" w:noVBand="1"/>
      </w:tblPr>
      <w:tblGrid>
        <w:gridCol w:w="4756"/>
        <w:gridCol w:w="4737"/>
        <w:gridCol w:w="4897"/>
      </w:tblGrid>
      <w:tr w:rsidR="00AC67B7" w14:paraId="4C39ADC3" w14:textId="5EEDE2B5" w:rsidTr="00C33CDB">
        <w:trPr>
          <w:trHeight w:val="267"/>
        </w:trPr>
        <w:tc>
          <w:tcPr>
            <w:tcW w:w="4756" w:type="dxa"/>
          </w:tcPr>
          <w:p w14:paraId="1CC77489" w14:textId="77777777" w:rsidR="00AC67B7" w:rsidRPr="00911979" w:rsidRDefault="00AC67B7" w:rsidP="007916F5">
            <w:pPr>
              <w:jc w:val="center"/>
              <w:rPr>
                <w:b/>
                <w:bCs/>
                <w:lang w:val="en-US"/>
              </w:rPr>
            </w:pPr>
            <w:r w:rsidRPr="00911979">
              <w:rPr>
                <w:b/>
                <w:bCs/>
                <w:lang w:val="en-US"/>
              </w:rPr>
              <w:t>GNU Radio</w:t>
            </w:r>
          </w:p>
        </w:tc>
        <w:tc>
          <w:tcPr>
            <w:tcW w:w="4737" w:type="dxa"/>
          </w:tcPr>
          <w:p w14:paraId="2ACE6D09" w14:textId="18C856D1" w:rsidR="00AC67B7" w:rsidRPr="00911979" w:rsidRDefault="00AC67B7" w:rsidP="007916F5">
            <w:pPr>
              <w:jc w:val="center"/>
              <w:rPr>
                <w:b/>
                <w:bCs/>
                <w:lang w:val="en-US"/>
              </w:rPr>
            </w:pPr>
            <w:r w:rsidRPr="00AC67B7">
              <w:rPr>
                <w:b/>
                <w:bCs/>
                <w:lang w:val="en-US"/>
              </w:rPr>
              <w:t>Osciloscopio</w:t>
            </w:r>
          </w:p>
        </w:tc>
        <w:tc>
          <w:tcPr>
            <w:tcW w:w="4897" w:type="dxa"/>
          </w:tcPr>
          <w:p w14:paraId="671F32FC" w14:textId="52FF3AED" w:rsidR="00AC67B7" w:rsidRDefault="00AC67B7" w:rsidP="007916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Analizador de espectros</w:t>
            </w:r>
          </w:p>
        </w:tc>
      </w:tr>
      <w:tr w:rsidR="00AC67B7" w14:paraId="4E1D3607" w14:textId="32F3E9B4" w:rsidTr="00C33CDB">
        <w:trPr>
          <w:trHeight w:val="2673"/>
        </w:trPr>
        <w:tc>
          <w:tcPr>
            <w:tcW w:w="4756" w:type="dxa"/>
          </w:tcPr>
          <w:p w14:paraId="5BCBF438" w14:textId="7676B1E3" w:rsidR="00AC67B7" w:rsidRDefault="00AC67B7" w:rsidP="007916F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2934CA6" wp14:editId="665201EF">
                  <wp:extent cx="2903220" cy="1641932"/>
                  <wp:effectExtent l="0" t="0" r="0" b="0"/>
                  <wp:docPr id="1486941123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028" cy="1650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7" w:type="dxa"/>
          </w:tcPr>
          <w:p w14:paraId="3A64F524" w14:textId="0507BA73" w:rsidR="00AC67B7" w:rsidRDefault="00AC67B7" w:rsidP="007916F5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699219" wp14:editId="111FEB36">
                  <wp:extent cx="2811780" cy="1809130"/>
                  <wp:effectExtent l="0" t="0" r="7620" b="635"/>
                  <wp:docPr id="44708511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2240" cy="181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7" w:type="dxa"/>
          </w:tcPr>
          <w:p w14:paraId="52597768" w14:textId="3F5495A3" w:rsidR="00AC67B7" w:rsidRDefault="00AC67B7" w:rsidP="007916F5">
            <w:pPr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AFD668F" wp14:editId="5141AA75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3810</wp:posOffset>
                  </wp:positionV>
                  <wp:extent cx="2969260" cy="1669415"/>
                  <wp:effectExtent l="0" t="0" r="2540" b="6985"/>
                  <wp:wrapSquare wrapText="bothSides"/>
                  <wp:docPr id="618041705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260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CDE1FD9" w14:textId="5334EF25" w:rsidR="00911979" w:rsidRDefault="00911979"/>
    <w:p w14:paraId="38D0E30B" w14:textId="200F96FB" w:rsidR="00DD2F9E" w:rsidRPr="00535DB6" w:rsidRDefault="00DD2F9E" w:rsidP="00DD2F9E">
      <w:pPr>
        <w:jc w:val="both"/>
      </w:pPr>
      <w:r w:rsidRPr="00237877">
        <w:lastRenderedPageBreak/>
        <w:t>Como se puede o</w:t>
      </w:r>
      <w:r>
        <w:t xml:space="preserve">bservar para este caso, la respuesta en frecuencia vista desde el analizador de espectros concuerda con el comportamiento de la vista en el simulador de GNU Radio. </w:t>
      </w:r>
      <w:r w:rsidR="002868F4">
        <w:t xml:space="preserve">Del mismo modo, se midió un ancho de banda de </w:t>
      </w:r>
      <w:r w:rsidR="002868F4" w:rsidRPr="002868F4">
        <w:t>49,966</w:t>
      </w:r>
      <w:r w:rsidR="002868F4">
        <w:t xml:space="preserve">[kHz]. </w:t>
      </w:r>
      <w:r>
        <w:t xml:space="preserve">Por otro lado, el osciloscopio reflejó el comportamiento de la señal en el tiempo. Aquí se midió el valor del tiempo de bit de </w:t>
      </w:r>
      <m:oMath>
        <m:r>
          <w:rPr>
            <w:rFonts w:ascii="Cambria Math" w:hAnsi="Cambria Math"/>
          </w:rPr>
          <m:t>24,5</m:t>
        </m:r>
      </m:oMath>
      <w:r>
        <w:rPr>
          <w:rFonts w:eastAsiaTheme="minorEastAsia"/>
        </w:rPr>
        <w:t>[</w:t>
      </w:r>
      <w:r>
        <w:rPr>
          <w:rFonts w:ascii="Calibri" w:eastAsiaTheme="minorEastAsia" w:hAnsi="Calibri" w:cs="Calibri"/>
        </w:rPr>
        <w:t>μ</w:t>
      </w:r>
      <w:r>
        <w:rPr>
          <w:rFonts w:eastAsiaTheme="minorEastAsia"/>
        </w:rPr>
        <w:t>s] y una altura mínima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>) y máxima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>) con motivo de calcular el índice de modulación experimental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exp</m:t>
            </m:r>
          </m:sub>
        </m:sSub>
      </m:oMath>
      <w:r>
        <w:rPr>
          <w:rFonts w:eastAsiaTheme="minorEastAsia"/>
        </w:rPr>
        <w:t xml:space="preserve">) a través de la fórmula </w:t>
      </w:r>
      <w:r w:rsidRPr="00535DB6">
        <w:rPr>
          <w:rFonts w:eastAsiaTheme="minorEastAsia"/>
          <w:color w:val="FF0000"/>
        </w:rPr>
        <w:t>(1)</w:t>
      </w:r>
      <w:r>
        <w:rPr>
          <w:rFonts w:eastAsiaTheme="minorEastAsia"/>
        </w:rPr>
        <w:t>, d</w:t>
      </w:r>
      <w:r w:rsidRPr="00535DB6">
        <w:rPr>
          <w:rFonts w:eastAsiaTheme="minorEastAsia"/>
        </w:rPr>
        <w:t xml:space="preserve">ando como resultado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exp</m:t>
            </m:r>
          </m:sub>
        </m:sSub>
        <m:r>
          <w:rPr>
            <w:rFonts w:ascii="Cambria Math" w:eastAsiaTheme="minorEastAsia" w:hAnsi="Cambria Math"/>
          </w:rPr>
          <m:t xml:space="preserve"> =0,966</m:t>
        </m:r>
      </m:oMath>
      <w:r>
        <w:rPr>
          <w:rFonts w:eastAsiaTheme="minorEastAsia"/>
        </w:rPr>
        <w:t xml:space="preserve">. </w:t>
      </w:r>
    </w:p>
    <w:p w14:paraId="40A30226" w14:textId="5A58D4D4" w:rsidR="00DD2F9E" w:rsidRDefault="00DD2F9E" w:rsidP="00DD2F9E">
      <w:pPr>
        <w:jc w:val="both"/>
        <w:rPr>
          <w:b/>
          <w:bCs/>
        </w:rPr>
      </w:pPr>
      <w:r w:rsidRPr="00535DB6">
        <w:rPr>
          <w:rFonts w:eastAsiaTheme="minorEastAsia"/>
        </w:rPr>
        <w:t xml:space="preserve">Teniendo en cuenta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teo</m:t>
            </m:r>
          </m:sub>
        </m:sSub>
        <m:r>
          <w:rPr>
            <w:rFonts w:ascii="Cambria Math" w:eastAsiaTheme="minorEastAsia" w:hAnsi="Cambria Math"/>
          </w:rPr>
          <m:t xml:space="preserve"> = 1</m:t>
        </m:r>
      </m:oMath>
      <w:r>
        <w:rPr>
          <w:rFonts w:eastAsiaTheme="minorEastAsia"/>
        </w:rPr>
        <w:t>,5</w:t>
      </w:r>
      <w:r w:rsidRPr="00535DB6">
        <w:rPr>
          <w:rFonts w:eastAsiaTheme="minorEastAsia"/>
        </w:rPr>
        <w:t xml:space="preserve">, se puede afirmar entonces que el error entre ambas medidas es de </w:t>
      </w:r>
      <w:r>
        <w:rPr>
          <w:rFonts w:eastAsiaTheme="minorEastAsia"/>
        </w:rPr>
        <w:t>53,435</w:t>
      </w:r>
      <w:r w:rsidRPr="00535DB6">
        <w:rPr>
          <w:rFonts w:eastAsiaTheme="minorEastAsia"/>
        </w:rPr>
        <w:t>%. Dicho error puede deberse al uso del radio URSP en malas condiciones que conllevó a aplicar una ganancia de TX diferente a la propuesta en la guía de laboratorio, lo que afecta la modulación de la señal binaria</w:t>
      </w:r>
      <w:r w:rsidR="009E5A8A" w:rsidRPr="009E5A8A">
        <w:rPr>
          <w:rFonts w:eastAsiaTheme="minorEastAsia"/>
        </w:rPr>
        <w:t xml:space="preserve"> </w:t>
      </w:r>
      <w:r w:rsidR="009E5A8A">
        <w:rPr>
          <w:rFonts w:eastAsiaTheme="minorEastAsia"/>
        </w:rPr>
        <w:t>y su visualización con mayor ruido en el osciloscopio</w:t>
      </w:r>
      <w:r w:rsidRPr="00535DB6">
        <w:rPr>
          <w:rFonts w:eastAsiaTheme="minorEastAsia"/>
        </w:rPr>
        <w:t>.</w:t>
      </w:r>
      <w:r>
        <w:rPr>
          <w:rFonts w:eastAsiaTheme="minorEastAsia"/>
        </w:rPr>
        <w:t xml:space="preserve"> Además, se hace la observación de que aumentó en mayor medida que en los dos casos anteriores el error tras aumentar el porcentaje de la señal modulada y </w:t>
      </w:r>
      <w:r w:rsidR="009E5A8A">
        <w:rPr>
          <w:rFonts w:eastAsiaTheme="minorEastAsia"/>
        </w:rPr>
        <w:t xml:space="preserve">aún </w:t>
      </w:r>
      <w:r>
        <w:rPr>
          <w:rFonts w:eastAsiaTheme="minorEastAsia"/>
        </w:rPr>
        <w:t>aunque la frecuencia de la señal portadora disminuyera.</w:t>
      </w:r>
    </w:p>
    <w:p w14:paraId="61DB657A" w14:textId="77777777" w:rsidR="00DD2F9E" w:rsidRPr="00842444" w:rsidRDefault="00DD2F9E"/>
    <w:sectPr w:rsidR="00DD2F9E" w:rsidRPr="00842444" w:rsidSect="00AC67B7"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AC"/>
    <w:rsid w:val="00010FAC"/>
    <w:rsid w:val="000C3BC3"/>
    <w:rsid w:val="00237877"/>
    <w:rsid w:val="002868F4"/>
    <w:rsid w:val="0031174E"/>
    <w:rsid w:val="003303A8"/>
    <w:rsid w:val="00397BCC"/>
    <w:rsid w:val="004206FB"/>
    <w:rsid w:val="0049079B"/>
    <w:rsid w:val="00535DB6"/>
    <w:rsid w:val="005C35FE"/>
    <w:rsid w:val="005C46F6"/>
    <w:rsid w:val="005E5180"/>
    <w:rsid w:val="006934D9"/>
    <w:rsid w:val="00842444"/>
    <w:rsid w:val="00852000"/>
    <w:rsid w:val="008F3872"/>
    <w:rsid w:val="00911979"/>
    <w:rsid w:val="009D4708"/>
    <w:rsid w:val="009E5A8A"/>
    <w:rsid w:val="00A81994"/>
    <w:rsid w:val="00A845E2"/>
    <w:rsid w:val="00AC67B7"/>
    <w:rsid w:val="00BB05DA"/>
    <w:rsid w:val="00C33CDB"/>
    <w:rsid w:val="00DD2F9E"/>
    <w:rsid w:val="00E72375"/>
    <w:rsid w:val="00F20024"/>
    <w:rsid w:val="00F8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3211"/>
  <w15:chartTrackingRefBased/>
  <w15:docId w15:val="{06B9F9AA-6D7C-4A12-871E-CC7293A4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DB6"/>
  </w:style>
  <w:style w:type="paragraph" w:styleId="Ttulo1">
    <w:name w:val="heading 1"/>
    <w:basedOn w:val="Normal"/>
    <w:next w:val="Normal"/>
    <w:link w:val="Ttulo1Car"/>
    <w:uiPriority w:val="9"/>
    <w:qFormat/>
    <w:rsid w:val="0001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F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F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F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F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F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F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FA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1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206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NOHELIA AGUDELO</dc:creator>
  <cp:keywords/>
  <dc:description/>
  <cp:lastModifiedBy>NOHELIA AGUDELO</cp:lastModifiedBy>
  <cp:revision>8</cp:revision>
  <cp:lastPrinted>2025-04-11T17:02:00Z</cp:lastPrinted>
  <dcterms:created xsi:type="dcterms:W3CDTF">2025-04-11T15:12:00Z</dcterms:created>
  <dcterms:modified xsi:type="dcterms:W3CDTF">2025-04-11T17:40:00Z</dcterms:modified>
</cp:coreProperties>
</file>