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8BE44" w14:textId="5B3ABB8E" w:rsidR="009D4708" w:rsidRPr="0065704B" w:rsidRDefault="0065704B">
      <w:pPr>
        <w:rPr>
          <w:b/>
          <w:bCs/>
          <w:lang w:val="es-ES"/>
        </w:rPr>
      </w:pPr>
      <w:r w:rsidRPr="0065704B">
        <w:rPr>
          <w:b/>
          <w:bCs/>
          <w:lang w:val="es-ES"/>
        </w:rPr>
        <w:t>Nohelia Agudelo Cuervo – 2210413</w:t>
      </w:r>
    </w:p>
    <w:p w14:paraId="2AC66610" w14:textId="720F0F27" w:rsidR="0065704B" w:rsidRPr="0065704B" w:rsidRDefault="0065704B">
      <w:pPr>
        <w:rPr>
          <w:b/>
          <w:bCs/>
          <w:lang w:val="es-ES"/>
        </w:rPr>
      </w:pPr>
      <w:r w:rsidRPr="0065704B">
        <w:rPr>
          <w:b/>
          <w:bCs/>
          <w:lang w:val="es-ES"/>
        </w:rPr>
        <w:t>Fabián Camilo Chacón Vargas – 2214192</w:t>
      </w:r>
    </w:p>
    <w:p w14:paraId="745A8CDC" w14:textId="72802402" w:rsidR="0065704B" w:rsidRDefault="0065704B">
      <w:pPr>
        <w:rPr>
          <w:lang w:val="es-ES"/>
        </w:rPr>
      </w:pPr>
      <w:r>
        <w:rPr>
          <w:lang w:val="es-ES"/>
        </w:rPr>
        <w:t>___________________________________________________________________________________________________</w:t>
      </w:r>
    </w:p>
    <w:p w14:paraId="4349F58E" w14:textId="0D01F867" w:rsidR="0065704B" w:rsidRPr="0065704B" w:rsidRDefault="0065704B" w:rsidP="0065704B">
      <w:pPr>
        <w:jc w:val="center"/>
        <w:rPr>
          <w:b/>
          <w:bCs/>
          <w:lang w:val="es-ES"/>
        </w:rPr>
      </w:pPr>
      <w:r w:rsidRPr="0065704B">
        <w:rPr>
          <w:b/>
          <w:bCs/>
          <w:lang w:val="es-ES"/>
        </w:rPr>
        <w:t>PRÁCTICA A – PARTE 1 – LABORATORIO 4</w:t>
      </w:r>
    </w:p>
    <w:p w14:paraId="023F7D8C" w14:textId="72ECF0BC" w:rsidR="00245AFF" w:rsidRDefault="00245AFF" w:rsidP="00245AFF">
      <w:pPr>
        <w:pStyle w:val="Prrafodelista"/>
        <w:numPr>
          <w:ilvl w:val="0"/>
          <w:numId w:val="1"/>
        </w:numPr>
        <w:rPr>
          <w:b/>
          <w:bCs/>
          <w:lang w:val="es-ES"/>
        </w:rPr>
      </w:pPr>
      <w:r w:rsidRPr="00245AFF">
        <w:rPr>
          <w:b/>
          <w:bCs/>
          <w:lang w:val="es-ES"/>
        </w:rPr>
        <w:t xml:space="preserve">Adjunte la tabla en diligenciada en formato </w:t>
      </w:r>
      <w:r>
        <w:rPr>
          <w:b/>
          <w:bCs/>
          <w:lang w:val="es-ES"/>
        </w:rPr>
        <w:t>PDF</w:t>
      </w:r>
      <w:r w:rsidRPr="00245AFF">
        <w:rPr>
          <w:b/>
          <w:bCs/>
          <w:lang w:val="es-ES"/>
        </w:rPr>
        <w:t xml:space="preserve"> para evidenciar el trabajo en clase</w:t>
      </w:r>
    </w:p>
    <w:p w14:paraId="286C80A1" w14:textId="77777777" w:rsidR="00245AFF" w:rsidRDefault="00245AFF" w:rsidP="00245AFF">
      <w:pPr>
        <w:pStyle w:val="Prrafodelista"/>
        <w:rPr>
          <w:b/>
          <w:bCs/>
          <w:lang w:val="es-ES"/>
        </w:rPr>
      </w:pPr>
    </w:p>
    <w:p w14:paraId="57234304" w14:textId="1BAF5BD7" w:rsidR="00245AFF" w:rsidRPr="00245AFF" w:rsidRDefault="00245AFF" w:rsidP="00245AFF">
      <w:pPr>
        <w:pStyle w:val="Prrafodelista"/>
        <w:rPr>
          <w:lang w:val="es-ES"/>
        </w:rPr>
      </w:pPr>
      <w:r>
        <w:rPr>
          <w:lang w:val="es-ES"/>
        </w:rPr>
        <w:t>Ta</w:t>
      </w:r>
      <w:r w:rsidR="00DF1B1E">
        <w:rPr>
          <w:lang w:val="es-ES"/>
        </w:rPr>
        <w:t xml:space="preserve">bla adjuntada </w:t>
      </w:r>
      <w:r w:rsidR="008152C9">
        <w:rPr>
          <w:lang w:val="es-ES"/>
        </w:rPr>
        <w:t>al final de este documento.</w:t>
      </w:r>
    </w:p>
    <w:p w14:paraId="60BFF38F" w14:textId="77777777" w:rsidR="00245AFF" w:rsidRDefault="00245AFF" w:rsidP="00245AFF">
      <w:pPr>
        <w:pStyle w:val="Prrafodelista"/>
        <w:rPr>
          <w:b/>
          <w:bCs/>
          <w:lang w:val="es-ES"/>
        </w:rPr>
      </w:pPr>
    </w:p>
    <w:p w14:paraId="505529FA" w14:textId="06DC4580" w:rsidR="00245AFF" w:rsidRDefault="0065704B" w:rsidP="00245AFF">
      <w:pPr>
        <w:pStyle w:val="Prrafodelista"/>
        <w:numPr>
          <w:ilvl w:val="0"/>
          <w:numId w:val="1"/>
        </w:numPr>
        <w:rPr>
          <w:b/>
          <w:bCs/>
          <w:lang w:val="es-ES"/>
        </w:rPr>
      </w:pPr>
      <w:r w:rsidRPr="0065704B">
        <w:rPr>
          <w:b/>
          <w:bCs/>
          <w:lang w:val="es-ES"/>
        </w:rPr>
        <w:t>A continuación, sustente la importancia del uso de equipos de bajo costo en el monitoreo del espectro radioeléctrico</w:t>
      </w:r>
    </w:p>
    <w:p w14:paraId="7CFF4B1B" w14:textId="77777777" w:rsidR="00245AFF" w:rsidRDefault="00245AFF" w:rsidP="00245AFF">
      <w:pPr>
        <w:pStyle w:val="Prrafodelista"/>
        <w:rPr>
          <w:b/>
          <w:bCs/>
          <w:lang w:val="es-ES"/>
        </w:rPr>
      </w:pPr>
    </w:p>
    <w:p w14:paraId="20CE13F4" w14:textId="7AAA4733" w:rsidR="00544250" w:rsidRPr="00245AFF" w:rsidRDefault="0065704B" w:rsidP="00245AFF">
      <w:pPr>
        <w:pStyle w:val="Prrafodelista"/>
        <w:jc w:val="both"/>
        <w:rPr>
          <w:b/>
          <w:bCs/>
          <w:lang w:val="es-ES"/>
        </w:rPr>
      </w:pPr>
      <w:r w:rsidRPr="00245AFF">
        <w:rPr>
          <w:lang w:val="es-ES"/>
        </w:rPr>
        <w:t>Emplear equipos de bajo costo para el monitoreo del espectro radioeléctrico</w:t>
      </w:r>
      <w:r w:rsidR="00D71EA5" w:rsidRPr="00245AFF">
        <w:rPr>
          <w:lang w:val="es-ES"/>
        </w:rPr>
        <w:t xml:space="preserve"> es de gran utilidad, teniendo en cuenta que en nuestro país hay muchas limitaciones financieras, tanto en el simple hecho de </w:t>
      </w:r>
      <w:r w:rsidR="00544250" w:rsidRPr="00245AFF">
        <w:rPr>
          <w:lang w:val="es-ES"/>
        </w:rPr>
        <w:t xml:space="preserve">querer </w:t>
      </w:r>
      <w:r w:rsidR="00D71EA5" w:rsidRPr="00245AFF">
        <w:rPr>
          <w:lang w:val="es-ES"/>
        </w:rPr>
        <w:t xml:space="preserve">comprar equipos más </w:t>
      </w:r>
      <w:r w:rsidR="00544250" w:rsidRPr="00245AFF">
        <w:rPr>
          <w:lang w:val="es-ES"/>
        </w:rPr>
        <w:t>costosos</w:t>
      </w:r>
      <w:r w:rsidR="00D71EA5" w:rsidRPr="00245AFF">
        <w:rPr>
          <w:lang w:val="es-ES"/>
        </w:rPr>
        <w:t>, como en poseer una infraestructura para producir artefactos de este tipo más actualizados y optimizados</w:t>
      </w:r>
      <w:r w:rsidR="00245AFF">
        <w:rPr>
          <w:lang w:val="es-ES"/>
        </w:rPr>
        <w:t>:</w:t>
      </w:r>
    </w:p>
    <w:p w14:paraId="6161B479" w14:textId="77777777" w:rsidR="00544250" w:rsidRPr="00544250" w:rsidRDefault="00544250" w:rsidP="00544250">
      <w:pPr>
        <w:pStyle w:val="Prrafodelista"/>
        <w:jc w:val="both"/>
        <w:rPr>
          <w:lang w:val="es-ES"/>
        </w:rPr>
      </w:pPr>
    </w:p>
    <w:p w14:paraId="19745F7A" w14:textId="06B41CDA" w:rsidR="004E2C6B" w:rsidRPr="004E2C6B" w:rsidRDefault="00544250" w:rsidP="004E2C6B">
      <w:pPr>
        <w:pStyle w:val="Prrafodelista"/>
        <w:numPr>
          <w:ilvl w:val="0"/>
          <w:numId w:val="2"/>
        </w:numPr>
        <w:jc w:val="both"/>
        <w:rPr>
          <w:lang w:val="es-ES"/>
        </w:rPr>
      </w:pPr>
      <w:r>
        <w:rPr>
          <w:lang w:val="es-ES"/>
        </w:rPr>
        <w:t>Los equipos de bajo costo</w:t>
      </w:r>
      <w:r w:rsidRPr="00544250">
        <w:rPr>
          <w:lang w:val="es-ES"/>
        </w:rPr>
        <w:t xml:space="preserve"> permiten que instituciones </w:t>
      </w:r>
      <w:r>
        <w:rPr>
          <w:lang w:val="es-ES"/>
        </w:rPr>
        <w:t xml:space="preserve">de educación </w:t>
      </w:r>
      <w:r w:rsidRPr="00544250">
        <w:rPr>
          <w:lang w:val="es-ES"/>
        </w:rPr>
        <w:t>públicas,</w:t>
      </w:r>
      <w:r>
        <w:rPr>
          <w:lang w:val="es-ES"/>
        </w:rPr>
        <w:t xml:space="preserve"> como nuestra universidad</w:t>
      </w:r>
      <w:r w:rsidRPr="00544250">
        <w:rPr>
          <w:lang w:val="es-ES"/>
        </w:rPr>
        <w:t>,</w:t>
      </w:r>
      <w:r>
        <w:rPr>
          <w:lang w:val="es-ES"/>
        </w:rPr>
        <w:t xml:space="preserve"> y</w:t>
      </w:r>
      <w:r w:rsidRPr="00544250">
        <w:rPr>
          <w:lang w:val="es-ES"/>
        </w:rPr>
        <w:t xml:space="preserve"> </w:t>
      </w:r>
      <w:r>
        <w:rPr>
          <w:lang w:val="es-ES"/>
        </w:rPr>
        <w:t>grupos</w:t>
      </w:r>
      <w:r w:rsidRPr="00544250">
        <w:rPr>
          <w:lang w:val="es-ES"/>
        </w:rPr>
        <w:t xml:space="preserve"> </w:t>
      </w:r>
      <w:r>
        <w:rPr>
          <w:lang w:val="es-ES"/>
        </w:rPr>
        <w:t>científicos</w:t>
      </w:r>
      <w:r w:rsidRPr="00544250">
        <w:rPr>
          <w:lang w:val="es-ES"/>
        </w:rPr>
        <w:t xml:space="preserve"> </w:t>
      </w:r>
      <w:r>
        <w:rPr>
          <w:lang w:val="es-ES"/>
        </w:rPr>
        <w:t>p</w:t>
      </w:r>
      <w:r w:rsidRPr="00544250">
        <w:rPr>
          <w:lang w:val="es-ES"/>
        </w:rPr>
        <w:t xml:space="preserve">uedan participar en el </w:t>
      </w:r>
      <w:r>
        <w:rPr>
          <w:lang w:val="es-ES"/>
        </w:rPr>
        <w:t xml:space="preserve">estudio y </w:t>
      </w:r>
      <w:r w:rsidRPr="00544250">
        <w:rPr>
          <w:lang w:val="es-ES"/>
        </w:rPr>
        <w:t>monitoreo del espectro sin necesidad de grandes inversiones</w:t>
      </w:r>
      <w:r>
        <w:rPr>
          <w:lang w:val="es-ES"/>
        </w:rPr>
        <w:t>, formando profesionales con conocimientos en telecomunicaciones y formulando proyectos de investigación.</w:t>
      </w:r>
    </w:p>
    <w:p w14:paraId="65CA3587" w14:textId="77777777" w:rsidR="004E2C6B" w:rsidRPr="004E2C6B" w:rsidRDefault="004E2C6B" w:rsidP="004E2C6B">
      <w:pPr>
        <w:pStyle w:val="Prrafodelista"/>
        <w:ind w:left="1440"/>
        <w:jc w:val="both"/>
        <w:rPr>
          <w:lang w:val="es-ES"/>
        </w:rPr>
      </w:pPr>
    </w:p>
    <w:p w14:paraId="4CF3784B" w14:textId="1945303B" w:rsidR="000B10FD" w:rsidRPr="000B10FD" w:rsidRDefault="004E2C6B" w:rsidP="000B10FD">
      <w:pPr>
        <w:pStyle w:val="Prrafodelista"/>
        <w:numPr>
          <w:ilvl w:val="0"/>
          <w:numId w:val="2"/>
        </w:numPr>
        <w:jc w:val="both"/>
        <w:rPr>
          <w:lang w:val="es-ES"/>
        </w:rPr>
      </w:pPr>
      <w:r w:rsidRPr="004E2C6B">
        <w:t xml:space="preserve">Una desventaja de los dispositivos electrónicos fabricados en el extranjero, como los equipos de monitoreo en este caso, es que, en caso de daño, es muy probable que haya que recurrir a la garantía del producto (si existe), lo que puede alargar significativamente el tiempo de reparación debido a los trámites y envíos involucrados. En cambio, la producción nacional </w:t>
      </w:r>
      <w:r>
        <w:t>(</w:t>
      </w:r>
      <w:r w:rsidRPr="004E2C6B">
        <w:t>además de su bajo costo</w:t>
      </w:r>
      <w:r>
        <w:t>)</w:t>
      </w:r>
      <w:r w:rsidRPr="004E2C6B">
        <w:t xml:space="preserve"> ofrece la ventaja de que profesionales locales en telecomunicaciones pueden resolver las fallas de manera más rápida y económica.</w:t>
      </w:r>
    </w:p>
    <w:p w14:paraId="151B21FC" w14:textId="77777777" w:rsidR="000B10FD" w:rsidRPr="004E2C6B" w:rsidRDefault="000B10FD" w:rsidP="000B10FD">
      <w:pPr>
        <w:pStyle w:val="Prrafodelista"/>
        <w:ind w:left="1440"/>
        <w:jc w:val="both"/>
        <w:rPr>
          <w:lang w:val="es-ES"/>
        </w:rPr>
      </w:pPr>
    </w:p>
    <w:p w14:paraId="2BAB0692" w14:textId="3C3F3CEB" w:rsidR="00544250" w:rsidRDefault="000B10FD" w:rsidP="000B10FD">
      <w:pPr>
        <w:pStyle w:val="Prrafodelista"/>
        <w:numPr>
          <w:ilvl w:val="0"/>
          <w:numId w:val="2"/>
        </w:numPr>
        <w:jc w:val="both"/>
        <w:rPr>
          <w:lang w:val="es-ES"/>
        </w:rPr>
      </w:pPr>
      <w:r>
        <w:rPr>
          <w:lang w:val="es-ES"/>
        </w:rPr>
        <w:t xml:space="preserve">Equipos más económicos pueden ser de mayor utilidad </w:t>
      </w:r>
      <w:r w:rsidRPr="000B10FD">
        <w:rPr>
          <w:lang w:val="es-ES"/>
        </w:rPr>
        <w:t xml:space="preserve">para tareas </w:t>
      </w:r>
      <w:r>
        <w:rPr>
          <w:lang w:val="es-ES"/>
        </w:rPr>
        <w:t xml:space="preserve">más </w:t>
      </w:r>
      <w:r w:rsidRPr="000B10FD">
        <w:rPr>
          <w:lang w:val="es-ES"/>
        </w:rPr>
        <w:t>específicas</w:t>
      </w:r>
      <w:r>
        <w:rPr>
          <w:lang w:val="es-ES"/>
        </w:rPr>
        <w:t>, proyectos piloto o estudios de viabilidad.</w:t>
      </w:r>
    </w:p>
    <w:p w14:paraId="7A30F9C7" w14:textId="05225B09" w:rsidR="00DF1B1E" w:rsidRPr="00DF1B1E" w:rsidRDefault="00DF1B1E" w:rsidP="00DF1B1E">
      <w:pPr>
        <w:pStyle w:val="Prrafodelista"/>
        <w:rPr>
          <w:lang w:val="es-ES"/>
        </w:rPr>
      </w:pPr>
    </w:p>
    <w:p w14:paraId="58B3503F" w14:textId="6DA95C69" w:rsidR="00DF1B1E" w:rsidRDefault="00DF1B1E" w:rsidP="00DF1B1E">
      <w:pPr>
        <w:pStyle w:val="Prrafodelista"/>
        <w:numPr>
          <w:ilvl w:val="0"/>
          <w:numId w:val="1"/>
        </w:numPr>
        <w:rPr>
          <w:b/>
          <w:bCs/>
          <w:lang w:val="es-ES"/>
        </w:rPr>
      </w:pPr>
      <w:r w:rsidRPr="00DF1B1E">
        <w:rPr>
          <w:b/>
          <w:bCs/>
          <w:lang w:val="es-ES"/>
        </w:rPr>
        <w:t>Intente detectar otra señal distinta a la de radio FM y muestre sus características principales</w:t>
      </w:r>
      <w:r>
        <w:rPr>
          <w:b/>
          <w:bCs/>
          <w:lang w:val="es-ES"/>
        </w:rPr>
        <w:t xml:space="preserve"> </w:t>
      </w:r>
      <w:r w:rsidRPr="00DF1B1E">
        <w:rPr>
          <w:b/>
          <w:bCs/>
          <w:lang w:val="es-ES"/>
        </w:rPr>
        <w:t>(</w:t>
      </w:r>
      <w:r>
        <w:rPr>
          <w:b/>
          <w:bCs/>
          <w:lang w:val="es-ES"/>
        </w:rPr>
        <w:t>p</w:t>
      </w:r>
      <w:r w:rsidRPr="00DF1B1E">
        <w:rPr>
          <w:b/>
          <w:bCs/>
          <w:lang w:val="es-ES"/>
        </w:rPr>
        <w:t>or ejemplo</w:t>
      </w:r>
      <w:r>
        <w:rPr>
          <w:b/>
          <w:bCs/>
          <w:lang w:val="es-ES"/>
        </w:rPr>
        <w:t>:</w:t>
      </w:r>
      <w:r w:rsidRPr="00DF1B1E">
        <w:rPr>
          <w:b/>
          <w:bCs/>
          <w:lang w:val="es-ES"/>
        </w:rPr>
        <w:t xml:space="preserve"> TV, </w:t>
      </w:r>
      <w:r>
        <w:rPr>
          <w:b/>
          <w:bCs/>
          <w:lang w:val="es-ES"/>
        </w:rPr>
        <w:t>mó</w:t>
      </w:r>
      <w:r w:rsidRPr="00DF1B1E">
        <w:rPr>
          <w:b/>
          <w:bCs/>
          <w:lang w:val="es-ES"/>
        </w:rPr>
        <w:t>viles, sat</w:t>
      </w:r>
      <w:r>
        <w:rPr>
          <w:b/>
          <w:bCs/>
          <w:lang w:val="es-ES"/>
        </w:rPr>
        <w:t>é</w:t>
      </w:r>
      <w:r w:rsidRPr="00DF1B1E">
        <w:rPr>
          <w:b/>
          <w:bCs/>
          <w:lang w:val="es-ES"/>
        </w:rPr>
        <w:t>lites, entre otros)</w:t>
      </w:r>
    </w:p>
    <w:p w14:paraId="69BADBD9" w14:textId="22DED753" w:rsidR="00DF1B1E" w:rsidRDefault="00DF1B1E" w:rsidP="00DF1B1E">
      <w:pPr>
        <w:pStyle w:val="Prrafodelista"/>
        <w:rPr>
          <w:b/>
          <w:bCs/>
          <w:lang w:val="es-ES"/>
        </w:rPr>
      </w:pPr>
    </w:p>
    <w:p w14:paraId="1BA0344F" w14:textId="5BCD9C3A" w:rsidR="00132B97" w:rsidRDefault="00132B97" w:rsidP="00132B97">
      <w:pPr>
        <w:pStyle w:val="Prrafodelista"/>
        <w:jc w:val="both"/>
        <w:rPr>
          <w:lang w:val="es-ES"/>
        </w:rPr>
      </w:pPr>
      <w:r>
        <w:rPr>
          <w:noProof/>
          <w:lang w:val="es-ES"/>
        </w:rPr>
        <w:drawing>
          <wp:anchor distT="0" distB="0" distL="114300" distR="114300" simplePos="0" relativeHeight="251660288" behindDoc="0" locked="0" layoutInCell="1" allowOverlap="1" wp14:anchorId="465CEA8E" wp14:editId="79EF3AE1">
            <wp:simplePos x="0" y="0"/>
            <wp:positionH relativeFrom="margin">
              <wp:align>right</wp:align>
            </wp:positionH>
            <wp:positionV relativeFrom="paragraph">
              <wp:posOffset>-46355</wp:posOffset>
            </wp:positionV>
            <wp:extent cx="2096770" cy="1571906"/>
            <wp:effectExtent l="0" t="0" r="0" b="9525"/>
            <wp:wrapSquare wrapText="bothSides"/>
            <wp:docPr id="16910867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6770" cy="15719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132B97">
        <w:rPr>
          <w:lang w:val="es-ES"/>
        </w:rPr>
        <w:t>Con ayuda del profesor Efrén Acevedo</w:t>
      </w:r>
      <w:r>
        <w:rPr>
          <w:lang w:val="es-ES"/>
        </w:rPr>
        <w:t>, fue posible conectar al analizador de espectros una antena capaz de captar señales de televisión analógica, celulares e incluso el pulso producido tras presionar el botón de las llaves de su auto. Esto nos demostró que incluso actividades sencillas de nuestro diario vivir se reflejan en la observación del espectro radioeléctrico, más allá de las producidas por estaciones de radio.</w:t>
      </w:r>
    </w:p>
    <w:p w14:paraId="5B1F4096" w14:textId="77777777" w:rsidR="00132B97" w:rsidRDefault="00132B97" w:rsidP="00DF1B1E">
      <w:pPr>
        <w:pStyle w:val="Prrafodelista"/>
        <w:rPr>
          <w:lang w:val="es-ES"/>
        </w:rPr>
      </w:pPr>
    </w:p>
    <w:p w14:paraId="17A95B3B" w14:textId="67BD9F75" w:rsidR="00DF1B1E" w:rsidRPr="009C4983" w:rsidRDefault="009C4983" w:rsidP="00E37719">
      <w:pPr>
        <w:pStyle w:val="Prrafodelista"/>
        <w:jc w:val="both"/>
        <w:rPr>
          <w:lang w:val="es-ES"/>
        </w:rPr>
      </w:pPr>
      <w:r w:rsidRPr="009C4983">
        <w:rPr>
          <w:lang w:val="es-ES"/>
        </w:rPr>
        <w:lastRenderedPageBreak/>
        <w:t>Enfocándonos en una señal de celular tras realizar una llamada al *611 (atención al cliente de Claro)</w:t>
      </w:r>
      <w:r>
        <w:rPr>
          <w:lang w:val="es-ES"/>
        </w:rPr>
        <w:t>, veamos:</w:t>
      </w:r>
    </w:p>
    <w:tbl>
      <w:tblPr>
        <w:tblStyle w:val="Tablaconcuadrcula"/>
        <w:tblpPr w:leftFromText="141" w:rightFromText="141" w:vertAnchor="page" w:horzAnchor="margin" w:tblpXSpec="right" w:tblpY="2236"/>
        <w:tblW w:w="0" w:type="auto"/>
        <w:tblLook w:val="04A0" w:firstRow="1" w:lastRow="0" w:firstColumn="1" w:lastColumn="0" w:noHBand="0" w:noVBand="1"/>
      </w:tblPr>
      <w:tblGrid>
        <w:gridCol w:w="4671"/>
        <w:gridCol w:w="4716"/>
      </w:tblGrid>
      <w:tr w:rsidR="009C4983" w14:paraId="163DFCD4" w14:textId="77777777" w:rsidTr="009C4983">
        <w:trPr>
          <w:trHeight w:val="287"/>
        </w:trPr>
        <w:tc>
          <w:tcPr>
            <w:tcW w:w="9162" w:type="dxa"/>
            <w:gridSpan w:val="2"/>
          </w:tcPr>
          <w:p w14:paraId="6D4BF68A" w14:textId="3AF96903" w:rsidR="009C4983" w:rsidRDefault="009C4983" w:rsidP="009C4983">
            <w:pPr>
              <w:pStyle w:val="Prrafodelista"/>
              <w:ind w:left="0"/>
              <w:jc w:val="center"/>
              <w:rPr>
                <w:b/>
                <w:bCs/>
                <w:lang w:val="es-ES"/>
              </w:rPr>
            </w:pPr>
            <w:r>
              <w:rPr>
                <w:b/>
                <w:bCs/>
                <w:lang w:val="es-ES"/>
              </w:rPr>
              <w:t>SEÑAL DE CELULAR</w:t>
            </w:r>
          </w:p>
        </w:tc>
      </w:tr>
      <w:tr w:rsidR="009C4983" w14:paraId="4733CF4F" w14:textId="77777777" w:rsidTr="009C4983">
        <w:trPr>
          <w:trHeight w:val="2678"/>
        </w:trPr>
        <w:tc>
          <w:tcPr>
            <w:tcW w:w="4559" w:type="dxa"/>
          </w:tcPr>
          <w:p w14:paraId="63190BAF" w14:textId="77777777" w:rsidR="009C4983" w:rsidRDefault="009C4983" w:rsidP="009C4983">
            <w:pPr>
              <w:pStyle w:val="Prrafodelista"/>
              <w:ind w:left="0"/>
              <w:rPr>
                <w:b/>
                <w:bCs/>
                <w:lang w:val="es-ES"/>
              </w:rPr>
            </w:pPr>
            <w:r>
              <w:rPr>
                <w:b/>
                <w:bCs/>
                <w:noProof/>
                <w:lang w:val="es-ES"/>
              </w:rPr>
              <w:drawing>
                <wp:inline distT="0" distB="0" distL="0" distR="0" wp14:anchorId="1228E762" wp14:editId="7EE60BCB">
                  <wp:extent cx="2828925" cy="1589425"/>
                  <wp:effectExtent l="0" t="0" r="0" b="0"/>
                  <wp:docPr id="1786335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4736" cy="1598308"/>
                          </a:xfrm>
                          <a:prstGeom prst="rect">
                            <a:avLst/>
                          </a:prstGeom>
                          <a:noFill/>
                          <a:ln>
                            <a:noFill/>
                          </a:ln>
                        </pic:spPr>
                      </pic:pic>
                    </a:graphicData>
                  </a:graphic>
                </wp:inline>
              </w:drawing>
            </w:r>
          </w:p>
        </w:tc>
        <w:tc>
          <w:tcPr>
            <w:tcW w:w="4603" w:type="dxa"/>
          </w:tcPr>
          <w:p w14:paraId="52E21B07" w14:textId="77777777" w:rsidR="009C4983" w:rsidRDefault="009C4983" w:rsidP="009C4983">
            <w:pPr>
              <w:pStyle w:val="Prrafodelista"/>
              <w:ind w:left="0"/>
              <w:rPr>
                <w:b/>
                <w:bCs/>
                <w:lang w:val="es-ES"/>
              </w:rPr>
            </w:pPr>
            <w:r>
              <w:rPr>
                <w:b/>
                <w:bCs/>
                <w:noProof/>
                <w:lang w:val="es-ES"/>
              </w:rPr>
              <w:drawing>
                <wp:inline distT="0" distB="0" distL="0" distR="0" wp14:anchorId="51351442" wp14:editId="7B1C11DC">
                  <wp:extent cx="2857500" cy="1605481"/>
                  <wp:effectExtent l="0" t="0" r="0" b="0"/>
                  <wp:docPr id="20119111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4126" cy="1614822"/>
                          </a:xfrm>
                          <a:prstGeom prst="rect">
                            <a:avLst/>
                          </a:prstGeom>
                          <a:noFill/>
                          <a:ln>
                            <a:noFill/>
                          </a:ln>
                        </pic:spPr>
                      </pic:pic>
                    </a:graphicData>
                  </a:graphic>
                </wp:inline>
              </w:drawing>
            </w:r>
          </w:p>
        </w:tc>
      </w:tr>
      <w:tr w:rsidR="009C4983" w14:paraId="2CCEBCAC" w14:textId="77777777" w:rsidTr="00E37719">
        <w:trPr>
          <w:trHeight w:val="686"/>
        </w:trPr>
        <w:tc>
          <w:tcPr>
            <w:tcW w:w="4559" w:type="dxa"/>
            <w:vAlign w:val="center"/>
          </w:tcPr>
          <w:p w14:paraId="29A4D587" w14:textId="1BE2074B" w:rsidR="009C4983" w:rsidRDefault="002143B2" w:rsidP="002143B2">
            <w:pPr>
              <w:pStyle w:val="Prrafodelista"/>
              <w:ind w:left="0"/>
              <w:jc w:val="center"/>
              <w:rPr>
                <w:b/>
                <w:bCs/>
                <w:lang w:val="es-ES"/>
              </w:rPr>
            </w:pPr>
            <w:r>
              <w:rPr>
                <w:b/>
                <w:bCs/>
                <w:lang w:val="es-ES"/>
              </w:rPr>
              <w:t>Espectro radioeléctrico</w:t>
            </w:r>
            <w:r w:rsidR="00E37719">
              <w:rPr>
                <w:b/>
                <w:bCs/>
                <w:lang w:val="es-ES"/>
              </w:rPr>
              <w:t xml:space="preserve"> (</w:t>
            </w:r>
            <w:proofErr w:type="spellStart"/>
            <w:r w:rsidR="00E37719">
              <w:rPr>
                <w:b/>
                <w:bCs/>
                <w:lang w:val="es-ES"/>
              </w:rPr>
              <w:t>span</w:t>
            </w:r>
            <w:proofErr w:type="spellEnd"/>
            <w:r w:rsidR="00E37719">
              <w:rPr>
                <w:b/>
                <w:bCs/>
                <w:lang w:val="es-ES"/>
              </w:rPr>
              <w:t xml:space="preserve"> de 1[GHz])</w:t>
            </w:r>
          </w:p>
        </w:tc>
        <w:tc>
          <w:tcPr>
            <w:tcW w:w="4603" w:type="dxa"/>
            <w:vAlign w:val="center"/>
          </w:tcPr>
          <w:p w14:paraId="33A06EFD" w14:textId="396DBBDA" w:rsidR="009C4983" w:rsidRDefault="00E37719" w:rsidP="002143B2">
            <w:pPr>
              <w:pStyle w:val="Prrafodelista"/>
              <w:ind w:left="0"/>
              <w:jc w:val="center"/>
              <w:rPr>
                <w:b/>
                <w:bCs/>
                <w:lang w:val="es-ES"/>
              </w:rPr>
            </w:pPr>
            <w:r>
              <w:rPr>
                <w:b/>
                <w:bCs/>
                <w:lang w:val="es-ES"/>
              </w:rPr>
              <w:t>Ampliación de la señal de celular (</w:t>
            </w:r>
            <w:proofErr w:type="spellStart"/>
            <w:r>
              <w:rPr>
                <w:b/>
                <w:bCs/>
                <w:lang w:val="es-ES"/>
              </w:rPr>
              <w:t>span</w:t>
            </w:r>
            <w:proofErr w:type="spellEnd"/>
            <w:r>
              <w:rPr>
                <w:b/>
                <w:bCs/>
                <w:lang w:val="es-ES"/>
              </w:rPr>
              <w:t xml:space="preserve"> de 200[MHz])</w:t>
            </w:r>
          </w:p>
        </w:tc>
      </w:tr>
      <w:tr w:rsidR="002143B2" w14:paraId="3D7BBDD7" w14:textId="77777777" w:rsidTr="002143B2">
        <w:trPr>
          <w:trHeight w:val="976"/>
        </w:trPr>
        <w:tc>
          <w:tcPr>
            <w:tcW w:w="4559" w:type="dxa"/>
            <w:vAlign w:val="center"/>
          </w:tcPr>
          <w:p w14:paraId="61C01655" w14:textId="51E3974C" w:rsidR="002143B2" w:rsidRPr="002143B2" w:rsidRDefault="002143B2" w:rsidP="002143B2">
            <w:pPr>
              <w:pStyle w:val="Prrafodelista"/>
              <w:ind w:left="0"/>
              <w:jc w:val="center"/>
              <w:rPr>
                <w:lang w:val="es-ES"/>
              </w:rPr>
            </w:pPr>
            <w:r w:rsidRPr="002143B2">
              <w:rPr>
                <w:lang w:val="es-ES"/>
              </w:rPr>
              <w:t>Se aprecia en alrededor de los 827[MHz] unos pulsos producidos por la llamada de celular.</w:t>
            </w:r>
            <w:r>
              <w:rPr>
                <w:lang w:val="es-ES"/>
              </w:rPr>
              <w:t xml:space="preserve"> También se alcanza a percibir señales a los 472[MHz], que de acuerdo con la web del </w:t>
            </w:r>
            <w:r w:rsidRPr="00C64E13">
              <w:rPr>
                <w:i/>
                <w:iCs/>
                <w:lang w:val="es-ES"/>
              </w:rPr>
              <w:t>Espectro Visible CNABF</w:t>
            </w:r>
            <w:r>
              <w:rPr>
                <w:lang w:val="es-ES"/>
              </w:rPr>
              <w:t xml:space="preserve"> de la ANE, puede corresponder a otras señales de móviles o radiodifusión.</w:t>
            </w:r>
          </w:p>
        </w:tc>
        <w:tc>
          <w:tcPr>
            <w:tcW w:w="4603" w:type="dxa"/>
            <w:vAlign w:val="center"/>
          </w:tcPr>
          <w:p w14:paraId="2125AD72" w14:textId="5A9CFC7E" w:rsidR="002143B2" w:rsidRPr="00E37719" w:rsidRDefault="00E37719" w:rsidP="002143B2">
            <w:pPr>
              <w:pStyle w:val="Prrafodelista"/>
              <w:ind w:left="0"/>
              <w:jc w:val="center"/>
              <w:rPr>
                <w:lang w:val="es-ES"/>
              </w:rPr>
            </w:pPr>
            <w:r w:rsidRPr="00E37719">
              <w:rPr>
                <w:lang w:val="es-ES"/>
              </w:rPr>
              <w:t>S</w:t>
            </w:r>
            <w:r>
              <w:rPr>
                <w:lang w:val="es-ES"/>
              </w:rPr>
              <w:t xml:space="preserve">e capturan datos de interés para la señal, y se calcula un </w:t>
            </w:r>
            <w:r w:rsidRPr="00E37719">
              <w:rPr>
                <w:b/>
                <w:bCs/>
                <w:lang w:val="es-ES"/>
              </w:rPr>
              <w:t>ancho de banda</w:t>
            </w:r>
            <w:r>
              <w:rPr>
                <w:lang w:val="es-ES"/>
              </w:rPr>
              <w:t xml:space="preserve"> de 4,826143[MHz].</w:t>
            </w:r>
          </w:p>
        </w:tc>
      </w:tr>
    </w:tbl>
    <w:p w14:paraId="718443FB" w14:textId="7E769616" w:rsidR="00DF1B1E" w:rsidRPr="00DF1B1E" w:rsidRDefault="00DF1B1E" w:rsidP="00DF1B1E">
      <w:pPr>
        <w:pStyle w:val="Prrafodelista"/>
        <w:jc w:val="both"/>
        <w:rPr>
          <w:lang w:val="es-ES"/>
        </w:rPr>
      </w:pPr>
    </w:p>
    <w:sectPr w:rsidR="00DF1B1E" w:rsidRPr="00DF1B1E" w:rsidSect="0065704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50CDA"/>
    <w:multiLevelType w:val="hybridMultilevel"/>
    <w:tmpl w:val="7EC6DD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C3E27C4"/>
    <w:multiLevelType w:val="hybridMultilevel"/>
    <w:tmpl w:val="2B2EE01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323558579">
    <w:abstractNumId w:val="0"/>
  </w:num>
  <w:num w:numId="2" w16cid:durableId="395511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04B"/>
    <w:rsid w:val="000B10FD"/>
    <w:rsid w:val="000C3BC3"/>
    <w:rsid w:val="00132B97"/>
    <w:rsid w:val="00206B88"/>
    <w:rsid w:val="002143B2"/>
    <w:rsid w:val="00245AFF"/>
    <w:rsid w:val="00397BCC"/>
    <w:rsid w:val="004E2C6B"/>
    <w:rsid w:val="00544250"/>
    <w:rsid w:val="0065704B"/>
    <w:rsid w:val="008152C9"/>
    <w:rsid w:val="009C261B"/>
    <w:rsid w:val="009C4983"/>
    <w:rsid w:val="009D4708"/>
    <w:rsid w:val="00A81994"/>
    <w:rsid w:val="00BB05DA"/>
    <w:rsid w:val="00C64E13"/>
    <w:rsid w:val="00D71EA5"/>
    <w:rsid w:val="00DF1B1E"/>
    <w:rsid w:val="00E377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1944"/>
  <w15:chartTrackingRefBased/>
  <w15:docId w15:val="{32055D89-A3EA-4BB3-BFBB-379FC03C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7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7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70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70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70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70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70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70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70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70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70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70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70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70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70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70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70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704B"/>
    <w:rPr>
      <w:rFonts w:eastAsiaTheme="majorEastAsia" w:cstheme="majorBidi"/>
      <w:color w:val="272727" w:themeColor="text1" w:themeTint="D8"/>
    </w:rPr>
  </w:style>
  <w:style w:type="paragraph" w:styleId="Ttulo">
    <w:name w:val="Title"/>
    <w:basedOn w:val="Normal"/>
    <w:next w:val="Normal"/>
    <w:link w:val="TtuloCar"/>
    <w:uiPriority w:val="10"/>
    <w:qFormat/>
    <w:rsid w:val="00657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70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70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70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704B"/>
    <w:pPr>
      <w:spacing w:before="160"/>
      <w:jc w:val="center"/>
    </w:pPr>
    <w:rPr>
      <w:i/>
      <w:iCs/>
      <w:color w:val="404040" w:themeColor="text1" w:themeTint="BF"/>
    </w:rPr>
  </w:style>
  <w:style w:type="character" w:customStyle="1" w:styleId="CitaCar">
    <w:name w:val="Cita Car"/>
    <w:basedOn w:val="Fuentedeprrafopredeter"/>
    <w:link w:val="Cita"/>
    <w:uiPriority w:val="29"/>
    <w:rsid w:val="0065704B"/>
    <w:rPr>
      <w:i/>
      <w:iCs/>
      <w:color w:val="404040" w:themeColor="text1" w:themeTint="BF"/>
    </w:rPr>
  </w:style>
  <w:style w:type="paragraph" w:styleId="Prrafodelista">
    <w:name w:val="List Paragraph"/>
    <w:basedOn w:val="Normal"/>
    <w:uiPriority w:val="34"/>
    <w:qFormat/>
    <w:rsid w:val="0065704B"/>
    <w:pPr>
      <w:ind w:left="720"/>
      <w:contextualSpacing/>
    </w:pPr>
  </w:style>
  <w:style w:type="character" w:styleId="nfasisintenso">
    <w:name w:val="Intense Emphasis"/>
    <w:basedOn w:val="Fuentedeprrafopredeter"/>
    <w:uiPriority w:val="21"/>
    <w:qFormat/>
    <w:rsid w:val="0065704B"/>
    <w:rPr>
      <w:i/>
      <w:iCs/>
      <w:color w:val="0F4761" w:themeColor="accent1" w:themeShade="BF"/>
    </w:rPr>
  </w:style>
  <w:style w:type="paragraph" w:styleId="Citadestacada">
    <w:name w:val="Intense Quote"/>
    <w:basedOn w:val="Normal"/>
    <w:next w:val="Normal"/>
    <w:link w:val="CitadestacadaCar"/>
    <w:uiPriority w:val="30"/>
    <w:qFormat/>
    <w:rsid w:val="00657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704B"/>
    <w:rPr>
      <w:i/>
      <w:iCs/>
      <w:color w:val="0F4761" w:themeColor="accent1" w:themeShade="BF"/>
    </w:rPr>
  </w:style>
  <w:style w:type="character" w:styleId="Referenciaintensa">
    <w:name w:val="Intense Reference"/>
    <w:basedOn w:val="Fuentedeprrafopredeter"/>
    <w:uiPriority w:val="32"/>
    <w:qFormat/>
    <w:rsid w:val="0065704B"/>
    <w:rPr>
      <w:b/>
      <w:bCs/>
      <w:smallCaps/>
      <w:color w:val="0F4761" w:themeColor="accent1" w:themeShade="BF"/>
      <w:spacing w:val="5"/>
    </w:rPr>
  </w:style>
  <w:style w:type="table" w:styleId="Tablaconcuadrcula">
    <w:name w:val="Table Grid"/>
    <w:basedOn w:val="Tablanormal"/>
    <w:uiPriority w:val="39"/>
    <w:rsid w:val="009C4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452</Words>
  <Characters>2487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NOHELIA AGUDELO</dc:creator>
  <cp:keywords/>
  <dc:description/>
  <cp:lastModifiedBy>NOHELIA AGUDELO</cp:lastModifiedBy>
  <cp:revision>4</cp:revision>
  <dcterms:created xsi:type="dcterms:W3CDTF">2025-05-01T20:37:00Z</dcterms:created>
  <dcterms:modified xsi:type="dcterms:W3CDTF">2025-05-02T13:01:00Z</dcterms:modified>
</cp:coreProperties>
</file>