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81752</wp:posOffset>
                  </wp:positionH>
                  <wp:positionV relativeFrom="paragraph">
                    <wp:posOffset>11430</wp:posOffset>
                  </wp:positionV>
                  <wp:extent cx="201295" cy="154940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bpag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85" b="11413"/>
                          <a:stretch/>
                        </pic:blipFill>
                        <pic:spPr bwMode="auto">
                          <a:xfrm>
                            <a:off x="0" y="0"/>
                            <a:ext cx="201295" cy="15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E078AC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https://nohfly.github.io</w:t>
              </w:r>
            </w:hyperlink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Linux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</w:p>
          <w:p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CD267A" w:rsidRDefault="002B3634" w:rsidP="00853BE9">
            <w:pPr>
              <w:spacing w:line="264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Conducted </w:t>
            </w:r>
            <w:r w:rsidRPr="00CD267A">
              <w:rPr>
                <w:rFonts w:ascii="Times" w:hAnsi="Times" w:cs="Times"/>
                <w:i/>
                <w:sz w:val="22"/>
                <w:szCs w:val="22"/>
              </w:rPr>
              <w:t>in silico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research on drug candidates from natural products and their effects in human metabolic pathways during the master’s course at Korea Advanced Institute of Science and Technology (KAIST)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Currently working as data scientist/consultant in </w:t>
            </w:r>
            <w:r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AWS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various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</w:t>
                  </w:r>
                  <w:r w:rsidR="0058463F" w:rsidRPr="00CD267A">
                    <w:rPr>
                      <w:rFonts w:ascii="Times" w:hAnsi="Times" w:cs="Times"/>
                      <w:sz w:val="22"/>
                      <w:szCs w:val="22"/>
                    </w:rPr>
                    <w:t>informatics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3.77/4.30)</w:t>
                  </w:r>
                </w:p>
                <w:p w:rsidR="00DF7561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  <w:p w:rsidR="00081AE8" w:rsidRPr="00CE32A0" w:rsidRDefault="00081AE8" w:rsidP="00AB5012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[Graduation thesis</w:t>
                  </w:r>
                  <w:r w:rsidR="00CE32A0"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 xml:space="preserve"> -</w:t>
                  </w:r>
                  <w:r w:rsidR="00CE32A0" w:rsidRPr="00853BE9">
                    <w:rPr>
                      <w:color w:val="1F4E79" w:themeColor="accent5" w:themeShade="80"/>
                    </w:rPr>
                    <w:t xml:space="preserve"> </w:t>
                  </w:r>
                  <w:hyperlink r:id="rId11" w:history="1"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Finding pharmacological effects of human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</w:r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metabolites and their similar natural produc</w:t>
                    </w:r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s</w:t>
                    </w:r>
                  </w:hyperlink>
                  <w:r w:rsidR="00CE32A0"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>]</w:t>
                  </w:r>
                </w:p>
              </w:tc>
            </w:tr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B46EF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3.40/4.30)</w:t>
                  </w:r>
                </w:p>
                <w:p w:rsidR="00B46EF8" w:rsidRPr="00CD267A" w:rsidRDefault="009D1A85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CD267A" w:rsidRDefault="00885660" w:rsidP="00AB5012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[Graduation 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t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hesis</w:t>
                  </w:r>
                  <w:r w:rsidR="00AB5012"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 - </w:t>
                  </w:r>
                  <w:hyperlink r:id="rId12" w:history="1"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Anti-tumor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 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d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rug 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d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eliver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y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 via 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argeted 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y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east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v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acuole 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s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yste</w:t>
                    </w:r>
                    <w:r w:rsidR="00AB5012" w:rsidRPr="00853BE9">
                      <w:rPr>
                        <w:rStyle w:val="a4"/>
                        <w:rFonts w:ascii="Times" w:hAnsi="Times" w:cs="Times" w:hint="eastAsia"/>
                        <w:color w:val="1F4E79" w:themeColor="accent5" w:themeShade="80"/>
                        <w:szCs w:val="20"/>
                      </w:rPr>
                      <w:t>m</w:t>
                    </w:r>
                  </w:hyperlink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]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 Academy of Foreign Studies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, </w:t>
                  </w: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Yongin, 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Korea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/>
                <w:sz w:val="4"/>
                <w:szCs w:val="4"/>
              </w:rPr>
            </w:pPr>
          </w:p>
          <w:p w:rsidR="00DF7561" w:rsidRPr="00CD267A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r w:rsidR="00AB5012" w:rsidRPr="00853BE9">
              <w:rPr>
                <w:rFonts w:ascii="Times" w:hAnsi="Times" w:cs="Times"/>
                <w:color w:val="1F4E79" w:themeColor="accent5" w:themeShade="80"/>
                <w:szCs w:val="22"/>
              </w:rPr>
              <w:fldChar w:fldCharType="begin"/>
            </w:r>
            <w:r w:rsidR="00853BE9" w:rsidRPr="00853BE9">
              <w:rPr>
                <w:rFonts w:ascii="Times" w:hAnsi="Times" w:cs="Times"/>
                <w:color w:val="1F4E79" w:themeColor="accent5" w:themeShade="80"/>
                <w:szCs w:val="22"/>
              </w:rPr>
              <w:instrText>HYPERLINK "https://doi.org/10.1186/s12859-018-2196-0"</w:instrText>
            </w:r>
            <w:r w:rsidR="00853BE9" w:rsidRPr="00853BE9">
              <w:rPr>
                <w:rFonts w:ascii="Times" w:hAnsi="Times" w:cs="Times"/>
                <w:color w:val="1F4E79" w:themeColor="accent5" w:themeShade="80"/>
                <w:szCs w:val="22"/>
              </w:rPr>
            </w:r>
            <w:r w:rsidR="00AB5012" w:rsidRPr="00853BE9">
              <w:rPr>
                <w:rFonts w:ascii="Times" w:hAnsi="Times" w:cs="Times"/>
                <w:color w:val="1F4E79" w:themeColor="accent5" w:themeShade="80"/>
                <w:szCs w:val="22"/>
              </w:rPr>
              <w:fldChar w:fldCharType="separate"/>
            </w:r>
            <w:r w:rsidR="00AB5012" w:rsidRPr="00853BE9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https://doi.org/10.118</w:t>
            </w:r>
            <w:r w:rsidR="00AB5012" w:rsidRPr="00853BE9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6</w:t>
            </w:r>
            <w:r w:rsidR="00AB5012" w:rsidRPr="00853BE9">
              <w:rPr>
                <w:rStyle w:val="a4"/>
                <w:rFonts w:ascii="Times" w:hAnsi="Times" w:cs="Times"/>
                <w:color w:val="1F4E79" w:themeColor="accent5" w:themeShade="80"/>
                <w:szCs w:val="22"/>
              </w:rPr>
              <w:t>/s12859-018-2196-0</w:t>
            </w:r>
            <w:r w:rsidR="00AB5012" w:rsidRPr="00853BE9">
              <w:rPr>
                <w:rFonts w:ascii="Times" w:hAnsi="Times" w:cs="Times"/>
                <w:color w:val="1F4E79" w:themeColor="accent5" w:themeShade="80"/>
                <w:szCs w:val="22"/>
              </w:rPr>
              <w:fldChar w:fldCharType="end"/>
            </w:r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DF7561" w:rsidRPr="00853BE9" w:rsidRDefault="00DF7561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E83EF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 w:rsidR="00592DBC"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4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https://doi.org/10.1109/ACCESS.2018.2874089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CD267A" w:rsidRDefault="00592DBC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="00E83EFF"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="00E83EFF"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="00E83EFF"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="00E83EFF"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="00E83EFF" w:rsidRPr="00CD267A">
              <w:rPr>
                <w:rFonts w:ascii="Times" w:hAnsi="Times" w:cs="Times"/>
                <w:i/>
                <w:szCs w:val="22"/>
              </w:rPr>
              <w:t>.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5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https://doi.org/10.1145/2811163.2811168</w:t>
              </w:r>
            </w:hyperlink>
            <w:r w:rsidR="00E83EFF"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CD267A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 w:rsidR="00592DBC"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 w:rsidR="00592DBC"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 w:rsidR="00592DBC"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 w:rsidR="00592DBC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592DBC"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="00592DBC"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="00592DBC"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592DBC"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Pr="00E717B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 w:rsidR="00081AE8"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 w:rsidR="00081AE8"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 w:rsidR="00081AE8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081AE8"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="00081AE8"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081AE8">
              <w:rPr>
                <w:rFonts w:ascii="Times" w:hAnsi="Times" w:cs="Times"/>
                <w:i/>
                <w:szCs w:val="22"/>
              </w:rPr>
              <w:t>, 1.</w:t>
            </w: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lastRenderedPageBreak/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CD267A" w:rsidRPr="00AE38BD" w:rsidRDefault="002E1AE3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CD267A" w:rsidRDefault="009B0487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Pr="00CD267A" w:rsidRDefault="009B04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D1A85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B04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1A6C2A" w:rsidRDefault="009B0487" w:rsidP="00A2251F">
                  <w:pPr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1C724D" w:rsidRPr="00CD267A" w:rsidRDefault="00F10D62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853BE9" w:rsidRDefault="00B46EF8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6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7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:rsidR="0078257E" w:rsidRPr="00853BE9" w:rsidRDefault="0078257E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8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9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Pr="00CD267A" w:rsidRDefault="009D1A85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mobile platform for sales teams to use on-site.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integrate relevant data into </w:t>
                  </w:r>
                  <w:r w:rsidR="00AE38BD">
                    <w:rPr>
                      <w:rFonts w:ascii="Times" w:hAnsi="Times" w:cs="Times" w:hint="eastAsia"/>
                      <w:sz w:val="22"/>
                      <w:szCs w:val="22"/>
                    </w:rPr>
                    <w:t>t</w:t>
                  </w:r>
                  <w:r w:rsidR="00AE38BD">
                    <w:rPr>
                      <w:rFonts w:ascii="Times" w:hAnsi="Times" w:cs="Times"/>
                      <w:sz w:val="22"/>
                      <w:szCs w:val="22"/>
                    </w:rPr>
                    <w:t xml:space="preserve">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one sales service.</w:t>
                  </w:r>
                </w:p>
                <w:p w:rsidR="00E8070A" w:rsidRPr="0013544D" w:rsidRDefault="00E8070A" w:rsidP="00A2251F">
                  <w:pPr>
                    <w:jc w:val="left"/>
                    <w:rPr>
                      <w:rFonts w:ascii="Times" w:hAnsi="Times" w:cs="Times"/>
                      <w:sz w:val="6"/>
                      <w:szCs w:val="2"/>
                    </w:rPr>
                  </w:pPr>
                </w:p>
              </w:tc>
            </w:tr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CD267A" w:rsidRDefault="0049207E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:rsidR="004F47EC" w:rsidRDefault="004F47EC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Maintained a natural compound database </w:t>
                  </w:r>
                  <w:r w:rsidRPr="004F47EC">
                    <w:rPr>
                      <w:rFonts w:ascii="Times" w:hAnsi="Times" w:cs="Times"/>
                      <w:sz w:val="22"/>
                      <w:szCs w:val="22"/>
                    </w:rPr>
                    <w:t>which contains associations between natural product combinations and phenotypes inferred from heterogeneous sources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5B48" w:rsidRPr="00495B48" w:rsidRDefault="00495B48" w:rsidP="00A2251F">
                  <w:pPr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49207E" w:rsidRPr="00CD267A" w:rsidRDefault="009D1A85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90DA5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94A29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6F12E1"/>
    <w:rsid w:val="0078257E"/>
    <w:rsid w:val="007B1092"/>
    <w:rsid w:val="00846A7D"/>
    <w:rsid w:val="00853BE9"/>
    <w:rsid w:val="00885660"/>
    <w:rsid w:val="009B0487"/>
    <w:rsid w:val="009D1A85"/>
    <w:rsid w:val="009D3C87"/>
    <w:rsid w:val="009E2174"/>
    <w:rsid w:val="00A2251F"/>
    <w:rsid w:val="00AB5012"/>
    <w:rsid w:val="00AE38BD"/>
    <w:rsid w:val="00AF297F"/>
    <w:rsid w:val="00B46EF8"/>
    <w:rsid w:val="00BD4A11"/>
    <w:rsid w:val="00BE1798"/>
    <w:rsid w:val="00C30CB8"/>
    <w:rsid w:val="00CD267A"/>
    <w:rsid w:val="00CE32A0"/>
    <w:rsid w:val="00DF7561"/>
    <w:rsid w:val="00E078AC"/>
    <w:rsid w:val="00E26839"/>
    <w:rsid w:val="00E444DC"/>
    <w:rsid w:val="00E717BF"/>
    <w:rsid w:val="00E75D05"/>
    <w:rsid w:val="00E8070A"/>
    <w:rsid w:val="00E83EFF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0DC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38/s41598-018-19614-5" TargetMode="External"/><Relationship Id="rId18" Type="http://schemas.openxmlformats.org/officeDocument/2006/relationships/hyperlink" Target="https://www.businesskorea.co.kr/news/articleView.html?idxno=3566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nohfly.github.io/resume/BachelorThesis_KyungrinNoh.pdf" TargetMode="External"/><Relationship Id="rId17" Type="http://schemas.openxmlformats.org/officeDocument/2006/relationships/hyperlink" Target="http://www.amc.seoul.kr/asan/information/journal/journalDetail.do?journalId=124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ase-studies/asan-medical-center-auto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dl.handle.net/10203/24297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45/2811163.2811168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shinhangroup.com/kr/pr_center/pr_center_content.jsp?seq=74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hfly.github.io/" TargetMode="External"/><Relationship Id="rId14" Type="http://schemas.openxmlformats.org/officeDocument/2006/relationships/hyperlink" Target="https://doi.org/10.1109/ACCESS.2018.287408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4</cp:revision>
  <cp:lastPrinted>2021-10-25T04:00:00Z</cp:lastPrinted>
  <dcterms:created xsi:type="dcterms:W3CDTF">2021-11-12T07:28:00Z</dcterms:created>
  <dcterms:modified xsi:type="dcterms:W3CDTF">2021-11-12T16:29:00Z</dcterms:modified>
</cp:coreProperties>
</file>