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before="200" w:after="12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30"/>
          <w:szCs w:val="30"/>
          <w:b/>
        </w:rPr>
        <w:t xml:space="preserve">창업사업화 지원사업 사업계획서 (예비단계) — VIGENT 초안</w:t>
      </w:r>
    </w:p>
    <w:p>
      <w:pPr>
        <w:spacing w:before="10" w:after="10" w:line="276" w:lineRule="auto"/>
        <w:ind w:left="340"/>
      </w:pPr>
      <w:r>
        <w:rPr>
          <w:rFonts w:ascii="Malgun Gothic" w:eastAsia="맑은 고딕" w:hAnsi="Malgun Gothic"/>
          <w:sz w:val="18"/>
          <w:szCs w:val="18"/>
          <w:b/>
          <w:color w:val="595959"/>
        </w:rPr>
        <w:t xml:space="preserve">이 문서에 대하여</w:t>
      </w:r>
    </w:p>
    <w:p>
      <w:pPr>
        <w:spacing w:before="10" w:after="10" w:line="276" w:lineRule="auto"/>
        <w:ind w:left="340"/>
      </w:pPr>
      <w:r>
        <w:rPr>
          <w:rFonts w:ascii="Malgun Gothic" w:eastAsia="맑은 고딕" w:hAnsi="Malgun Gothic"/>
          <w:sz w:val="18"/>
          <w:szCs w:val="18"/>
          <w:color w:val="595959"/>
        </w:rPr>
        <w:t xml:space="preserve">- </w:t>
      </w:r>
      <w:r>
        <w:rPr>
          <w:rFonts w:ascii="Consolas" w:eastAsia="맑은 고딕" w:hAnsi="Consolas"/>
          <w:rFonts w:ascii="Malgun Gothic" w:eastAsia="맑은 고딕" w:hAnsi="Malgun Gothic"/>
          <w:sz w:val="18"/>
          <w:szCs w:val="18"/>
          <w:color w:val="595959"/>
        </w:rPr>
        <w:t xml:space="preserve">docs/사업계획서 양식.docx</w:t>
      </w:r>
      <w:r>
        <w:rPr>
          <w:rFonts w:ascii="Malgun Gothic" w:eastAsia="맑은 고딕" w:hAnsi="Malgun Gothic"/>
          <w:sz w:val="18"/>
          <w:szCs w:val="18"/>
          <w:color w:val="595959"/>
        </w:rPr>
        <w:t xml:space="preserve">(창업사업화 지원사업 예비단계 표준 양식)의 목차·항목을 그대로 따랐다.</w:t>
      </w:r>
    </w:p>
    <w:p>
      <w:pPr>
        <w:spacing w:before="10" w:after="10" w:line="276" w:lineRule="auto"/>
        <w:ind w:left="340"/>
      </w:pPr>
      <w:r>
        <w:rPr>
          <w:rFonts w:ascii="Malgun Gothic" w:eastAsia="맑은 고딕" w:hAnsi="Malgun Gothic"/>
          <w:sz w:val="18"/>
          <w:szCs w:val="18"/>
          <w:color w:val="595959"/>
        </w:rPr>
        <w:t xml:space="preserve">docx 로 옮길 때 이 md 의 절 제목을 양식의 해당 칸에 붙여 넣으면 된다.</w:t>
      </w:r>
    </w:p>
    <w:p>
      <w:pPr>
        <w:spacing w:before="10" w:after="10" w:line="276" w:lineRule="auto"/>
        <w:ind w:left="340"/>
      </w:pPr>
      <w:r>
        <w:rPr>
          <w:rFonts w:ascii="Malgun Gothic" w:eastAsia="맑은 고딕" w:hAnsi="Malgun Gothic"/>
          <w:sz w:val="18"/>
          <w:szCs w:val="18"/>
          <w:color w:val="595959"/>
        </w:rPr>
        <w:t xml:space="preserve">- `</w:t>
      </w:r>
      <w:r>
        <w:rPr>
          <w:rFonts w:ascii="Malgun Gothic" w:eastAsia="맑은 고딕" w:hAnsi="Malgun Gothic"/>
          <w:sz w:val="18"/>
          <w:szCs w:val="18"/>
          <w:highlight w:val="yellow"/>
          <w:color w:val="595959"/>
        </w:rPr>
        <w:t xml:space="preserve">[공란 — 대표 작성]</w:t>
      </w:r>
      <w:r>
        <w:rPr>
          <w:rFonts w:ascii="Malgun Gothic" w:eastAsia="맑은 고딕" w:hAnsi="Malgun Gothic"/>
          <w:sz w:val="18"/>
          <w:szCs w:val="18"/>
          <w:color w:val="595959"/>
        </w:rPr>
        <w:t xml:space="preserve">` 표시는 </w:t>
      </w:r>
      <w:r>
        <w:rPr>
          <w:rFonts w:ascii="Malgun Gothic" w:eastAsia="맑은 고딕" w:hAnsi="Malgun Gothic"/>
          <w:sz w:val="18"/>
          <w:szCs w:val="18"/>
          <w:b/>
          <w:color w:val="595959"/>
        </w:rPr>
        <w:t xml:space="preserve">대표자가 직접 써야 하는 칸</w:t>
      </w:r>
      <w:r>
        <w:rPr>
          <w:rFonts w:ascii="Malgun Gothic" w:eastAsia="맑은 고딕" w:hAnsi="Malgun Gothic"/>
          <w:sz w:val="18"/>
          <w:szCs w:val="18"/>
          <w:color w:val="595959"/>
        </w:rPr>
        <w:t xml:space="preserve">이다(개인정보·금액·일정·의지 표명).</w:t>
      </w:r>
    </w:p>
    <w:p>
      <w:pPr>
        <w:spacing w:before="10" w:after="10" w:line="276" w:lineRule="auto"/>
        <w:ind w:left="340"/>
      </w:pPr>
      <w:r>
        <w:rPr>
          <w:rFonts w:ascii="Malgun Gothic" w:eastAsia="맑은 고딕" w:hAnsi="Malgun Gothic"/>
          <w:sz w:val="18"/>
          <w:szCs w:val="18"/>
          <w:color w:val="595959"/>
        </w:rPr>
        <w:t xml:space="preserve">- 인용 수치는 전부 출처를 달았다. </w:t>
      </w:r>
      <w:r>
        <w:rPr>
          <w:rFonts w:ascii="Malgun Gothic" w:eastAsia="맑은 고딕" w:hAnsi="Malgun Gothic"/>
          <w:sz w:val="18"/>
          <w:szCs w:val="18"/>
          <w:b/>
          <w:color w:val="595959"/>
        </w:rPr>
        <w:t xml:space="preserve">자체 실측</w:t>
      </w:r>
      <w:r>
        <w:rPr>
          <w:rFonts w:ascii="Malgun Gothic" w:eastAsia="맑은 고딕" w:hAnsi="Malgun Gothic"/>
          <w:sz w:val="18"/>
          <w:szCs w:val="18"/>
          <w:color w:val="595959"/>
        </w:rPr>
        <w:t xml:space="preserve">은 저장소 파일·측정일·표본 수를,</w:t>
      </w:r>
    </w:p>
    <w:p>
      <w:pPr>
        <w:spacing w:before="10" w:after="10" w:line="276" w:lineRule="auto"/>
        <w:ind w:left="340"/>
      </w:pPr>
      <w:r>
        <w:rPr>
          <w:rFonts w:ascii="Malgun Gothic" w:eastAsia="맑은 고딕" w:hAnsi="Malgun Gothic"/>
          <w:sz w:val="18"/>
          <w:szCs w:val="18"/>
          <w:b/>
          <w:color w:val="595959"/>
        </w:rPr>
        <w:t xml:space="preserve">외부 자료</w:t>
      </w:r>
      <w:r>
        <w:rPr>
          <w:rFonts w:ascii="Malgun Gothic" w:eastAsia="맑은 고딕" w:hAnsi="Malgun Gothic"/>
          <w:sz w:val="18"/>
          <w:szCs w:val="18"/>
          <w:color w:val="595959"/>
        </w:rPr>
        <w:t xml:space="preserve">는 발행 기관·날짜·링크를 표기했다. 출처 없는 수치는 쓰지 않았다.</w:t>
      </w:r>
    </w:p>
    <w:p>
      <w:pPr>
        <w:spacing w:before="10" w:after="10" w:line="276" w:lineRule="auto"/>
        <w:ind w:left="340"/>
      </w:pPr>
      <w:r>
        <w:rPr>
          <w:rFonts w:ascii="Malgun Gothic" w:eastAsia="맑은 고딕" w:hAnsi="Malgun Gothic"/>
          <w:sz w:val="18"/>
          <w:szCs w:val="18"/>
          <w:color w:val="595959"/>
        </w:rPr>
        <w:t xml:space="preserve">- 양식 규정 준수 메모: 15페이지 이내(목차 제외) · 개인정보(성명·생년월일·학교명·직장명 등)</w:t>
      </w:r>
    </w:p>
    <w:p>
      <w:pPr>
        <w:spacing w:before="10" w:after="10" w:line="276" w:lineRule="auto"/>
        <w:ind w:left="340"/>
      </w:pPr>
      <w:r>
        <w:rPr>
          <w:rFonts w:ascii="Malgun Gothic" w:eastAsia="맑은 고딕" w:hAnsi="Malgun Gothic"/>
          <w:sz w:val="18"/>
          <w:szCs w:val="18"/>
          <w:color w:val="595959"/>
        </w:rPr>
        <w:t xml:space="preserve">기재 금지 또는 마스킹 · 파란 안내문구 삭제 후 제출.</w:t>
      </w: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□ 신청현황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항목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내용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신청 주관기관명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과제번호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작성(사업신청내역조회)]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신청 분야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작성(택 1)]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사업 분야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작성(택 1) — 정보·통신 제안]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기술 분야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작성(택 1) — 인공지능(AI)·빅데이터 제안]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사업비 구성계획(정부지원금)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작성]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 백만원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주요성과(직전년도) 고용/매출/투자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 · 현재 실적: 매출 0 · 투자 0]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성과 목표(협약기간) 고용/매출/투자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작성]</w:t>
            </w:r>
          </w:p>
        </w:tc>
      </w:tr>
    </w:tbl>
    <w:p>
      <w:pPr>
        <w:spacing w:before="0" w:after="60"/>
      </w:pP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□ 일반현황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항목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내용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창업아이템명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AI 영상분석 기술이 적용된, 기존 CCTV 로 산업현장 위험(보호구 미착용·위험구역 침입·중장비 협착)을 실시간 감지·통보하는 산업안전 모니터링 서비스 </w:t>
            </w: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VIGENT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산출물(협약기간 내 목표)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산업안전 AI 모니터링 SW 1식(검출·판정·통보 서버 + 웹 대시보드), 현장 파일럿 구축 </w:t>
            </w: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확정: 수량·범위]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직업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작성(직장명 기재 불가)]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기업(예정)명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(예비)창업팀 구성 현황(대표자 본인 제외)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 · 현재 개발 인력 1명(대표), 개발자/CTO 합류 논의 중이면 "예정"으로 기재]</w:t>
            </w:r>
          </w:p>
        </w:tc>
      </w:tr>
    </w:tbl>
    <w:p>
      <w:pPr>
        <w:spacing w:before="0" w:after="60"/>
      </w:pP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□ 창업아이템 개요(요약)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구분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내용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명칭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VIGENT (Vision + AI Agent)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범주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산업안전 AI 영상분석 SaaS/구축형 소프트웨어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아이템 개요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현장에 </w:t>
            </w: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이미 설치된 CCTV·저가 IP 카메라의 영상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을 초당 2회 AI 로 분석해 ①보호구(안전모·조끼) 미착용 ②위험구역 침입 ③지게차 등 중장비 협착 위험 ④급격동작·무동작을 감지하고, 관리자 휴대폰(텔레그램)으로 </w:t>
            </w: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요약 통보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한다. 기록은 전부 남기고 알림은 억제해 "알림 피로"를 막는다(자체 실측: 판정 270건 → 알림 19건, 오경보 폭주 억제 221건→24건). 카메라 교체 없이 SW 만 얹는 방식이라 도입 부담이 낮다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배경 및 필요성(문제인식)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2025년 재해조사 대상 사고사망자 </w:t>
            </w: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605명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으로 전년 대비 증가(고용노동부, 2026.3.31). 2024.1.27부터 </w:t>
            </w: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중대재해처벌법이 5인 이상 전 사업장으로 확대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됐으나, 소규모 사업장은 안전관리자 상주가 어렵고 CCTV 는 "사고 후 확인용"으로만 쓰인다. 상시 감시의 공백을 SW 로 메운다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현황 및 구체화 방안(실현가능성)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동작하는 시제품 보유(테스트 481건 자동검증 체계 포함). 중장비 교육기관 1곳에서 </w:t>
            </w: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실카메라 현장 시험 1회 완료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(54분·929프레임, 2026.8.27) — 지게차 검출 97.7%, 경보 전송 19/19건. 협약기간 내 ①정답지(라벨 데이터) 구축 ②사람 인식률 개선 ③파일럿 1곳 구축이 목표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목표시장 및 사업화 전략(성장전략)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1차: 중장비 교육기관·50인 미만 제조/물류 사업장(중대재해처벌법 신규 적용 대상 83.7만 개 사업장). 월 구독형(카메라 대수 과금) + 초기 구축비. 안전보건공단 </w:t>
            </w: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스마트 안전장비 지원사업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(소규모 사업장 도입 보조)을 고객 도입 장벽 완화에 활용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이미지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삽입: 시스템 구성도·현장 시험 화면(얼굴 비식별화 처리본만 사용)]</w:t>
            </w:r>
          </w:p>
        </w:tc>
      </w:tr>
    </w:tbl>
    <w:p>
      <w:pPr>
        <w:spacing w:before="0" w:after="60"/>
      </w:pPr>
    </w:p>
    <w:p>
      <w:pPr>
        <w:spacing w:before="200" w:after="120" w:line="276" w:lineRule="auto"/>
        <w:pBdr>
          <w:bottom w:val="single" w:sz="12" w:space="1" w:color="333333"/>
        </w:pBdr>
      </w:pPr>
      <w:r>
        <w:br w:type="page"/>
      </w:r>
      <w:r>
        <w:rPr>
          <w:rFonts w:ascii="Malgun Gothic" w:eastAsia="맑은 고딕" w:hAnsi="Malgun Gothic"/>
          <w:sz w:val="30"/>
          <w:szCs w:val="30"/>
          <w:b/>
        </w:rPr>
        <w:t xml:space="preserve">1. 문제인식 (Problem)</w:t>
      </w: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1-1. 창업아이템 배경 및 필요성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(외부적 배경 ①) 산재 사망사고가 다시 늘고 있고, 상위 유형이 "카메라로 볼 수 있는 사고"다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2025년(누적) 재해조사 대상 사고사망자는 </w:t>
      </w:r>
      <w:r>
        <w:rPr>
          <w:rFonts w:ascii="Malgun Gothic" w:eastAsia="맑은 고딕" w:hAnsi="Malgun Gothic"/>
          <w:sz w:val="20"/>
          <w:szCs w:val="20"/>
          <w:b/>
        </w:rPr>
        <w:t xml:space="preserve">605명(573건)</w:t>
      </w:r>
      <w:r>
        <w:rPr>
          <w:rFonts w:ascii="Malgun Gothic" w:eastAsia="맑은 고딕" w:hAnsi="Malgun Gothic"/>
          <w:sz w:val="20"/>
          <w:szCs w:val="20"/>
        </w:rPr>
        <w:t xml:space="preserve"> 으로 전년 589명 대비 </w:t>
      </w:r>
      <w:r>
        <w:rPr>
          <w:rFonts w:ascii="Malgun Gothic" w:eastAsia="맑은 고딕" w:hAnsi="Malgun Gothic"/>
          <w:sz w:val="20"/>
          <w:szCs w:val="20"/>
          <w:b/>
        </w:rPr>
        <w:t xml:space="preserve">16명(2.7%) 증가</w:t>
      </w:r>
      <w:r>
        <w:rPr>
          <w:rFonts w:ascii="Malgun Gothic" w:eastAsia="맑은 고딕" w:hAnsi="Malgun Gothic"/>
          <w:sz w:val="20"/>
          <w:szCs w:val="20"/>
        </w:rPr>
        <w:t xml:space="preserve">했다. 유형별로는 </w:t>
      </w:r>
      <w:r>
        <w:rPr>
          <w:rFonts w:ascii="Malgun Gothic" w:eastAsia="맑은 고딕" w:hAnsi="Malgun Gothic"/>
          <w:sz w:val="20"/>
          <w:szCs w:val="20"/>
          <w:b/>
        </w:rPr>
        <w:t xml:space="preserve">떨어짐 249명(41.2%)</w:t>
      </w:r>
      <w:r>
        <w:rPr>
          <w:rFonts w:ascii="Malgun Gothic" w:eastAsia="맑은 고딕" w:hAnsi="Malgun Gothic"/>
          <w:sz w:val="20"/>
          <w:szCs w:val="20"/>
        </w:rPr>
        <w:t xml:space="preserve"> 이 최다이고, </w:t>
      </w:r>
      <w:r>
        <w:rPr>
          <w:rFonts w:ascii="Malgun Gothic" w:eastAsia="맑은 고딕" w:hAnsi="Malgun Gothic"/>
          <w:sz w:val="20"/>
          <w:szCs w:val="20"/>
          <w:b/>
        </w:rPr>
        <w:t xml:space="preserve">부딪힘 62명(전년 대비 +24.0%)</w:t>
      </w:r>
      <w:r>
        <w:rPr>
          <w:rFonts w:ascii="Malgun Gothic" w:eastAsia="맑은 고딕" w:hAnsi="Malgun Gothic"/>
          <w:sz w:val="20"/>
          <w:szCs w:val="20"/>
        </w:rPr>
        <w:t xml:space="preserve">, 무너짐 38명이 증가했으며 끼임은 50명이다.</w:t>
      </w:r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출처: 고용노동부 보도자료 「2025년(누적) 산업재해 현황 부가통계 "재해조사 대상 사망사고 발생 현황" 잠정결과 발표」(2026.3.31) — </w:t>
      </w:r>
      <w:hyperlink r:id="rIdVG1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고용노동부</w:t>
        </w:r>
      </w:hyperlink>
      <w:r>
        <w:rPr>
          <w:rFonts w:ascii="Malgun Gothic" w:eastAsia="맑은 고딕" w:hAnsi="Malgun Gothic"/>
          <w:sz w:val="20"/>
          <w:szCs w:val="20"/>
        </w:rPr>
        <w:t xml:space="preserve"> · </w:t>
      </w:r>
      <w:hyperlink r:id="rIdVG2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대한민국 정책브리핑</w:t>
        </w:r>
      </w:hyperlink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부딪힘·끼임(합계 112명)은 </w:t>
      </w:r>
      <w:r>
        <w:rPr>
          <w:rFonts w:ascii="Malgun Gothic" w:eastAsia="맑은 고딕" w:hAnsi="Malgun Gothic"/>
          <w:sz w:val="20"/>
          <w:szCs w:val="20"/>
          <w:b/>
        </w:rPr>
        <w:t xml:space="preserve">중장비-사람의 위치 관계</w:t>
      </w:r>
      <w:r>
        <w:rPr>
          <w:rFonts w:ascii="Malgun Gothic" w:eastAsia="맑은 고딕" w:hAnsi="Malgun Gothic"/>
          <w:sz w:val="20"/>
          <w:szCs w:val="20"/>
        </w:rPr>
        <w:t xml:space="preserve">에서, 보호구 미착용은 </w:t>
      </w:r>
      <w:r>
        <w:rPr>
          <w:rFonts w:ascii="Malgun Gothic" w:eastAsia="맑은 고딕" w:hAnsi="Malgun Gothic"/>
          <w:sz w:val="20"/>
          <w:szCs w:val="20"/>
          <w:b/>
        </w:rPr>
        <w:t xml:space="preserve">착용 상태</w:t>
      </w:r>
      <w:r>
        <w:rPr>
          <w:rFonts w:ascii="Malgun Gothic" w:eastAsia="맑은 고딕" w:hAnsi="Malgun Gothic"/>
          <w:sz w:val="20"/>
          <w:szCs w:val="20"/>
        </w:rPr>
        <w:t xml:space="preserve">에서 비롯된다. 즉 사망 원인 상위 유형의 상당수가 </w:t>
      </w:r>
      <w:r>
        <w:rPr>
          <w:rFonts w:ascii="Malgun Gothic" w:eastAsia="맑은 고딕" w:hAnsi="Malgun Gothic"/>
          <w:sz w:val="20"/>
          <w:szCs w:val="20"/>
          <w:b/>
        </w:rPr>
        <w:t xml:space="preserve">영상으로 관찰 가능한 선행 징후</w:t>
      </w:r>
      <w:r>
        <w:rPr>
          <w:rFonts w:ascii="Malgun Gothic" w:eastAsia="맑은 고딕" w:hAnsi="Malgun Gothic"/>
          <w:sz w:val="20"/>
          <w:szCs w:val="20"/>
        </w:rPr>
        <w:t xml:space="preserve">(위험반경 접근, 미착용 상태)를 가진다.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(외부적 배경 ②) 중대재해처벌법 확대로 소규모 사업장의 안전관리 의무는 커졌는데, 수단이 없다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2024.1.27부터 중대재해처벌법이 </w:t>
      </w:r>
      <w:r>
        <w:rPr>
          <w:rFonts w:ascii="Malgun Gothic" w:eastAsia="맑은 고딕" w:hAnsi="Malgun Gothic"/>
          <w:sz w:val="20"/>
          <w:szCs w:val="20"/>
          <w:b/>
        </w:rPr>
        <w:t xml:space="preserve">상시근로자 5인 이상 전 사업장</w:t>
      </w:r>
      <w:r>
        <w:rPr>
          <w:rFonts w:ascii="Malgun Gothic" w:eastAsia="맑은 고딕" w:hAnsi="Malgun Gothic"/>
          <w:sz w:val="20"/>
          <w:szCs w:val="20"/>
        </w:rPr>
        <w:t xml:space="preserve">(5~49인 약 83.7만 개 사업장, 종사자 약 800만 명)으로 확대 적용됐다.</w:t>
      </w:r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출처: </w:t>
      </w:r>
      <w:hyperlink r:id="rIdVG3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법무법인(유) 세종·신영 등 다수 로펌 뉴스레터 — 신·김 법률사무소 "2024.1.27.부터 50인 미만 사업장에도 중대재해처벌법이 적용됩니다"</w:t>
        </w:r>
      </w:hyperlink>
      <w:r>
        <w:rPr>
          <w:rFonts w:ascii="Malgun Gothic" w:eastAsia="맑은 고딕" w:hAnsi="Malgun Gothic"/>
          <w:sz w:val="20"/>
          <w:szCs w:val="20"/>
        </w:rPr>
        <w:t xml:space="preserve"> · </w:t>
      </w:r>
      <w:hyperlink r:id="rIdVG4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YTN 사이언스(2024.1.26)</w:t>
        </w:r>
      </w:hyperlink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그러나 소규모 사업장은 전담 안전관리 인력을 두기 어렵다. 2025년 통계에서도 위험 확대가 </w:t>
      </w:r>
      <w:r>
        <w:rPr>
          <w:rFonts w:ascii="Malgun Gothic" w:eastAsia="맑은 고딕" w:hAnsi="Malgun Gothic"/>
          <w:sz w:val="20"/>
          <w:szCs w:val="20"/>
          <w:b/>
        </w:rPr>
        <w:t xml:space="preserve">기타업종·영세사업장 중심</w:t>
      </w:r>
      <w:r>
        <w:rPr>
          <w:rFonts w:ascii="Malgun Gothic" w:eastAsia="맑은 고딕" w:hAnsi="Malgun Gothic"/>
          <w:sz w:val="20"/>
          <w:szCs w:val="20"/>
        </w:rPr>
        <w:t xml:space="preserve">으로 나타났다.</w:t>
      </w:r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출처: </w:t>
      </w:r>
      <w:hyperlink r:id="rIdVG5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아웃소싱타임스(2026.3.31) "산재 사망 605명으로 증가…'기타업종·영세사업장' 중심 위험 확대"</w:t>
        </w:r>
      </w:hyperlink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CCTV 는 이미 대부분 현장에 있으나 </w:t>
      </w:r>
      <w:r>
        <w:rPr>
          <w:rFonts w:ascii="Malgun Gothic" w:eastAsia="맑은 고딕" w:hAnsi="Malgun Gothic"/>
          <w:sz w:val="20"/>
          <w:szCs w:val="20"/>
          <w:b/>
        </w:rPr>
        <w:t xml:space="preserve">사람이 계속 볼 수 없어</w:t>
      </w:r>
      <w:r>
        <w:rPr>
          <w:rFonts w:ascii="Malgun Gothic" w:eastAsia="맑은 고딕" w:hAnsi="Malgun Gothic"/>
          <w:sz w:val="20"/>
          <w:szCs w:val="20"/>
        </w:rPr>
        <w:t xml:space="preserve"> 사고 후 원인 확인용으로만 쓰인다. "이미 있는 카메라"에 판단을 얹으면, 인력 없이도 상시 감시 공백을 메울 수 있다.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(외부적 배경 ③) AI 영상분석·CCTV 시장은 성장 국면이다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글로벌 CCTV 시장은 2026년 </w:t>
      </w:r>
      <w:r>
        <w:rPr>
          <w:rFonts w:ascii="Malgun Gothic" w:eastAsia="맑은 고딕" w:hAnsi="Malgun Gothic"/>
          <w:sz w:val="20"/>
          <w:szCs w:val="20"/>
          <w:b/>
        </w:rPr>
        <w:t xml:space="preserve">581.1억 달러 → 2031년 1,235.2억 달러</w:t>
      </w:r>
      <w:r>
        <w:rPr>
          <w:rFonts w:ascii="Malgun Gothic" w:eastAsia="맑은 고딕" w:hAnsi="Malgun Gothic"/>
          <w:sz w:val="20"/>
          <w:szCs w:val="20"/>
        </w:rPr>
        <w:t xml:space="preserve">(CAGR 16.28%)로 전망된다.</w:t>
      </w:r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출처: </w:t>
      </w:r>
      <w:hyperlink r:id="rIdVG6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Mordor Intelligence, CCTV 시장 보고서(2026~2031 전망)</w:t>
        </w:r>
      </w:hyperlink>
      <w:r>
        <w:rPr>
          <w:rFonts w:ascii="Malgun Gothic" w:eastAsia="맑은 고딕" w:hAnsi="Malgun Gothic"/>
          <w:sz w:val="20"/>
          <w:szCs w:val="20"/>
        </w:rPr>
        <w:t xml:space="preserve"> ※시장조사기관 전망치로, 실적이 아닌 추정임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작성: 국내 시장 규모 수치는 인용할 보고서를 확정한 뒤 기입 권장. 무료로 확인 가능한 공신력 있는 국내 수치를 아직 확보하지 못함]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</w:rPr>
        <w:t xml:space="preserve">**◦ (내부적 배경·동기)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작성]</w:t>
      </w:r>
      <w:r>
        <w:rPr>
          <w:rFonts w:ascii="Malgun Gothic" w:eastAsia="맑은 고딕" w:hAnsi="Malgun Gothic"/>
          <w:sz w:val="20"/>
          <w:szCs w:val="20"/>
        </w:rPr>
        <w:t xml:space="preserve">**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작성: 창업 동기·가치관·비전. 예: 안전 분야를 택한 개인적 계기, 현장 방문 경험 등]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(참고 사실) 대표자는 2026.8월 중장비 교육기관 현장에서 직접 카메라를 설치하고 54분 시험을 수행했으며, 측정하지 않은 수치를 쓰지 않는 것을 개발 원칙으로 문서화해 운영 중이다(저장소 </w:t>
      </w:r>
      <w:r>
        <w:rPr>
          <w:rFonts w:ascii="Consolas" w:eastAsia="맑은 고딕" w:hAnsi="Consolas"/>
          <w:rFonts w:ascii="Malgun Gothic" w:eastAsia="맑은 고딕" w:hAnsi="Malgun Gothic"/>
          <w:sz w:val="20"/>
          <w:szCs w:val="20"/>
        </w:rPr>
        <w:t xml:space="preserve">CLAUDE.md</w:t>
      </w:r>
      <w:r>
        <w:rPr>
          <w:rFonts w:ascii="Malgun Gothic" w:eastAsia="맑은 고딕" w:hAnsi="Malgun Gothic"/>
          <w:sz w:val="20"/>
          <w:szCs w:val="20"/>
        </w:rPr>
        <w:t xml:space="preserve"> 규칙 7·9·11).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(추진 경과) 신청 전까지의 기획·추진 이력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시기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내용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근거(자체 기록)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2026.7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코어 파이프라인(검출→추적→판정→통보) 구현, 24시간 연속가동 시험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docs/STABILITY.md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2026.8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검출 모델을 Apache-2.0 라이선스(RF-DETR)로 이관, 오경보 억제 설계 확정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benchmarks/EVAL.md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docs/proposal_base_2026-08.md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2026.8.27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중장비 교육기관 현장 시험(카메라 1대·54분·929프레임)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reports/현장테스트_보고서_20260827_v1.2.md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2026.8~9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현장 결과 재분석·정정 이력 공개, 정답지 구축 계획 수립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docs/labeling_plan.md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docs/refield_plan.md</w:t>
            </w:r>
          </w:p>
        </w:tc>
      </w:tr>
    </w:tbl>
    <w:p>
      <w:pPr>
        <w:spacing w:before="0" w:after="60"/>
      </w:pP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1-2. 창업아이템 목표시장(고객) 현황 분석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목표시장 정의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구분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내용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근거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1차 시장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중장비 교육기관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(지게차·굴착기 실습장) — 실습생 다수, 안전관리 인력 부족, 사고 시 기관 존폐 위험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현장 시험 1회로 니즈 직접 확인(2026.8.27)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2차 시장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5~49인 제조·물류 사업장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 — 중대재해처벌법 신규 적용 대상 약 83.7만 개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위 1-1 출처(신·김 뉴스레터)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시장 특성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안전 투자 여력이 작다 → </w:t>
            </w: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카메라 교체 없는 SW 방식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 + 정부 보조금 연계가 진입 열쇠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아래 지원사업</w:t>
            </w:r>
          </w:p>
        </w:tc>
      </w:tr>
    </w:tbl>
    <w:p>
      <w:pPr>
        <w:spacing w:before="0" w:after="60"/>
      </w:pP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고객의 도입 장벽을 낮추는 정책 환경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안전보건공단은 소규모 사업장의 </w:t>
      </w:r>
      <w:r>
        <w:rPr>
          <w:rFonts w:ascii="Malgun Gothic" w:eastAsia="맑은 고딕" w:hAnsi="Malgun Gothic"/>
          <w:sz w:val="20"/>
          <w:szCs w:val="20"/>
          <w:b/>
        </w:rPr>
        <w:t xml:space="preserve">스마트 안전장비 도입 비용을 보조</w:t>
      </w:r>
      <w:r>
        <w:rPr>
          <w:rFonts w:ascii="Malgun Gothic" w:eastAsia="맑은 고딕" w:hAnsi="Malgun Gothic"/>
          <w:sz w:val="20"/>
          <w:szCs w:val="20"/>
        </w:rPr>
        <w:t xml:space="preserve">하는 「안전일터 조성지원(스마트 안전장비)」 사업을 운영한다(50인 미만 사업장·소기업 대상).</w:t>
      </w:r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출처: </w:t>
      </w:r>
      <w:hyperlink r:id="rIdVG7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산업안전포털 — 안전일터 조성지원(스마트 안전장비)</w:t>
        </w:r>
      </w:hyperlink>
      <w:r>
        <w:rPr>
          <w:rFonts w:ascii="Malgun Gothic" w:eastAsia="맑은 고딕" w:hAnsi="Malgun Gothic"/>
          <w:sz w:val="20"/>
          <w:szCs w:val="20"/>
        </w:rPr>
        <w:t xml:space="preserve"> · </w:t>
      </w:r>
      <w:hyperlink r:id="rIdVG8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2025년도 지원사업 공고문(안전보건공단)</w:t>
        </w:r>
      </w:hyperlink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확인: 당해년도 공고에서 지원 품목에 '지능형 CCTV/영상분석'이 포함되는지, 지원 한도·비율을 확인 후 기입]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경쟁 강도·경쟁 현황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국내에 지능형 CCTV·AI 영상분석 업체가 다수 존재한다(대형 관제 중심, 건설 대기업 대상 스마트 안전 등).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작성: 경쟁사 2~3곳 조사표(대상 시장·가격대·구축 방식). 조사 후 링크와 함께 기입]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당사가 노리는 차별 지점(자체 근거 있는 것만):</w:t>
      </w:r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</w:t>
      </w:r>
      <w:r>
        <w:rPr>
          <w:rFonts w:ascii="Malgun Gothic" w:eastAsia="맑은 고딕" w:hAnsi="Malgun Gothic"/>
          <w:sz w:val="20"/>
          <w:szCs w:val="20"/>
          <w:b/>
        </w:rPr>
        <w:t xml:space="preserve">기존 카메라 재사용</w:t>
      </w:r>
      <w:r>
        <w:rPr>
          <w:rFonts w:ascii="Malgun Gothic" w:eastAsia="맑은 고딕" w:hAnsi="Malgun Gothic"/>
          <w:sz w:val="20"/>
          <w:szCs w:val="20"/>
        </w:rPr>
        <w:t xml:space="preserve">: 보급형 IP 카메라(TP-Link Tapo C200) 1대만으로 전 기능 동작 확인 — 자체 실측(2026.8.27)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확인: 카메라 가격을 쓰려면 판매가 출처 링크 확보 후 기입]</w:t>
      </w:r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</w:t>
      </w:r>
      <w:r>
        <w:rPr>
          <w:rFonts w:ascii="Malgun Gothic" w:eastAsia="맑은 고딕" w:hAnsi="Malgun Gothic"/>
          <w:sz w:val="20"/>
          <w:szCs w:val="20"/>
          <w:b/>
        </w:rPr>
        <w:t xml:space="preserve">알림 피로 억제를 설계의 중심에 둠</w:t>
      </w:r>
      <w:r>
        <w:rPr>
          <w:rFonts w:ascii="Malgun Gothic" w:eastAsia="맑은 고딕" w:hAnsi="Malgun Gothic"/>
          <w:sz w:val="20"/>
          <w:szCs w:val="20"/>
        </w:rPr>
        <w:t xml:space="preserve">: 판정 기록 270건 → 휴대폰 알림 19건(14.2:1), 오경보 폭주 시나리오에서 고정 쿨다운 억제 0.0% 대비 적응형 백오프 </w:t>
      </w:r>
      <w:r>
        <w:rPr>
          <w:rFonts w:ascii="Malgun Gothic" w:eastAsia="맑은 고딕" w:hAnsi="Malgun Gothic"/>
          <w:sz w:val="20"/>
          <w:szCs w:val="20"/>
          <w:b/>
        </w:rPr>
        <w:t xml:space="preserve">89.1% 억제</w:t>
      </w:r>
      <w:r>
        <w:rPr>
          <w:rFonts w:ascii="Malgun Gothic" w:eastAsia="맑은 고딕" w:hAnsi="Malgun Gothic"/>
          <w:sz w:val="20"/>
          <w:szCs w:val="20"/>
        </w:rPr>
        <w:t xml:space="preserve">(221건→24건, 24시간 실데이터 재현) — 자체 실측, </w:t>
      </w:r>
      <w:r>
        <w:rPr>
          <w:rFonts w:ascii="Consolas" w:eastAsia="맑은 고딕" w:hAnsi="Consolas"/>
          <w:rFonts w:ascii="Malgun Gothic" w:eastAsia="맑은 고딕" w:hAnsi="Malgun Gothic"/>
          <w:sz w:val="20"/>
          <w:szCs w:val="20"/>
        </w:rPr>
        <w:t xml:space="preserve">docs/proposal_base_2026-08.md</w:t>
      </w:r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</w:t>
      </w:r>
      <w:r>
        <w:rPr>
          <w:rFonts w:ascii="Malgun Gothic" w:eastAsia="맑은 고딕" w:hAnsi="Malgun Gothic"/>
          <w:sz w:val="20"/>
          <w:szCs w:val="20"/>
          <w:b/>
        </w:rPr>
        <w:t xml:space="preserve">현장별 판정 규칙 프로파일</w:t>
      </w:r>
      <w:r>
        <w:rPr>
          <w:rFonts w:ascii="Malgun Gothic" w:eastAsia="맑은 고딕" w:hAnsi="Malgun Gothic"/>
          <w:sz w:val="20"/>
          <w:szCs w:val="20"/>
        </w:rPr>
        <w:t xml:space="preserve">: 같은 모델이라도 현장 필수 보호구가 다름(야외 실습장은 마스크 제외 등)을 설정으로 흡수 — 자체 실측 근거 </w:t>
      </w:r>
      <w:r>
        <w:rPr>
          <w:rFonts w:ascii="Consolas" w:eastAsia="맑은 고딕" w:hAnsi="Consolas"/>
          <w:rFonts w:ascii="Malgun Gothic" w:eastAsia="맑은 고딕" w:hAnsi="Malgun Gothic"/>
          <w:sz w:val="20"/>
          <w:szCs w:val="20"/>
        </w:rPr>
        <w:t xml:space="preserve">reports/현장테스트_보고서_20260827_v1.2.md</w:t>
      </w:r>
      <w:r>
        <w:rPr>
          <w:rFonts w:ascii="Malgun Gothic" w:eastAsia="맑은 고딕" w:hAnsi="Malgun Gothic"/>
          <w:sz w:val="20"/>
          <w:szCs w:val="20"/>
        </w:rPr>
        <w:t xml:space="preserve"> §7-1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기대 효과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상시 감시 공백 축소(무인 시간대 포함), 위험 행동의 조기 통보, 사고 발생 시 판정 기록 기반의 원인 확인.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※정량 효과(사고 감소율 등)는 </w:t>
      </w:r>
      <w:r>
        <w:rPr>
          <w:rFonts w:ascii="Malgun Gothic" w:eastAsia="맑은 고딕" w:hAnsi="Malgun Gothic"/>
          <w:sz w:val="20"/>
          <w:szCs w:val="20"/>
          <w:b/>
        </w:rPr>
        <w:t xml:space="preserve">아직 주장할 근거가 없다.</w:t>
      </w:r>
      <w:r>
        <w:rPr>
          <w:rFonts w:ascii="Malgun Gothic" w:eastAsia="맑은 고딕" w:hAnsi="Malgun Gothic"/>
          <w:sz w:val="20"/>
          <w:szCs w:val="20"/>
        </w:rPr>
        <w:t xml:space="preserve"> 파일럿에서 측정 후 기재 예정.</w:t>
      </w:r>
    </w:p>
    <w:p>
      <w:pPr>
        <w:spacing w:before="200" w:after="120" w:line="276" w:lineRule="auto"/>
        <w:pBdr>
          <w:bottom w:val="single" w:sz="12" w:space="1" w:color="333333"/>
        </w:pBdr>
      </w:pPr>
      <w:r>
        <w:br w:type="page"/>
      </w:r>
      <w:r>
        <w:rPr>
          <w:rFonts w:ascii="Malgun Gothic" w:eastAsia="맑은 고딕" w:hAnsi="Malgun Gothic"/>
          <w:sz w:val="30"/>
          <w:szCs w:val="30"/>
          <w:b/>
        </w:rPr>
        <w:t xml:space="preserve">2. 실현가능성 (Solution)</w:t>
      </w: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2-1. 창업아이템 현황(준비정도)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신청 시점 개발 현황 — "동작하는 시제품 + 현장 시험 1회"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구성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상태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근거(자체 기록)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검출(사람·보호구·지게차·화재)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구현 완료 — RF-DETR(Apache-2.0) 기반, 추론 60~62ms/프레임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benchmarks/COVERAGE.md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, 2026.8.29 실측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판정(위험구역·협착·미착용 등 6종 규칙)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구현 완료 — 오경보 억제 계층 포함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vigent-core/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, 자동 테스트 481건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통보(텔레그램)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구현 완료 — 기록 우선(전송 실패에도 기록 보존) 구조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현장 시험 전송 19/19 성공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품질 관리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자동 검증 5종(린트·타입·테스트 481건·API 차분·설정 드리프트) + CI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.github/workflows/ci.yml</w:t>
            </w:r>
          </w:p>
        </w:tc>
      </w:tr>
    </w:tbl>
    <w:p>
      <w:pPr>
        <w:spacing w:before="0" w:after="60"/>
      </w:pP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현장 시험 주요 실측치</w:t>
      </w:r>
      <w:r>
        <w:rPr>
          <w:rFonts w:ascii="Malgun Gothic" w:eastAsia="맑은 고딕" w:hAnsi="Malgun Gothic"/>
          <w:sz w:val="20"/>
          <w:szCs w:val="20"/>
        </w:rPr>
        <w:t xml:space="preserve"> (중장비 교육기관, 2026.8.27, 카메라 1대·54분·929프레임 — </w:t>
      </w:r>
      <w:r>
        <w:rPr>
          <w:rFonts w:ascii="Consolas" w:eastAsia="맑은 고딕" w:hAnsi="Consolas"/>
          <w:rFonts w:ascii="Malgun Gothic" w:eastAsia="맑은 고딕" w:hAnsi="Malgun Gothic"/>
          <w:sz w:val="20"/>
          <w:szCs w:val="20"/>
        </w:rPr>
        <w:t xml:space="preserve">reports/현장테스트_보고서_20260827_v1.2.md</w:t>
      </w:r>
      <w:r>
        <w:rPr>
          <w:rFonts w:ascii="Malgun Gothic" w:eastAsia="맑은 고딕" w:hAnsi="Malgun Gothic"/>
          <w:sz w:val="20"/>
          <w:szCs w:val="20"/>
        </w:rPr>
        <w:t xml:space="preserve">)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항목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실측값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표본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지게차 검출률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97.7%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929프레임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안전모 판정 일치(지상 근거리)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98.4%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252프레임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탑승 운전자를 침입자로 오인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0건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200프레임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경보 전송 성공 / 지연(중앙값)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19/19 · 1.8초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19건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판정 기록 → 휴대폰 알림 요약비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14.2 : 1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 (270건→19건)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1세션</w:t>
            </w:r>
          </w:p>
        </w:tc>
      </w:tr>
    </w:tbl>
    <w:p>
      <w:pPr>
        <w:spacing w:before="0" w:after="60"/>
      </w:pP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정직한 현황 — 남은 과제</w:t>
      </w:r>
      <w:r>
        <w:rPr>
          <w:rFonts w:ascii="Malgun Gothic" w:eastAsia="맑은 고딕" w:hAnsi="Malgun Gothic"/>
          <w:sz w:val="20"/>
          <w:szCs w:val="20"/>
        </w:rPr>
        <w:t xml:space="preserve"> (평가 시점의 정확한 상태)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</w:t>
      </w:r>
      <w:r>
        <w:rPr>
          <w:rFonts w:ascii="Malgun Gothic" w:eastAsia="맑은 고딕" w:hAnsi="Malgun Gothic"/>
          <w:sz w:val="20"/>
          <w:szCs w:val="20"/>
          <w:b/>
        </w:rPr>
        <w:t xml:space="preserve">사람 인식률(추적 후) 38~42%</w:t>
      </w:r>
      <w:r>
        <w:rPr>
          <w:rFonts w:ascii="Malgun Gothic" w:eastAsia="맑은 고딕" w:hAnsi="Malgun Gothic"/>
          <w:sz w:val="20"/>
          <w:szCs w:val="20"/>
        </w:rPr>
        <w:t xml:space="preserve"> — 최우선 개선 대상. 원인 분석 결과 "검출 자체가 안 되는 문제"가 아니라 임계·추적 단계에서 버려지는 문제로 확인돼(저임계 재실행 실측), </w:t>
      </w:r>
      <w:r>
        <w:rPr>
          <w:rFonts w:ascii="Malgun Gothic" w:eastAsia="맑은 고딕" w:hAnsi="Malgun Gothic"/>
          <w:sz w:val="20"/>
          <w:szCs w:val="20"/>
          <w:b/>
        </w:rPr>
        <w:t xml:space="preserve">학습·튜닝으로 개선 가능한 부류</w:t>
      </w:r>
      <w:r>
        <w:rPr>
          <w:rFonts w:ascii="Malgun Gothic" w:eastAsia="맑은 고딕" w:hAnsi="Malgun Gothic"/>
          <w:sz w:val="20"/>
          <w:szCs w:val="20"/>
        </w:rPr>
        <w:t xml:space="preserve">로 분류됨 — </w:t>
      </w:r>
      <w:r>
        <w:rPr>
          <w:rFonts w:ascii="Consolas" w:eastAsia="맑은 고딕" w:hAnsi="Consolas"/>
          <w:rFonts w:ascii="Malgun Gothic" w:eastAsia="맑은 고딕" w:hAnsi="Malgun Gothic"/>
          <w:sz w:val="20"/>
          <w:szCs w:val="20"/>
        </w:rPr>
        <w:t xml:space="preserve">benchmarks/FINDINGS.md</w:t>
      </w:r>
      <w:r>
        <w:rPr>
          <w:rFonts w:ascii="Malgun Gothic" w:eastAsia="맑은 고딕" w:hAnsi="Malgun Gothic"/>
          <w:sz w:val="20"/>
          <w:szCs w:val="20"/>
        </w:rPr>
        <w:t xml:space="preserve">, </w:t>
      </w:r>
      <w:r>
        <w:rPr>
          <w:rFonts w:ascii="Consolas" w:eastAsia="맑은 고딕" w:hAnsi="Consolas"/>
          <w:rFonts w:ascii="Malgun Gothic" w:eastAsia="맑은 고딕" w:hAnsi="Malgun Gothic"/>
          <w:sz w:val="20"/>
          <w:szCs w:val="20"/>
        </w:rPr>
        <w:t xml:space="preserve">docs/detection_limits.md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정확도 공인에 필요한 </w:t>
      </w:r>
      <w:r>
        <w:rPr>
          <w:rFonts w:ascii="Malgun Gothic" w:eastAsia="맑은 고딕" w:hAnsi="Malgun Gothic"/>
          <w:sz w:val="20"/>
          <w:szCs w:val="20"/>
          <w:b/>
        </w:rPr>
        <w:t xml:space="preserve">정답지(프레임 단위 라벨 데이터)가 아직 없음</w:t>
      </w:r>
      <w:r>
        <w:rPr>
          <w:rFonts w:ascii="Malgun Gothic" w:eastAsia="맑은 고딕" w:hAnsi="Malgun Gothic"/>
          <w:sz w:val="20"/>
          <w:szCs w:val="20"/>
        </w:rPr>
        <w:t xml:space="preserve"> — 구축 계획·도구 준비 완료(</w:t>
      </w:r>
      <w:r>
        <w:rPr>
          <w:rFonts w:ascii="Consolas" w:eastAsia="맑은 고딕" w:hAnsi="Consolas"/>
          <w:rFonts w:ascii="Malgun Gothic" w:eastAsia="맑은 고딕" w:hAnsi="Malgun Gothic"/>
          <w:sz w:val="20"/>
          <w:szCs w:val="20"/>
        </w:rPr>
        <w:t xml:space="preserve">docs/labeling_plan.md</w:t>
      </w:r>
      <w:r>
        <w:rPr>
          <w:rFonts w:ascii="Malgun Gothic" w:eastAsia="맑은 고딕" w:hAnsi="Malgun Gothic"/>
          <w:sz w:val="20"/>
          <w:szCs w:val="20"/>
        </w:rPr>
        <w:t xml:space="preserve">)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유료 고객 0, 파일럿 계약 0 — 본 사업으로 첫 파일럿 구축이 목표</w:t>
      </w: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2-2. 창업아이템 실현 및 구체화 방안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협약기간 내 구체화 목표(개발)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순서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과제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내용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판정 기준(사전 선언)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정답지 구축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현장 재촬영(원본 확보 절차 코드화 완료) → 층화 표본 270프레임 라벨링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라벨링 도구·판단 규칙 사전 확정(</w:t>
            </w: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docs/labeling_plan.md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사람 인식률 개선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임계·추적 파라미터 최적화 + 원거리 표본 재학습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정답지 기준 재현율/정밀도로 채택 여부 판정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라이선스 정비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지게차 검출 모델을 AGPL(YOLO)→Apache-2.0(RF-DETR)로 재학습·이관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mAP@50 비교로 판정(기준 사전 선언 완료)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신뢰성 보강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정지화면 감지·시스템 생존신호(하트비트)·재기동 안전화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자체 결함 원장(</w:t>
            </w: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SAFETY_REVIEW_REPORT.md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) 상위 3건 해소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5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파일럿 구축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1개 현장 다중 카메라 설치·운영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확정: 파일럿 대상·기간]</w:t>
            </w:r>
          </w:p>
        </w:tc>
      </w:tr>
    </w:tbl>
    <w:p>
      <w:pPr>
        <w:spacing w:before="0" w:after="60"/>
      </w:pP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차별성·경쟁력의 근거 — "측정으로 결정하는 개발 방식"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모든 판정 임계·설계 변경은 </w:t>
      </w:r>
      <w:r>
        <w:rPr>
          <w:rFonts w:ascii="Malgun Gothic" w:eastAsia="맑은 고딕" w:hAnsi="Malgun Gothic"/>
          <w:sz w:val="20"/>
          <w:szCs w:val="20"/>
          <w:b/>
        </w:rPr>
        <w:t xml:space="preserve">판정 기준을 측정 전에 선언</w:t>
      </w:r>
      <w:r>
        <w:rPr>
          <w:rFonts w:ascii="Malgun Gothic" w:eastAsia="맑은 고딕" w:hAnsi="Malgun Gothic"/>
          <w:sz w:val="20"/>
          <w:szCs w:val="20"/>
        </w:rPr>
        <w:t xml:space="preserve">하고 실측으로 채택/기각한다 (예: 알림 완화 여부를 오탐/미탐 교환비 실측으로 판정 — </w:t>
      </w:r>
      <w:r>
        <w:rPr>
          <w:rFonts w:ascii="Consolas" w:eastAsia="맑은 고딕" w:hAnsi="Consolas"/>
          <w:rFonts w:ascii="Malgun Gothic" w:eastAsia="맑은 고딕" w:hAnsi="Malgun Gothic"/>
          <w:sz w:val="20"/>
          <w:szCs w:val="20"/>
        </w:rPr>
        <w:t xml:space="preserve">audit/hysteresis_2026-08-29.md</w:t>
      </w:r>
      <w:r>
        <w:rPr>
          <w:rFonts w:ascii="Malgun Gothic" w:eastAsia="맑은 고딕" w:hAnsi="Malgun Gothic"/>
          <w:sz w:val="20"/>
          <w:szCs w:val="20"/>
        </w:rPr>
        <w:t xml:space="preserve">).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보고서에 </w:t>
      </w:r>
      <w:r>
        <w:rPr>
          <w:rFonts w:ascii="Malgun Gothic" w:eastAsia="맑은 고딕" w:hAnsi="Malgun Gothic"/>
          <w:sz w:val="20"/>
          <w:szCs w:val="20"/>
          <w:b/>
        </w:rPr>
        <w:t xml:space="preserve">정정 이력을 공개</w:t>
      </w:r>
      <w:r>
        <w:rPr>
          <w:rFonts w:ascii="Malgun Gothic" w:eastAsia="맑은 고딕" w:hAnsi="Malgun Gothic"/>
          <w:sz w:val="20"/>
          <w:szCs w:val="20"/>
        </w:rPr>
        <w:t xml:space="preserve">한다(v1.1→v1.2 정정 9건을 문서 맨 앞에 배치). 심사·고객 신뢰의 근거로 삼는다.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개인정보 보호를 기본 내장: 저장·전송 프레임 얼굴 자동 비식별화, 보존기간 자동 파기 스케줄러 — </w:t>
      </w:r>
      <w:r>
        <w:rPr>
          <w:rFonts w:ascii="Consolas" w:eastAsia="맑은 고딕" w:hAnsi="Consolas"/>
          <w:rFonts w:ascii="Malgun Gothic" w:eastAsia="맑은 고딕" w:hAnsi="Malgun Gothic"/>
          <w:sz w:val="20"/>
          <w:szCs w:val="20"/>
        </w:rPr>
        <w:t xml:space="preserve">vigent-core/privacy.py</w:t>
      </w:r>
      <w:r>
        <w:rPr>
          <w:rFonts w:ascii="Malgun Gothic" w:eastAsia="맑은 고딕" w:hAnsi="Malgun Gothic"/>
          <w:sz w:val="20"/>
          <w:szCs w:val="20"/>
        </w:rPr>
        <w:t xml:space="preserve">, </w:t>
      </w:r>
      <w:r>
        <w:rPr>
          <w:rFonts w:ascii="Consolas" w:eastAsia="맑은 고딕" w:hAnsi="Consolas"/>
          <w:rFonts w:ascii="Malgun Gothic" w:eastAsia="맑은 고딕" w:hAnsi="Malgun Gothic"/>
          <w:sz w:val="20"/>
          <w:szCs w:val="20"/>
        </w:rPr>
        <w:t xml:space="preserve">retention_scheduler.py</w:t>
      </w:r>
      <w:r>
        <w:rPr>
          <w:rFonts w:ascii="Malgun Gothic" w:eastAsia="맑은 고딕" w:hAnsi="Malgun Gothic"/>
          <w:sz w:val="20"/>
          <w:szCs w:val="20"/>
        </w:rPr>
        <w:t xml:space="preserve">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확인: 개인정보보호법상 영상정보처리기기 운영 고지·동의 절차는 파일럿 계약 시 법무 확인 필요]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역량 활용 계획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작성: 대표자·팀원·외부 협력기관 역량을 어느 과제에 투입할지]</w:t>
      </w:r>
    </w:p>
    <w:p>
      <w:pPr>
        <w:spacing w:before="200" w:after="120" w:line="276" w:lineRule="auto"/>
        <w:pBdr>
          <w:bottom w:val="single" w:sz="12" w:space="1" w:color="333333"/>
        </w:pBdr>
      </w:pPr>
      <w:r>
        <w:br w:type="page"/>
      </w:r>
      <w:r>
        <w:rPr>
          <w:rFonts w:ascii="Malgun Gothic" w:eastAsia="맑은 고딕" w:hAnsi="Malgun Gothic"/>
          <w:sz w:val="30"/>
          <w:szCs w:val="30"/>
          <w:b/>
        </w:rPr>
        <w:t xml:space="preserve">3. 성장전략 (Scale-up)</w:t>
      </w: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3-1. 창업아이템 사업화 추진전략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수익모델(안)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모델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내용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비고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월 구독(주)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카메라 대수 기준 월 이용료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작성: 가격. 근거 있는 가격 산정 전이므로 공란]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초기 구축비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설치·구역 설정·판정 프로파일 튜닝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보조금 연계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안전보건공단 스마트 안전장비 지원사업을 통한 고객 부담 경감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1-2 출처 참조 · 품목 해당 여부 확인 필요</w:t>
            </w:r>
          </w:p>
        </w:tc>
      </w:tr>
    </w:tbl>
    <w:p>
      <w:pPr>
        <w:spacing w:before="0" w:after="60"/>
      </w:pP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◦ 고객 확보 전략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1단계: 현장 시험을 수행한 중장비 교육기관을 </w:t>
      </w:r>
      <w:r>
        <w:rPr>
          <w:rFonts w:ascii="Malgun Gothic" w:eastAsia="맑은 고딕" w:hAnsi="Malgun Gothic"/>
          <w:sz w:val="20"/>
          <w:szCs w:val="20"/>
          <w:b/>
        </w:rPr>
        <w:t xml:space="preserve">첫 파일럿(유료 전환 협의)</w:t>
      </w:r>
      <w:r>
        <w:rPr>
          <w:rFonts w:ascii="Malgun Gothic" w:eastAsia="맑은 고딕" w:hAnsi="Malgun Gothic"/>
          <w:sz w:val="20"/>
          <w:szCs w:val="20"/>
        </w:rPr>
        <w:t xml:space="preserve"> 으로 추진 —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작성: 협의 상태]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2단계: 교육기관 협회·지역 산업단지 안전 담당 채널 —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작성: 구체 채널·일정]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영업 자료는 </w:t>
      </w:r>
      <w:r>
        <w:rPr>
          <w:rFonts w:ascii="Malgun Gothic" w:eastAsia="맑은 고딕" w:hAnsi="Malgun Gothic"/>
          <w:sz w:val="20"/>
          <w:szCs w:val="20"/>
          <w:b/>
        </w:rPr>
        <w:t xml:space="preserve">실측 보고서 기반</w:t>
      </w:r>
      <w:r>
        <w:rPr>
          <w:rFonts w:ascii="Malgun Gothic" w:eastAsia="맑은 고딕" w:hAnsi="Malgun Gothic"/>
          <w:sz w:val="20"/>
          <w:szCs w:val="20"/>
        </w:rPr>
        <w:t xml:space="preserve">으로 작성(측정일·표본 병기) — 근거 없는 정확도 주장을 하지 않는 것을 영업 원칙으로 함</w:t>
      </w: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3-2. 생존율 제고를 위한 노력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</w:t>
      </w:r>
      <w:r>
        <w:rPr>
          <w:rFonts w:ascii="Malgun Gothic" w:eastAsia="맑은 고딕" w:hAnsi="Malgun Gothic"/>
          <w:sz w:val="20"/>
          <w:szCs w:val="20"/>
          <w:b/>
        </w:rPr>
        <w:t xml:space="preserve">협약기간 내 사업화 성과 목표</w:t>
      </w:r>
      <w:r>
        <w:rPr>
          <w:rFonts w:ascii="Malgun Gothic" w:eastAsia="맑은 고딕" w:hAnsi="Malgun Gothic"/>
          <w:sz w:val="20"/>
          <w:szCs w:val="20"/>
        </w:rPr>
        <w:t xml:space="preserve">: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작성: 매출/투자/고용 목표 — 신청현황 표와 일치시킬 것]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협약 종료 후 지속 계획:</w:t>
      </w:r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파일럿 1곳의 운영 데이터를 정확도 공인 자료로 전환 → 2호점 영업의 근거로 사용</w:t>
      </w:r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저장소·문서·측정 체계가 정비돼 있어(자동 테스트 481건, 온보딩 문서 12편) 인력 합류 시 인수인계 비용이 낮음</w:t>
      </w:r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작성: 후속 지원사업·투자 유치 계획]</w:t>
      </w: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3-3. 사업추진 일정 및 자금운용 계획</w:t>
      </w:r>
    </w:p>
    <w:p>
      <w:pPr>
        <w:spacing w:before="160" w:after="60" w:line="276" w:lineRule="auto"/>
      </w:pPr>
      <w:r>
        <w:rPr>
          <w:rFonts w:ascii="Malgun Gothic" w:eastAsia="맑은 고딕" w:hAnsi="Malgun Gothic"/>
          <w:sz w:val="22"/>
          <w:szCs w:val="22"/>
          <w:b/>
        </w:rPr>
        <w:t xml:space="preserve">3-3-1. 사업 전체 로드맵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순번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추진 내용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추진 기간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세부 내용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정답지 구축·인식률 개선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[공란]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재촬영 → 270프레임 라벨 → 임계/재학습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신뢰성 보강·라이선스 정비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[공란]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결함 상위 3건 해소, 지게차 모델 이관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파일럿 1곳 구축·운영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[공란]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다중 카메라, 운영 데이터 수집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정식 출시·2호점 영업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[공란]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파일럿 실측 기반 영업</w:t>
            </w:r>
          </w:p>
        </w:tc>
      </w:tr>
    </w:tbl>
    <w:p>
      <w:pPr>
        <w:spacing w:before="0" w:after="60"/>
      </w:pPr>
    </w:p>
    <w:p>
      <w:pPr>
        <w:spacing w:before="160" w:after="60" w:line="276" w:lineRule="auto"/>
      </w:pPr>
      <w:r>
        <w:rPr>
          <w:rFonts w:ascii="Malgun Gothic" w:eastAsia="맑은 고딕" w:hAnsi="Malgun Gothic"/>
          <w:sz w:val="22"/>
          <w:szCs w:val="22"/>
          <w:b/>
        </w:rPr>
        <w:t xml:space="preserve">3-3-2. 협약기간(</w:t>
      </w:r>
      <w:r>
        <w:rPr>
          <w:rFonts w:ascii="Malgun Gothic" w:eastAsia="맑은 고딕" w:hAnsi="Malgun Gothic"/>
          <w:sz w:val="22"/>
          <w:szCs w:val="22"/>
          <w:b/>
          <w:highlight w:val="yellow"/>
        </w:rPr>
        <w:t xml:space="preserve">[공란 — 대표 기입]</w:t>
      </w:r>
      <w:r>
        <w:rPr>
          <w:rFonts w:ascii="Malgun Gothic" w:eastAsia="맑은 고딕" w:hAnsi="Malgun Gothic"/>
          <w:sz w:val="22"/>
          <w:szCs w:val="22"/>
          <w:b/>
        </w:rPr>
        <w:t xml:space="preserve">) 내 목표 및 달성 방안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순번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추진 내용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추진 기간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세부 내용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현장 재촬영·정답지 구축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[공란]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촬영 절차 검증 도구 완비(</w:t>
            </w: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scripts/check_raw_capture.py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사람 인식률 개선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[공란]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정답지 기준 사전 선언된 판정 기준 적용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파일럿 현장 구축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[공란]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대상 협의 상태에 따라]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(필요 시 행 추가)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</w:p>
        </w:tc>
      </w:tr>
    </w:tbl>
    <w:p>
      <w:pPr>
        <w:spacing w:before="0" w:after="60"/>
      </w:pPr>
    </w:p>
    <w:p>
      <w:pPr>
        <w:spacing w:before="160" w:after="60" w:line="276" w:lineRule="auto"/>
      </w:pPr>
      <w:r>
        <w:rPr>
          <w:rFonts w:ascii="Malgun Gothic" w:eastAsia="맑은 고딕" w:hAnsi="Malgun Gothic"/>
          <w:sz w:val="22"/>
          <w:szCs w:val="22"/>
          <w:b/>
        </w:rPr>
        <w:t xml:space="preserve">3-3-3. 정부지원금 집행계획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작성: 아래 비목 구조만 제안. 금액은 견적·산출근거 확보 후 기입]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비목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산출근거(안)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정부지원금(원)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재료비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파일럿용 카메라·엣지PC·네트워크 장비 견적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외주용역비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라벨링 외주(자체 파일럿으로 시간 실측 후 견적) 또는 학습 GPU 클라우드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지급수수료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[공란]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[공란]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…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</w:p>
        </w:tc>
      </w:tr>
    </w:tbl>
    <w:p>
      <w:pPr>
        <w:spacing w:before="0" w:after="60"/>
      </w:pPr>
    </w:p>
    <w:p>
      <w:pPr>
        <w:spacing w:before="160" w:after="60" w:line="276" w:lineRule="auto"/>
      </w:pPr>
      <w:r>
        <w:rPr>
          <w:rFonts w:ascii="Malgun Gothic" w:eastAsia="맑은 고딕" w:hAnsi="Malgun Gothic"/>
          <w:sz w:val="22"/>
          <w:szCs w:val="22"/>
          <w:b/>
        </w:rPr>
        <w:t xml:space="preserve">3-3-4. 기타 자금 필요성 및 조달계획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작성: 법인 설립 비용, 추가 자본금, 투자유치 목표·전략]</w:t>
      </w:r>
    </w:p>
    <w:p>
      <w:pPr>
        <w:spacing w:before="200" w:after="120" w:line="276" w:lineRule="auto"/>
        <w:pBdr>
          <w:bottom w:val="single" w:sz="12" w:space="1" w:color="333333"/>
        </w:pBdr>
      </w:pPr>
      <w:r>
        <w:br w:type="page"/>
      </w:r>
      <w:r>
        <w:rPr>
          <w:rFonts w:ascii="Malgun Gothic" w:eastAsia="맑은 고딕" w:hAnsi="Malgun Gothic"/>
          <w:sz w:val="30"/>
          <w:szCs w:val="30"/>
          <w:b/>
        </w:rPr>
        <w:t xml:space="preserve">4. 팀 구성 (Team)</w:t>
      </w: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4-1. 대표자(팀) 보유역량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작성 ※양식 규정: 성명·생년월일·학교명·직장명 등 개인정보 기재 금지, 학력은 학위·전공까지만]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(기재 가능한 사실 예시 — 대표 확인 후 사용)</w:t>
      </w:r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산업안전 현장 시험을 직접 설계·수행(장면 시나리오 9종, 판정 기준 사전 선언 방식) — 2026.8.27</w:t>
      </w:r>
    </w:p>
    <w:p>
      <w:pPr>
        <w:spacing w:before="20" w:after="20" w:line="276" w:lineRule="auto"/>
        <w:ind w:left="680"/>
      </w:pPr>
      <w:r>
        <w:rPr>
          <w:rFonts w:ascii="Malgun Gothic" w:eastAsia="맑은 고딕" w:hAnsi="Malgun Gothic"/>
          <w:sz w:val="20"/>
          <w:szCs w:val="20"/>
        </w:rPr>
        <w:t xml:space="preserve">‐ 측정·검증 중심 개발 문화 구축: 자동 테스트 481건, 정정 이력 공개, 결함 원장 운영 — 저장소 문서로 증빙 가능</w:t>
      </w: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4-2. 외부 협력기관 현황 및 활용 계획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협력기관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현황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활용 계획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중장비 교육기관 1곳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현장 시험 협력 1회 완료(2026.8.27) — </w:t>
            </w: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확인: 기관명 기재 여부·협약 형태]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재촬영·파일럿 후보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highlight w:val="yellow"/>
              </w:rPr>
              <w:t xml:space="preserve">[공란 — 대표 작성]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</w:p>
        </w:tc>
      </w:tr>
    </w:tbl>
    <w:p>
      <w:pPr>
        <w:spacing w:before="0" w:after="60"/>
      </w:pP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4-3. 중장기 사회적 가치 도입계획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</w:t>
      </w:r>
      <w:r>
        <w:rPr>
          <w:rFonts w:ascii="Malgun Gothic" w:eastAsia="맑은 고딕" w:hAnsi="Malgun Gothic"/>
          <w:sz w:val="20"/>
          <w:szCs w:val="20"/>
          <w:b/>
        </w:rPr>
        <w:t xml:space="preserve">산업재해 예방이라는 사업 목적 자체가 사회적 가치와 정렬</w:t>
      </w:r>
      <w:r>
        <w:rPr>
          <w:rFonts w:ascii="Malgun Gothic" w:eastAsia="맑은 고딕" w:hAnsi="Malgun Gothic"/>
          <w:sz w:val="20"/>
          <w:szCs w:val="20"/>
        </w:rPr>
        <w:t xml:space="preserve">된다(1-1 통계 참조).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개인정보 보호 내장 설계(얼굴 자동 비식별화·보존기간 자동 파기)를 제품 기본값으로 유지한다.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안전 기능의 한계를 정직하게 고지한다: 비전 AI 는 확률적이므로 </w:t>
      </w:r>
      <w:r>
        <w:rPr>
          <w:rFonts w:ascii="Malgun Gothic" w:eastAsia="맑은 고딕" w:hAnsi="Malgun Gothic"/>
          <w:sz w:val="20"/>
          <w:szCs w:val="20"/>
          <w:b/>
        </w:rPr>
        <w:t xml:space="preserve">인증 안전장치(방호장치·안전 PLC)를 대체하지 않으며 보조·감시 계층</w:t>
      </w:r>
      <w:r>
        <w:rPr>
          <w:rFonts w:ascii="Malgun Gothic" w:eastAsia="맑은 고딕" w:hAnsi="Malgun Gothic"/>
          <w:sz w:val="20"/>
          <w:szCs w:val="20"/>
        </w:rPr>
        <w:t xml:space="preserve">임을 계약·화면에 명시 — 저장소 </w:t>
      </w:r>
      <w:r>
        <w:rPr>
          <w:rFonts w:ascii="Consolas" w:eastAsia="맑은 고딕" w:hAnsi="Consolas"/>
          <w:rFonts w:ascii="Malgun Gothic" w:eastAsia="맑은 고딕" w:hAnsi="Malgun Gothic"/>
          <w:sz w:val="20"/>
          <w:szCs w:val="20"/>
        </w:rPr>
        <w:t xml:space="preserve">CLAUDE.md</w:t>
      </w:r>
      <w:r>
        <w:rPr>
          <w:rFonts w:ascii="Malgun Gothic" w:eastAsia="맑은 고딕" w:hAnsi="Malgun Gothic"/>
          <w:sz w:val="20"/>
          <w:szCs w:val="20"/>
        </w:rPr>
        <w:t xml:space="preserve"> 안전·법규 경계.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</w:t>
      </w:r>
      <w:r>
        <w:rPr>
          <w:rFonts w:ascii="Malgun Gothic" w:eastAsia="맑은 고딕" w:hAnsi="Malgun Gothic"/>
          <w:sz w:val="20"/>
          <w:szCs w:val="20"/>
          <w:highlight w:val="yellow"/>
        </w:rPr>
        <w:t xml:space="preserve">[공란 — 대표 작성: 고용·환경 등 추가 사회적 가치 계획]</w:t>
      </w:r>
    </w:p>
    <w:p>
      <w:pPr>
        <w:spacing w:before="200" w:after="80" w:line="276" w:lineRule="auto"/>
        <w:pBdr>
          <w:bottom w:val="single" w:sz="12" w:space="1" w:color="333333"/>
        </w:pBdr>
      </w:pPr>
      <w:r>
        <w:rPr>
          <w:rFonts w:ascii="Malgun Gothic" w:eastAsia="맑은 고딕" w:hAnsi="Malgun Gothic"/>
          <w:sz w:val="24"/>
          <w:szCs w:val="24"/>
          <w:b/>
        </w:rPr>
        <w:t xml:space="preserve">부록 — 이 계획서의 수치 출처 일람</w:t>
      </w: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자체 실측(저장소 증빙 가능)</w:t>
      </w:r>
    </w:p>
    <w:tbl>
      <w:tblPr>
        <w:tblW w:w="5000" w:type="pct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  <w:tblCellMar>
          <w:left w:w="85" w:type="dxa"/>
          <w:right w:w="85" w:type="dxa"/>
        </w:tblCellMar>
        <w:tblLayout w:type="autofit"/>
      </w:tblPr>
      <w:tr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수치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출처 파일</w:t>
            </w:r>
          </w:p>
        </w:tc>
        <w:tc>
          <w:tcPr>
            <w:tcW w:w="0" w:type="auto"/>
            <w:shd w:val="clear" w:fill="E8EAED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  <w:b/>
              </w:rPr>
              <w:t xml:space="preserve">측정일·표본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지게차 검출 97.7% · 안전모(지상) 98.4% · 전송 19/19 · 요약비 14.2:1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reports/현장테스트_보고서_20260827_v1.2.md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2026.8.27 · 929프레임(단일 세션)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오경보 억제 89.1%(221→24건) · 고정 쿨다운 0.0%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docs/proposal_base_2026-08.md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24시간 소크 데이터 재현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사람 인식률 38~42%(개선 대상)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Consolas" w:eastAsia="맑은 고딕" w:hAnsi="Consolas"/>
                <w:rFonts w:ascii="Malgun Gothic" w:eastAsia="맑은 고딕" w:hAnsi="Malgun Gothic"/>
                <w:sz w:val="18"/>
                <w:szCs w:val="18"/>
              </w:rPr>
              <w:t xml:space="preserve">benchmarks/FINDINGS.md</w:t>
            </w: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 F-32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2026.8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추론 60~62ms/프레임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사다리 영상 시험 summary</w:t>
            </w:r>
          </w:p>
        </w:tc>
        <w:tc>
          <w:tcPr>
            <w:tcW w:w="0" w:type="auto"/>
            <w:vAlign w:val="center"/>
          </w:tcPr>
          <w:p>
            <w:pPr>
              <w:spacing w:before="20" w:after="20"/>
            </w:pPr>
            <w:r>
              <w:rPr>
                <w:rFonts w:ascii="Malgun Gothic" w:eastAsia="맑은 고딕" w:hAnsi="Malgun Gothic"/>
                <w:sz w:val="18"/>
                <w:szCs w:val="18"/>
              </w:rPr>
              <w:t xml:space="preserve">2026.8.29 · 133프레임</w:t>
            </w:r>
          </w:p>
        </w:tc>
      </w:tr>
    </w:tbl>
    <w:p>
      <w:pPr>
        <w:spacing w:before="0" w:after="60"/>
      </w:pPr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외부 자료(링크)</w:t>
      </w:r>
      <w:r>
        <w:rPr>
          <w:rFonts w:ascii="Malgun Gothic" w:eastAsia="맑은 고딕" w:hAnsi="Malgun Gothic"/>
          <w:sz w:val="20"/>
          <w:szCs w:val="20"/>
        </w:rPr>
        <w:t xml:space="preserve"> 1. 고용노동부, 2025년 재해조사 대상 사망사고 잠정결과(2026.3.31) — </w:t>
      </w:r>
      <w:hyperlink r:id="rIdVG9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moel.go.kr</w:t>
        </w:r>
      </w:hyperlink>
      <w:r>
        <w:rPr>
          <w:rFonts w:ascii="Malgun Gothic" w:eastAsia="맑은 고딕" w:hAnsi="Malgun Gothic"/>
          <w:sz w:val="20"/>
          <w:szCs w:val="20"/>
        </w:rPr>
        <w:t xml:space="preserve"> / </w:t>
      </w:r>
      <w:hyperlink r:id="rIdVG10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korea.kr</w:t>
        </w:r>
      </w:hyperlink>
      <w:r>
        <w:rPr>
          <w:rFonts w:ascii="Malgun Gothic" w:eastAsia="맑은 고딕" w:hAnsi="Malgun Gothic"/>
          <w:sz w:val="20"/>
          <w:szCs w:val="20"/>
        </w:rPr>
        <w:t xml:space="preserve"> 2. 중대재해처벌법 50인 미만 확대(2024.1.27, 83.7만 사업장·약 800만 명) — </w:t>
      </w:r>
      <w:hyperlink r:id="rIdVG11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신·김 법률사무소 뉴스레터</w:t>
        </w:r>
      </w:hyperlink>
      <w:r>
        <w:rPr>
          <w:rFonts w:ascii="Malgun Gothic" w:eastAsia="맑은 고딕" w:hAnsi="Malgun Gothic"/>
          <w:sz w:val="20"/>
          <w:szCs w:val="20"/>
        </w:rPr>
        <w:t xml:space="preserve"> / </w:t>
      </w:r>
      <w:hyperlink r:id="rIdVG12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YTN 사이언스</w:t>
        </w:r>
      </w:hyperlink>
      <w:r>
        <w:rPr>
          <w:rFonts w:ascii="Malgun Gothic" w:eastAsia="맑은 고딕" w:hAnsi="Malgun Gothic"/>
          <w:sz w:val="20"/>
          <w:szCs w:val="20"/>
        </w:rPr>
        <w:t xml:space="preserve"> 3. 영세사업장 중심 위험 확대 보도 — </w:t>
      </w:r>
      <w:hyperlink r:id="rIdVG13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아웃소싱타임스(2026.3.31)</w:t>
        </w:r>
      </w:hyperlink>
      <w:r>
        <w:rPr>
          <w:rFonts w:ascii="Malgun Gothic" w:eastAsia="맑은 고딕" w:hAnsi="Malgun Gothic"/>
          <w:sz w:val="20"/>
          <w:szCs w:val="20"/>
        </w:rPr>
        <w:t xml:space="preserve"> 4. 글로벌 CCTV 시장 전망(2026년 581.1억 달러 → 2031년 1,235.2억 달러, CAGR 16.28%) — </w:t>
      </w:r>
      <w:hyperlink r:id="rIdVG14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Mordor Intelligence</w:t>
        </w:r>
      </w:hyperlink>
      <w:r>
        <w:rPr>
          <w:rFonts w:ascii="Malgun Gothic" w:eastAsia="맑은 고딕" w:hAnsi="Malgun Gothic"/>
          <w:sz w:val="20"/>
          <w:szCs w:val="20"/>
        </w:rPr>
        <w:t xml:space="preserve"> ※민간 조사기관 추정치 5. 안전일터 조성지원(스마트 안전장비) — </w:t>
      </w:r>
      <w:hyperlink r:id="rIdVG15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산업안전포털(안전보건공단)</w:t>
        </w:r>
      </w:hyperlink>
      <w:r>
        <w:rPr>
          <w:rFonts w:ascii="Malgun Gothic" w:eastAsia="맑은 고딕" w:hAnsi="Malgun Gothic"/>
          <w:sz w:val="20"/>
          <w:szCs w:val="20"/>
        </w:rPr>
        <w:t xml:space="preserve"> / </w:t>
      </w:r>
      <w:hyperlink r:id="rIdVG16">
        <w:r>
          <w:rPr>
            <w:rFonts w:ascii="Malgun Gothic" w:eastAsia="맑은 고딕" w:hAnsi="Malgun Gothic"/>
            <w:sz w:val="20"/>
            <w:szCs w:val="20"/>
            <w:color w:val="0563C1"/>
            <w:u w:val="single"/>
          </w:rPr>
          <w:t xml:space="preserve">2025년 공고문</w:t>
        </w:r>
      </w:hyperlink>
    </w:p>
    <w:p>
      <w:pPr>
        <w:spacing w:before="60" w:after="60" w:line="276" w:lineRule="auto"/>
      </w:pPr>
      <w:r>
        <w:rPr>
          <w:rFonts w:ascii="Malgun Gothic" w:eastAsia="맑은 고딕" w:hAnsi="Malgun Gothic"/>
          <w:sz w:val="20"/>
          <w:szCs w:val="20"/>
          <w:b/>
        </w:rPr>
        <w:t xml:space="preserve">자체 실측 수치 인용 시 주의(제출 전 확인)</w:t>
      </w:r>
    </w:p>
    <w:p>
      <w:pPr>
        <w:spacing w:before="20" w:after="20" w:line="276" w:lineRule="auto"/>
        <w:ind w:left="340"/>
      </w:pPr>
      <w:r>
        <w:rPr>
          <w:rFonts w:ascii="Malgun Gothic" w:eastAsia="맑은 고딕" w:hAnsi="Malgun Gothic"/>
          <w:sz w:val="20"/>
          <w:szCs w:val="20"/>
        </w:rPr>
        <w:t xml:space="preserve">· 위 실측치는 </w:t>
      </w:r>
      <w:r>
        <w:rPr>
          <w:rFonts w:ascii="Malgun Gothic" w:eastAsia="맑은 고딕" w:hAnsi="Malgun Gothic"/>
          <w:sz w:val="20"/>
          <w:szCs w:val="20"/>
          <w:b/>
        </w:rPr>
        <w:t xml:space="preserve">카메라 1대·단일 세션(54분)</w:t>
      </w:r>
      <w:r>
        <w:rPr>
          <w:rFonts w:ascii="Malgun Gothic" w:eastAsia="맑은 고딕" w:hAnsi="Malgun Gothic"/>
          <w:sz w:val="20"/>
          <w:szCs w:val="20"/>
        </w:rPr>
        <w:t xml:space="preserve"> 조건의 값이다. 계획서 본문에도 표본 조건을 병기했다 — 삭제하지 말 것(사후 검증 시 신뢰 문제가 된다. 저장소 개발 규칙 9).</w:t>
      </w:r>
    </w:p>
    <w:sectPr>
      <w:pgSz w:w="11906" w:h="16838"/>
      <w:pgMar w:top="1134" w:right="1134" w:bottom="1134" w:left="1134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HY헤드라인M">
    <w:panose1 w:val="02030600000101010101"/>
    <w:family w:val="roman"/>
    <w:charset w:val="81"/>
    <w:notTrueType w:val="false"/>
    <w:sig w:usb0="900002A7" w:usb1="01D77CFB" w:usb2="00000010" w:usb3="00000001" w:csb0="00080001" w:csb1="00000001"/>
  </w:font>
  <w:font w:name="HY중고딕">
    <w:panose1 w:val="02030600000101010101"/>
    <w:family w:val="roman"/>
    <w:charset w:val="81"/>
    <w:notTrueType w:val="false"/>
    <w:sig w:usb0="900002A7" w:usb1="29D77CF9" w:usb2="00000010" w:usb3="00000001" w:csb0="00080000" w:csb1="00000001"/>
  </w:font>
  <w:font w:name="Tahoma">
    <w:panose1 w:val="020B0604030504040204"/>
    <w:family w:val="swiss"/>
    <w:charset w:val="00"/>
    <w:notTrueType w:val="false"/>
    <w:sig w:usb0="E1002EFF" w:usb1="C000605B" w:usb2="00000029" w:usb3="00000001" w:csb0="200101FF" w:csb1="20280000"/>
  </w:font>
  <w:font w:name="함초롬돋움">
    <w:panose1 w:val="020B0604000101010101"/>
    <w:family w:val="modern"/>
    <w:charset w:val="81"/>
    <w:notTrueType w:val="false"/>
    <w:sig w:usb0="F70006FF" w:usb1="11DFFFFF" w:usb2="001BFDD7" w:usb3="00000001" w:csb0="001F007F" w:csb1="00000001"/>
  </w:font>
  <w:font w:name="함초롬바탕">
    <w:panose1 w:val="02030604000101010101"/>
    <w:family w:val="modern"/>
    <w:charset w:val="81"/>
    <w:notTrueType w:val="false"/>
    <w:sig w:usb0="F70006FF" w:usb1="19DFFFFF" w:usb2="001BFDD7" w:usb3="00000001" w:csb0="001F01FF" w:csb1="00000001"/>
  </w:font>
  <w:font w:name="Book Antiqua">
    <w:panose1 w:val="02040602050305030304"/>
    <w:family w:val="roman"/>
    <w:charset w:val="00"/>
    <w:notTrueType w:val="false"/>
    <w:sig w:usb0="00000287" w:usb1="00000001" w:usb2="00000001" w:usb3="00000001" w:csb0="2000009F" w:csb1="DFD70000"/>
  </w:font>
  <w:font w:name="HCI Poppy">
    <w:panose1 w:val="00000000000000000000"/>
    <w:altName w:val="Cambria"/>
    <w:charset w:val="00"/>
    <w:notTrueType w:val="false"/>
  </w:font>
  <w:font w:name="HY신명조">
    <w:panose1 w:val="02030600000101010101"/>
    <w:charset w:val="00"/>
    <w:notTrueType w:val="false"/>
    <w:sig w:usb0="900002A7" w:usb1="29D77CF9" w:usb2="00000010" w:usb3="00000001" w:csb0="00080000" w:csb1="00000001"/>
  </w:font>
  <w:font w:name="휴먼명조">
    <w:panose1 w:val="00000000000000000000"/>
    <w:altName w:val="바탕"/>
    <w:charset w:val="00"/>
    <w:notTrueType w:val="false"/>
  </w:font>
  <w:font w:name="Century">
    <w:panose1 w:val="02040604050505020304"/>
    <w:family w:val="roman"/>
    <w:charset w:val="00"/>
    <w:notTrueType w:val="false"/>
    <w:sig w:usb0="00000287" w:usb1="00000001" w:usb2="00000001" w:usb3="00000001" w:csb0="2000009F" w:csb1="DFD70000"/>
  </w:font>
  <w:font w:name="휴먼옛체">
    <w:panose1 w:val="02030504000101010101"/>
    <w:family w:val="roman"/>
    <w:charset w:val="81"/>
    <w:notTrueType w:val="false"/>
    <w:sig w:usb0="800002A7" w:usb1="29D77CFB" w:usb2="00000010" w:usb3="00000001" w:csb0="00080000" w:csb1="00000001"/>
  </w:font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Arial Unicode MS">
    <w:panose1 w:val="020B0604020202020204"/>
    <w:charset w:val="00"/>
    <w:notTrueType w:val="false"/>
    <w:sig w:usb0="FFFFFFFF" w:usb1="E9FFFFFF" w:usb2="0000003F" w:usb3="00000001" w:csb0="603F01FF" w:csb1="FFFF0000"/>
  </w:font>
  <w:font w:name="Segoe UI Symbol">
    <w:panose1 w:val="020B0502040204020203"/>
    <w:family w:val="swiss"/>
    <w:charset w:val="00"/>
    <w:notTrueType w:val="false"/>
    <w:sig w:usb0="800001E3" w:usb1="1200FFEF" w:usb2="00040000" w:usb3="04000000" w:csb0="00000001" w:csb1="4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p>
        <w:pPr>
          <w:pStyle w:val="a6"/>
          <w:jc w:val="center"/>
        </w:pPr>
        <w:r/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  <w:p>
        <w:r/>
      </w:p>
    </w:sdtContent>
  </w:sdt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1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2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3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4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5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6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7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8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9">
    <w:multiLevelType w:val="hybridMultilevel"/>
    <w:lvl w:ilvl="0">
      <w:numFmt w:val="bullet"/>
      <w:lvlText w:val="☐"/>
      <w:lvlJc w:val="left"/>
      <w:pPr>
        <w:ind w:left="377" w:hanging="195"/>
      </w:pPr>
      <w:rPr>
        <w:lang w:val="en-US" w:eastAsia="ko-KR"/>
        <w:rFonts w:ascii="함초롬돋움" w:eastAsia="함초롬돋움" w:hAnsi="함초롬돋움" w:cs="함초롬돋움" w:hint="default"/>
        <w:b w:val="0"/>
        <w:bCs w:val="0"/>
        <w:i w:val="0"/>
        <w:iCs w:val="0"/>
        <w:w w:val="99"/>
        <w:sz w:val="18"/>
        <w:szCs w:val="18"/>
      </w:rPr>
    </w:lvl>
    <w:lvl w:ilvl="1">
      <w:numFmt w:val="bullet"/>
      <w:lvlText w:val="•"/>
      <w:lvlJc w:val="left"/>
      <w:pPr>
        <w:ind w:left="496" w:hanging="195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613" w:hanging="195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729" w:hanging="195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846" w:hanging="195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962" w:hanging="195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079" w:hanging="195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195" w:hanging="195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1312" w:hanging="195"/>
      </w:pPr>
      <w:rPr>
        <w:lang w:val="en-US" w:eastAsia="ko-KR"/>
        <w:rFonts w:hint="default"/>
      </w:rPr>
    </w:lvl>
  </w:abstractNum>
  <w:abstractNum w:abstractNumId="10">
    <w:multiLevelType w:val="hybridMultilevel"/>
    <w:lvl w:ilvl="0">
      <w:numFmt w:val="bullet"/>
      <w:lvlText w:val="☐"/>
      <w:lvlJc w:val="left"/>
      <w:pPr>
        <w:ind w:left="1471" w:hanging="358"/>
      </w:pPr>
      <w:rPr>
        <w:lang w:val="en-US" w:eastAsia="ko-KR"/>
        <w:rFonts w:ascii="함초롬돋움" w:eastAsia="함초롬돋움" w:hAnsi="함초롬돋움" w:cs="함초롬돋움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672" w:hanging="358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65" w:hanging="358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058" w:hanging="358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250" w:hanging="358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2443" w:hanging="358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2636" w:hanging="358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2828" w:hanging="358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3021" w:hanging="358"/>
      </w:pPr>
      <w:rPr>
        <w:lang w:val="en-US" w:eastAsia="ko-KR"/>
        <w:rFonts w:hint="default"/>
      </w:rPr>
    </w:lvl>
  </w:abstractNum>
  <w:abstractNum w:abstractNumId="11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12">
    <w:multiLevelType w:val="hybridMultilevel"/>
    <w:lvl w:ilvl="0">
      <w:numFmt w:val="bullet"/>
      <w:lvlText w:val="☐"/>
      <w:lvlJc w:val="left"/>
      <w:pPr>
        <w:ind w:left="53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640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741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841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942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042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143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243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1344" w:hanging="387"/>
      </w:pPr>
      <w:rPr>
        <w:lang w:val="en-US" w:eastAsia="ko-KR"/>
        <w:rFonts w:hint="default"/>
      </w:rPr>
    </w:lvl>
  </w:abstractNum>
  <w:abstractNum w:abstractNumId="13">
    <w:multiLevelType w:val="hybridMultilevel"/>
    <w:lvl w:ilvl="0">
      <w:numFmt w:val="bullet"/>
      <w:lvlText w:val="☐"/>
      <w:lvlJc w:val="left"/>
      <w:pPr>
        <w:ind w:left="1471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1672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65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058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250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244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2636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2828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3021" w:hanging="387"/>
      </w:pPr>
      <w:rPr>
        <w:lang w:val="en-US" w:eastAsia="ko-KR"/>
        <w:rFonts w:hint="default"/>
      </w:rPr>
    </w:lvl>
  </w:abstractNum>
  <w:abstractNum w:abstractNumId="14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15">
    <w:multiLevelType w:val="hybridMultilevel"/>
    <w:lvl w:ilvl="0">
      <w:numFmt w:val="bullet"/>
      <w:lvlText w:val="☐"/>
      <w:lvlJc w:val="left"/>
      <w:pPr>
        <w:ind w:left="53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640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741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841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942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042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143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243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1344" w:hanging="387"/>
      </w:pPr>
      <w:rPr>
        <w:lang w:val="en-US" w:eastAsia="ko-KR"/>
        <w:rFonts w:hint="default"/>
      </w:rPr>
    </w:lvl>
  </w:abstractNum>
  <w:abstractNum w:abstractNumId="16">
    <w:multiLevelType w:val="hybridMultilevel"/>
    <w:lvl w:ilvl="0">
      <w:numFmt w:val="bullet"/>
      <w:lvlText w:val="☐"/>
      <w:lvlJc w:val="left"/>
      <w:pPr>
        <w:ind w:left="1471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1672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65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058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250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244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2636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2828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3021" w:hanging="387"/>
      </w:pPr>
      <w:rPr>
        <w:lang w:val="en-US" w:eastAsia="ko-KR"/>
        <w:rFonts w:hint="default"/>
      </w:rPr>
    </w:lvl>
  </w:abstractNum>
  <w:abstractNum w:abstractNumId="17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18">
    <w:multiLevelType w:val="hybridMultilevel"/>
    <w:lvl w:ilvl="0">
      <w:numFmt w:val="bullet"/>
      <w:lvlText w:val="☐"/>
      <w:lvlJc w:val="left"/>
      <w:pPr>
        <w:ind w:left="53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640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741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841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942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042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143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243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1344" w:hanging="387"/>
      </w:pPr>
      <w:rPr>
        <w:lang w:val="en-US" w:eastAsia="ko-KR"/>
        <w:rFonts w:hint="default"/>
      </w:rPr>
    </w:lvl>
  </w:abstractNum>
  <w:abstractNum w:abstractNumId="19">
    <w:multiLevelType w:val="hybridMultilevel"/>
    <w:lvl w:ilvl="0">
      <w:numFmt w:val="bullet"/>
      <w:lvlText w:val="☐"/>
      <w:lvlJc w:val="left"/>
      <w:pPr>
        <w:ind w:left="1471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1672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65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058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250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244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2636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2828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3021" w:hanging="387"/>
      </w:pPr>
      <w:rPr>
        <w:lang w:val="en-US" w:eastAsia="ko-KR"/>
        <w:rFonts w:hint="default"/>
      </w:rPr>
    </w:lvl>
  </w:abstractNum>
  <w:abstractNum w:abstractNumId="20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21">
    <w:multiLevelType w:val="hybridMultilevel"/>
    <w:lvl w:ilvl="0">
      <w:numFmt w:val="bullet"/>
      <w:lvlText w:val="•"/>
      <w:lvlJc w:val="left"/>
      <w:pPr>
        <w:ind w:left="261" w:hanging="13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/>
        <w:iCs/>
        <w:color w:val="0000FF"/>
        <w:w w:val="94"/>
        <w:sz w:val="21"/>
        <w:szCs w:val="21"/>
      </w:rPr>
    </w:lvl>
    <w:lvl w:ilvl="1">
      <w:numFmt w:val="bullet"/>
      <w:lvlText w:val="•"/>
      <w:lvlJc w:val="left"/>
      <w:pPr>
        <w:ind w:left="873" w:hanging="13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487" w:hanging="13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101" w:hanging="13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715" w:hanging="13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329" w:hanging="13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3943" w:hanging="13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557" w:hanging="13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171" w:hanging="132"/>
      </w:pPr>
      <w:rPr>
        <w:lang w:val="en-US" w:eastAsia="ko-KR"/>
        <w:rFonts w:hint="default"/>
      </w:rPr>
    </w:lvl>
  </w:abstractNum>
  <w:abstractNum w:abstractNumId="22">
    <w:multiLevelType w:val="hybridMultilevel"/>
    <w:lvl w:ilvl="0">
      <w:numFmt w:val="bullet"/>
      <w:lvlText w:val="•"/>
      <w:lvlJc w:val="left"/>
      <w:pPr>
        <w:ind w:left="261" w:hanging="13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/>
        <w:iCs/>
        <w:color w:val="0000FF"/>
        <w:w w:val="94"/>
        <w:sz w:val="21"/>
        <w:szCs w:val="21"/>
      </w:rPr>
    </w:lvl>
    <w:lvl w:ilvl="1">
      <w:numFmt w:val="bullet"/>
      <w:lvlText w:val="•"/>
      <w:lvlJc w:val="left"/>
      <w:pPr>
        <w:ind w:left="873" w:hanging="13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487" w:hanging="13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101" w:hanging="13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715" w:hanging="13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329" w:hanging="13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3943" w:hanging="13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557" w:hanging="13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171" w:hanging="132"/>
      </w:pPr>
      <w:rPr>
        <w:lang w:val="en-US" w:eastAsia="ko-KR"/>
        <w:rFonts w:hint="default"/>
      </w:rPr>
    </w:lvl>
  </w:abstractNum>
  <w:abstractNum w:abstractNumId="23">
    <w:multiLevelType w:val="hybridMultilevel"/>
    <w:lvl w:ilvl="0">
      <w:numFmt w:val="bullet"/>
      <w:lvlText w:val="•"/>
      <w:lvlJc w:val="left"/>
      <w:pPr>
        <w:ind w:left="261" w:hanging="13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/>
        <w:iCs/>
        <w:color w:val="0000FF"/>
        <w:w w:val="94"/>
        <w:sz w:val="21"/>
        <w:szCs w:val="21"/>
      </w:rPr>
    </w:lvl>
    <w:lvl w:ilvl="1">
      <w:numFmt w:val="bullet"/>
      <w:lvlText w:val="•"/>
      <w:lvlJc w:val="left"/>
      <w:pPr>
        <w:ind w:left="873" w:hanging="13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487" w:hanging="13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101" w:hanging="13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715" w:hanging="13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329" w:hanging="13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3943" w:hanging="13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557" w:hanging="13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171" w:hanging="132"/>
      </w:pPr>
      <w:rPr>
        <w:lang w:val="en-US" w:eastAsia="ko-KR"/>
        <w:rFonts w:hint="default"/>
      </w:rPr>
    </w:lvl>
  </w:abstractNum>
  <w:abstractNum w:abstractNumId="24">
    <w:multiLevelType w:val="hybridMultilevel"/>
    <w:lvl w:ilvl="0">
      <w:numFmt w:val="bullet"/>
      <w:lvlText w:val="•"/>
      <w:lvlJc w:val="left"/>
      <w:pPr>
        <w:ind w:left="261" w:hanging="13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/>
        <w:iCs/>
        <w:color w:val="0000FF"/>
        <w:w w:val="94"/>
        <w:sz w:val="21"/>
        <w:szCs w:val="21"/>
      </w:rPr>
    </w:lvl>
    <w:lvl w:ilvl="1">
      <w:numFmt w:val="bullet"/>
      <w:lvlText w:val="•"/>
      <w:lvlJc w:val="left"/>
      <w:pPr>
        <w:ind w:left="873" w:hanging="13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487" w:hanging="13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101" w:hanging="13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715" w:hanging="13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329" w:hanging="13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3943" w:hanging="13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557" w:hanging="13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171" w:hanging="132"/>
      </w:pPr>
      <w:rPr>
        <w:lang w:val="en-US" w:eastAsia="ko-KR"/>
        <w:rFonts w:hint="default"/>
      </w:rPr>
    </w:lvl>
  </w:abstractNum>
  <w:abstractNum w:abstractNumId="25">
    <w:multiLevelType w:val="hybridMultilevel"/>
    <w:lvl w:ilvl="0">
      <w:numFmt w:val="bullet"/>
      <w:lvlText w:val="*"/>
      <w:lvlJc w:val="left"/>
      <w:pPr>
        <w:ind w:left="518" w:hanging="20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color w:val="0000FF"/>
        <w:w w:val="100"/>
        <w:sz w:val="22"/>
        <w:szCs w:val="22"/>
      </w:rPr>
    </w:lvl>
    <w:lvl w:ilvl="1">
      <w:numFmt w:val="bullet"/>
      <w:lvlText w:val="•"/>
      <w:lvlJc w:val="left"/>
      <w:pPr>
        <w:ind w:left="1431" w:hanging="20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2342" w:hanging="20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3253" w:hanging="20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4164" w:hanging="20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5075" w:hanging="20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5986" w:hanging="20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6898" w:hanging="20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7809" w:hanging="202"/>
      </w:pPr>
      <w:rPr>
        <w:lang w:val="en-US" w:eastAsia="ko-KR"/>
        <w:rFonts w:hint="default"/>
      </w:rPr>
    </w:lvl>
  </w:abstractNum>
  <w:abstractNum w:abstractNumId="26">
    <w:multiLevelType w:val="hybridMultilevel"/>
    <w:lvl w:ilvl="0">
      <w:numFmt w:val="bullet"/>
      <w:lvlText w:val="-"/>
      <w:lvlJc w:val="left"/>
      <w:pPr>
        <w:ind w:left="405" w:hanging="200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color w:val="0000FF"/>
        <w:w w:val="100"/>
        <w:sz w:val="22"/>
        <w:szCs w:val="22"/>
      </w:rPr>
    </w:lvl>
    <w:lvl w:ilvl="1">
      <w:numFmt w:val="bullet"/>
      <w:lvlText w:val="•"/>
      <w:lvlJc w:val="left"/>
      <w:pPr>
        <w:ind w:left="1323" w:hanging="200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2246" w:hanging="200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3169" w:hanging="200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4092" w:hanging="200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5015" w:hanging="200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5938" w:hanging="200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6862" w:hanging="200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7785" w:hanging="200"/>
      </w:pPr>
      <w:rPr>
        <w:lang w:val="en-US" w:eastAsia="ko-KR"/>
        <w:rFonts w:hint="default"/>
      </w:rPr>
    </w:lvl>
  </w:abstractNum>
  <w:abstractNum w:abstractNumId="27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90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601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312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22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3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44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54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5" w:hanging="147"/>
      </w:pPr>
      <w:rPr>
        <w:lang w:val="en-US" w:eastAsia="ko-KR"/>
        <w:rFonts w:hint="default"/>
      </w:rPr>
    </w:lvl>
  </w:abstractNum>
  <w:abstractNum w:abstractNumId="28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90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601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312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22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3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44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54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5" w:hanging="147"/>
      </w:pPr>
      <w:rPr>
        <w:lang w:val="en-US" w:eastAsia="ko-KR"/>
        <w:rFonts w:hint="default"/>
      </w:rPr>
    </w:lvl>
  </w:abstractNum>
  <w:abstractNum w:abstractNumId="29">
    <w:multiLevelType w:val="hybridMultilevel"/>
    <w:lvl w:ilvl="0">
      <w:numFmt w:val="bullet"/>
      <w:lvlText w:val="•"/>
      <w:lvlJc w:val="left"/>
      <w:pPr>
        <w:ind w:left="160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72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585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298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10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2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36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48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1" w:hanging="147"/>
      </w:pPr>
      <w:rPr>
        <w:lang w:val="en-US" w:eastAsia="ko-KR"/>
        <w:rFonts w:hint="default"/>
      </w:rPr>
    </w:lvl>
  </w:abstractNum>
  <w:abstractNum w:abstractNumId="30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-"/>
      <w:lvlJc w:val="left"/>
      <w:pPr>
        <w:ind w:left="337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2">
      <w:numFmt w:val="bullet"/>
      <w:lvlText w:val="•"/>
      <w:lvlJc w:val="left"/>
      <w:pPr>
        <w:ind w:left="1111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883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655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427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1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971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743" w:hanging="183"/>
      </w:pPr>
      <w:rPr>
        <w:lang w:val="en-US" w:eastAsia="ko-KR"/>
        <w:rFonts w:hint="default"/>
      </w:rPr>
    </w:lvl>
  </w:abstractNum>
  <w:abstractNum w:abstractNumId="31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90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601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312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22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3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44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54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5" w:hanging="147"/>
      </w:pPr>
      <w:rPr>
        <w:lang w:val="en-US" w:eastAsia="ko-KR"/>
        <w:rFonts w:hint="default"/>
      </w:rPr>
    </w:lvl>
  </w:abstractNum>
  <w:abstractNum w:abstractNumId="32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90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601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312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22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3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44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54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5" w:hanging="147"/>
      </w:pPr>
      <w:rPr>
        <w:lang w:val="en-US" w:eastAsia="ko-KR"/>
        <w:rFonts w:hint="default"/>
      </w:rPr>
    </w:lvl>
  </w:abstractNum>
  <w:abstractNum w:abstractNumId="33">
    <w:multiLevelType w:val="hybridMultilevel"/>
    <w:lvl w:ilvl="0">
      <w:numFmt w:val="bullet"/>
      <w:lvlText w:val="*"/>
      <w:lvlJc w:val="left"/>
      <w:pPr>
        <w:ind w:left="537" w:hanging="204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-"/>
      <w:lvlJc w:val="left"/>
      <w:pPr>
        <w:ind w:left="780" w:hanging="183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99"/>
        <w:sz w:val="20"/>
        <w:szCs w:val="20"/>
      </w:rPr>
    </w:lvl>
    <w:lvl w:ilvl="2">
      <w:numFmt w:val="bullet"/>
      <w:lvlText w:val="•"/>
      <w:lvlJc w:val="left"/>
      <w:pPr>
        <w:ind w:left="780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920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60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200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5340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6480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7620" w:hanging="183"/>
      </w:pPr>
      <w:rPr>
        <w:lang w:val="en-US" w:eastAsia="ko-KR"/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20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10"/>
  <w:drawingGridVerticalSpacing w:val="180"/>
  <w:displayHorizontalDrawingGridEvery w:val="2"/>
  <w:displayVerticalDrawingGridEvery w:val="1"/>
  <w:characterSpacingControl w:val="doNotCompress"/>
  <w:compat>
    <w:ulTrailSpace/>
    <w:shapeLayoutLikeWW8/>
    <w:useFELayout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HAnsi" w:hAnsiTheme="minorHAnsi" w:cstheme="minorBidi"/>
        <w:sz w:val="22"/>
        <w:szCs w:val="22"/>
      </w:rPr>
    </w:rPrDefault>
    <w:pPrDefault>
      <w:pPr>
        <w:ind w:left="0" w:right="0"/>
        <w:autoSpaceDE w:val="off"/>
        <w:autoSpaceDN w:val="off"/>
        <w:widowControl w:val="off"/>
        <w:jc w:val="left"/>
        <w:spacing w:after="0" w:before="0" w:line="24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09" w:unhideWhenUsed="1"/>
    <w:lsdException w:name="toc 2" w:semiHidden="1" w:uiPriority="309" w:unhideWhenUsed="1"/>
    <w:lsdException w:name="toc 3" w:semiHidden="1" w:uiPriority="309" w:unhideWhenUsed="1"/>
    <w:lsdException w:name="toc 4" w:semiHidden="1" w:uiPriority="309" w:unhideWhenUsed="1"/>
    <w:lsdException w:name="toc 5" w:semiHidden="1" w:uiPriority="309" w:unhideWhenUsed="1"/>
    <w:lsdException w:name="toc 6" w:semiHidden="1" w:uiPriority="309" w:unhideWhenUsed="1"/>
    <w:lsdException w:name="toc 7" w:semiHidden="1" w:uiPriority="309" w:unhideWhenUsed="1"/>
    <w:lsdException w:name="toc 8" w:semiHidden="1" w:uiPriority="309" w:unhideWhenUsed="1"/>
    <w:lsdException w:name="toc 9" w:semiHidden="1" w:uiPriority="30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0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30" w:qFormat="1"/>
    <w:lsdException w:name="Emphasis" w:uiPriority="12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0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822"/>
    <w:lsdException w:name="Light List" w:uiPriority="823"/>
    <w:lsdException w:name="Light Grid" w:uiPriority="824"/>
    <w:lsdException w:name="Medium Shading 1" w:uiPriority="825"/>
    <w:lsdException w:name="Medium Shading 2" w:uiPriority="1432"/>
    <w:lsdException w:name="Medium List 1" w:uiPriority="1433"/>
    <w:lsdException w:name="Medium List 2" w:uiPriority="1536"/>
    <w:lsdException w:name="Medium Grid 1" w:uiPriority="1537"/>
    <w:lsdException w:name="Medium Grid 2" w:uiPriority="1544"/>
    <w:lsdException w:name="Medium Grid 3" w:uiPriority="1545"/>
    <w:lsdException w:name="Dark List" w:uiPriority="1576"/>
    <w:lsdException w:name="Colorful Shading" w:uiPriority="1577"/>
    <w:lsdException w:name="Colorful List" w:uiPriority="1584"/>
    <w:lsdException w:name="Colorful Grid" w:uiPriority="1585"/>
    <w:lsdException w:name="Light Shading Accent 1" w:uiPriority="822"/>
    <w:lsdException w:name="Light List Accent 1" w:uiPriority="823"/>
    <w:lsdException w:name="Light Grid Accent 1" w:uiPriority="824"/>
    <w:lsdException w:name="Medium Shading 1 Accent 1" w:uiPriority="825"/>
    <w:lsdException w:name="Medium Shading 2 Accent 1" w:uiPriority="1432"/>
    <w:lsdException w:name="Medium List 1 Accent 1" w:uiPriority="1433"/>
    <w:lsdException w:name="Revision" w:semiHidden="1"/>
    <w:lsdException w:name="List Paragraph" w:uiPriority="304" w:qFormat="1"/>
    <w:lsdException w:name="Quote" w:uiPriority="257" w:qFormat="1"/>
    <w:lsdException w:name="Intense Quote" w:uiPriority="276" w:qFormat="1"/>
    <w:lsdException w:name="Medium List 2 Accent 1" w:uiPriority="1536"/>
    <w:lsdException w:name="Medium Grid 1 Accent 1" w:uiPriority="1537"/>
    <w:lsdException w:name="Medium Grid 2 Accent 1" w:uiPriority="1544"/>
    <w:lsdException w:name="Medium Grid 3 Accent 1" w:uiPriority="1545"/>
    <w:lsdException w:name="Dark List Accent 1" w:uiPriority="1576"/>
    <w:lsdException w:name="Colorful Shading Accent 1" w:uiPriority="1577"/>
    <w:lsdException w:name="Colorful List Accent 1" w:uiPriority="1584"/>
    <w:lsdException w:name="Colorful Grid Accent 1" w:uiPriority="1585"/>
    <w:lsdException w:name="Light Shading Accent 2" w:uiPriority="822"/>
    <w:lsdException w:name="Light List Accent 2" w:uiPriority="823"/>
    <w:lsdException w:name="Light Grid Accent 2" w:uiPriority="824"/>
    <w:lsdException w:name="Medium Shading 1 Accent 2" w:uiPriority="825"/>
    <w:lsdException w:name="Medium Shading 2 Accent 2" w:uiPriority="1432"/>
    <w:lsdException w:name="Medium List 1 Accent 2" w:uiPriority="1433"/>
    <w:lsdException w:name="Medium List 2 Accent 2" w:uiPriority="1536"/>
    <w:lsdException w:name="Medium Grid 1 Accent 2" w:uiPriority="1537"/>
    <w:lsdException w:name="Medium Grid 2 Accent 2" w:uiPriority="1544"/>
    <w:lsdException w:name="Medium Grid 3 Accent 2" w:uiPriority="1545"/>
    <w:lsdException w:name="Dark List Accent 2" w:uiPriority="1576"/>
    <w:lsdException w:name="Colorful Shading Accent 2" w:uiPriority="1577"/>
    <w:lsdException w:name="Colorful List Accent 2" w:uiPriority="1584"/>
    <w:lsdException w:name="Colorful Grid Accent 2" w:uiPriority="1585"/>
    <w:lsdException w:name="Light Shading Accent 3" w:uiPriority="822"/>
    <w:lsdException w:name="Light List Accent 3" w:uiPriority="823"/>
    <w:lsdException w:name="Light Grid Accent 3" w:uiPriority="824"/>
    <w:lsdException w:name="Medium Shading 1 Accent 3" w:uiPriority="825"/>
    <w:lsdException w:name="Medium Shading 2 Accent 3" w:uiPriority="1432"/>
    <w:lsdException w:name="Medium List 1 Accent 3" w:uiPriority="1433"/>
    <w:lsdException w:name="Medium List 2 Accent 3" w:uiPriority="1536"/>
    <w:lsdException w:name="Medium Grid 1 Accent 3" w:uiPriority="1537"/>
    <w:lsdException w:name="Medium Grid 2 Accent 3" w:uiPriority="1544"/>
    <w:lsdException w:name="Medium Grid 3 Accent 3" w:uiPriority="1545"/>
    <w:lsdException w:name="Dark List Accent 3" w:uiPriority="1576"/>
    <w:lsdException w:name="Colorful Shading Accent 3" w:uiPriority="1577"/>
    <w:lsdException w:name="Colorful List Accent 3" w:uiPriority="1584"/>
    <w:lsdException w:name="Colorful Grid Accent 3" w:uiPriority="1585"/>
    <w:lsdException w:name="Light Shading Accent 4" w:uiPriority="822"/>
    <w:lsdException w:name="Light List Accent 4" w:uiPriority="823"/>
    <w:lsdException w:name="Light Grid Accent 4" w:uiPriority="824"/>
    <w:lsdException w:name="Medium Shading 1 Accent 4" w:uiPriority="825"/>
    <w:lsdException w:name="Medium Shading 2 Accent 4" w:uiPriority="1432"/>
    <w:lsdException w:name="Medium List 1 Accent 4" w:uiPriority="1433"/>
    <w:lsdException w:name="Medium List 2 Accent 4" w:uiPriority="1536"/>
    <w:lsdException w:name="Medium Grid 1 Accent 4" w:uiPriority="1537"/>
    <w:lsdException w:name="Medium Grid 2 Accent 4" w:uiPriority="1544"/>
    <w:lsdException w:name="Medium Grid 3 Accent 4" w:uiPriority="1545"/>
    <w:lsdException w:name="Dark List Accent 4" w:uiPriority="1576"/>
    <w:lsdException w:name="Colorful Shading Accent 4" w:uiPriority="1577"/>
    <w:lsdException w:name="Colorful List Accent 4" w:uiPriority="1584"/>
    <w:lsdException w:name="Colorful Grid Accent 4" w:uiPriority="1585"/>
    <w:lsdException w:name="Light Shading Accent 5" w:uiPriority="822"/>
    <w:lsdException w:name="Light List Accent 5" w:uiPriority="823"/>
    <w:lsdException w:name="Light Grid Accent 5" w:uiPriority="824"/>
    <w:lsdException w:name="Medium Shading 1 Accent 5" w:uiPriority="825"/>
    <w:lsdException w:name="Medium Shading 2 Accent 5" w:uiPriority="1432"/>
    <w:lsdException w:name="Medium List 1 Accent 5" w:uiPriority="1433"/>
    <w:lsdException w:name="Medium List 2 Accent 5" w:uiPriority="1536"/>
    <w:lsdException w:name="Medium Grid 1 Accent 5" w:uiPriority="1537"/>
    <w:lsdException w:name="Medium Grid 2 Accent 5" w:uiPriority="1544"/>
    <w:lsdException w:name="Medium Grid 3 Accent 5" w:uiPriority="1545"/>
    <w:lsdException w:name="Dark List Accent 5" w:uiPriority="1576"/>
    <w:lsdException w:name="Colorful Shading Accent 5" w:uiPriority="1577"/>
    <w:lsdException w:name="Colorful List Accent 5" w:uiPriority="1584"/>
    <w:lsdException w:name="Colorful Grid Accent 5" w:uiPriority="1585"/>
    <w:lsdException w:name="Light Shading Accent 6" w:uiPriority="822"/>
    <w:lsdException w:name="Light List Accent 6" w:uiPriority="823"/>
    <w:lsdException w:name="Light Grid Accent 6" w:uiPriority="824"/>
    <w:lsdException w:name="Medium Shading 1 Accent 6" w:uiPriority="825"/>
    <w:lsdException w:name="Medium Shading 2 Accent 6" w:uiPriority="1432"/>
    <w:lsdException w:name="Medium List 1 Accent 6" w:uiPriority="1433"/>
    <w:lsdException w:name="Medium List 2 Accent 6" w:uiPriority="1536"/>
    <w:lsdException w:name="Medium Grid 1 Accent 6" w:uiPriority="1537"/>
    <w:lsdException w:name="Medium Grid 2 Accent 6" w:uiPriority="1544"/>
    <w:lsdException w:name="Medium Grid 3 Accent 6" w:uiPriority="1545"/>
    <w:lsdException w:name="Dark List Accent 6" w:uiPriority="1576"/>
    <w:lsdException w:name="Colorful Shading Accent 6" w:uiPriority="1577"/>
    <w:lsdException w:name="Colorful List Accent 6" w:uiPriority="1584"/>
    <w:lsdException w:name="Colorful Grid Accent 6" w:uiPriority="1585"/>
    <w:lsdException w:name="Subtle Emphasis" w:uiPriority="85" w:qFormat="1"/>
    <w:lsdException w:name="Intense Emphasis" w:uiPriority="129" w:qFormat="1"/>
    <w:lsdException w:name="Subtle Reference" w:uiPriority="277" w:qFormat="1"/>
    <w:lsdException w:name="Intense Reference" w:uiPriority="296" w:qFormat="1"/>
    <w:lsdException w:name="Book Title" w:uiPriority="297" w:qFormat="1"/>
    <w:lsdException w:name="Bibliography" w:semiHidden="1" w:uiPriority="307" w:unhideWhenUsed="1"/>
    <w:lsdException w:name="TOC Heading" w:semiHidden="1" w:uiPriority="309" w:unhideWhenUsed="1" w:qFormat="1"/>
    <w:lsdException w:name="Plain Table 1" w:uiPriority="599"/>
    <w:lsdException w:name="Plain Table 2" w:uiPriority="600"/>
    <w:lsdException w:name="Plain Table 3" w:uiPriority="601"/>
    <w:lsdException w:name="Plain Table 4" w:uiPriority="608"/>
    <w:lsdException w:name="Plain Table 5" w:uiPriority="609"/>
    <w:lsdException w:name="Grid Table Light" w:uiPriority="598"/>
    <w:lsdException w:name="Grid Table 1 Light" w:uiPriority="628"/>
    <w:lsdException w:name="Grid Table 2" w:uiPriority="629"/>
    <w:lsdException w:name="Grid Table 3" w:uiPriority="630"/>
    <w:lsdException w:name="Grid Table 4" w:uiPriority="631"/>
    <w:lsdException w:name="Grid Table 5 Dark" w:uiPriority="662"/>
    <w:lsdException w:name="Grid Table 6 Colorful" w:uiPriority="663"/>
    <w:lsdException w:name="Grid Table 7 Colorful" w:uiPriority="772"/>
    <w:lsdException w:name="Grid Table 1 Light Accent 1" w:uiPriority="628"/>
    <w:lsdException w:name="Grid Table 2 Accent 1" w:uiPriority="629"/>
    <w:lsdException w:name="Grid Table 3 Accent 1" w:uiPriority="630"/>
    <w:lsdException w:name="Grid Table 4 Accent 1" w:uiPriority="631"/>
    <w:lsdException w:name="Grid Table 5 Dark Accent 1" w:uiPriority="662"/>
    <w:lsdException w:name="Grid Table 6 Colorful Accent 1" w:uiPriority="663"/>
    <w:lsdException w:name="Grid Table 7 Colorful Accent 1" w:uiPriority="772"/>
    <w:lsdException w:name="Grid Table 1 Light Accent 2" w:uiPriority="628"/>
    <w:lsdException w:name="Grid Table 2 Accent 2" w:uiPriority="629"/>
    <w:lsdException w:name="Grid Table 3 Accent 2" w:uiPriority="630"/>
    <w:lsdException w:name="Grid Table 4 Accent 2" w:uiPriority="631"/>
    <w:lsdException w:name="Grid Table 5 Dark Accent 2" w:uiPriority="662"/>
    <w:lsdException w:name="Grid Table 6 Colorful Accent 2" w:uiPriority="663"/>
    <w:lsdException w:name="Grid Table 7 Colorful Accent 2" w:uiPriority="772"/>
    <w:lsdException w:name="Grid Table 1 Light Accent 3" w:uiPriority="628"/>
    <w:lsdException w:name="Grid Table 2 Accent 3" w:uiPriority="629"/>
    <w:lsdException w:name="Grid Table 3 Accent 3" w:uiPriority="630"/>
    <w:lsdException w:name="Grid Table 4 Accent 3" w:uiPriority="631"/>
    <w:lsdException w:name="Grid Table 5 Dark Accent 3" w:uiPriority="662"/>
    <w:lsdException w:name="Grid Table 6 Colorful Accent 3" w:uiPriority="663"/>
    <w:lsdException w:name="Grid Table 7 Colorful Accent 3" w:uiPriority="772"/>
    <w:lsdException w:name="Grid Table 1 Light Accent 4" w:uiPriority="628"/>
    <w:lsdException w:name="Grid Table 2 Accent 4" w:uiPriority="629"/>
    <w:lsdException w:name="Grid Table 3 Accent 4" w:uiPriority="630"/>
    <w:lsdException w:name="Grid Table 4 Accent 4" w:uiPriority="631"/>
    <w:lsdException w:name="Grid Table 5 Dark Accent 4" w:uiPriority="662"/>
    <w:lsdException w:name="Grid Table 6 Colorful Accent 4" w:uiPriority="663"/>
    <w:lsdException w:name="Grid Table 7 Colorful Accent 4" w:uiPriority="772"/>
    <w:lsdException w:name="Grid Table 1 Light Accent 5" w:uiPriority="628"/>
    <w:lsdException w:name="Grid Table 2 Accent 5" w:uiPriority="629"/>
    <w:lsdException w:name="Grid Table 3 Accent 5" w:uiPriority="630"/>
    <w:lsdException w:name="Grid Table 4 Accent 5" w:uiPriority="631"/>
    <w:lsdException w:name="Grid Table 5 Dark Accent 5" w:uiPriority="662"/>
    <w:lsdException w:name="Grid Table 6 Colorful Accent 5" w:uiPriority="663"/>
    <w:lsdException w:name="Grid Table 7 Colorful Accent 5" w:uiPriority="772"/>
    <w:lsdException w:name="Grid Table 1 Light Accent 6" w:uiPriority="628"/>
    <w:lsdException w:name="Grid Table 2 Accent 6" w:uiPriority="629"/>
    <w:lsdException w:name="Grid Table 3 Accent 6" w:uiPriority="630"/>
    <w:lsdException w:name="Grid Table 4 Accent 6" w:uiPriority="631"/>
    <w:lsdException w:name="Grid Table 5 Dark Accent 6" w:uiPriority="662"/>
    <w:lsdException w:name="Grid Table 6 Colorful Accent 6" w:uiPriority="663"/>
    <w:lsdException w:name="Grid Table 7 Colorful Accent 6" w:uiPriority="772"/>
    <w:lsdException w:name="List Table 1 Light" w:uiPriority="628"/>
    <w:lsdException w:name="List Table 2" w:uiPriority="629"/>
    <w:lsdException w:name="List Table 3" w:uiPriority="630"/>
    <w:lsdException w:name="List Table 4" w:uiPriority="631"/>
    <w:lsdException w:name="List Table 5 Dark" w:uiPriority="662"/>
    <w:lsdException w:name="List Table 6 Colorful" w:uiPriority="663"/>
    <w:lsdException w:name="List Table 7 Colorful" w:uiPriority="772"/>
    <w:lsdException w:name="List Table 1 Light Accent 1" w:uiPriority="628"/>
    <w:lsdException w:name="List Table 2 Accent 1" w:uiPriority="629"/>
    <w:lsdException w:name="List Table 3 Accent 1" w:uiPriority="630"/>
    <w:lsdException w:name="List Table 4 Accent 1" w:uiPriority="631"/>
    <w:lsdException w:name="List Table 5 Dark Accent 1" w:uiPriority="662"/>
    <w:lsdException w:name="List Table 6 Colorful Accent 1" w:uiPriority="663"/>
    <w:lsdException w:name="List Table 7 Colorful Accent 1" w:uiPriority="772"/>
    <w:lsdException w:name="List Table 1 Light Accent 2" w:uiPriority="628"/>
    <w:lsdException w:name="List Table 2 Accent 2" w:uiPriority="629"/>
    <w:lsdException w:name="List Table 3 Accent 2" w:uiPriority="630"/>
    <w:lsdException w:name="List Table 4 Accent 2" w:uiPriority="631"/>
    <w:lsdException w:name="List Table 5 Dark Accent 2" w:uiPriority="662"/>
    <w:lsdException w:name="List Table 6 Colorful Accent 2" w:uiPriority="663"/>
    <w:lsdException w:name="List Table 7 Colorful Accent 2" w:uiPriority="772"/>
    <w:lsdException w:name="List Table 1 Light Accent 3" w:uiPriority="628"/>
    <w:lsdException w:name="List Table 2 Accent 3" w:uiPriority="629"/>
    <w:lsdException w:name="List Table 3 Accent 3" w:uiPriority="630"/>
    <w:lsdException w:name="List Table 4 Accent 3" w:uiPriority="631"/>
    <w:lsdException w:name="List Table 5 Dark Accent 3" w:uiPriority="662"/>
    <w:lsdException w:name="List Table 6 Colorful Accent 3" w:uiPriority="663"/>
    <w:lsdException w:name="List Table 7 Colorful Accent 3" w:uiPriority="772"/>
    <w:lsdException w:name="List Table 1 Light Accent 4" w:uiPriority="628"/>
    <w:lsdException w:name="List Table 2 Accent 4" w:uiPriority="629"/>
    <w:lsdException w:name="List Table 3 Accent 4" w:uiPriority="630"/>
    <w:lsdException w:name="List Table 4 Accent 4" w:uiPriority="631"/>
    <w:lsdException w:name="List Table 5 Dark Accent 4" w:uiPriority="662"/>
    <w:lsdException w:name="List Table 6 Colorful Accent 4" w:uiPriority="663"/>
    <w:lsdException w:name="List Table 7 Colorful Accent 4" w:uiPriority="772"/>
    <w:lsdException w:name="List Table 1 Light Accent 5" w:uiPriority="628"/>
    <w:lsdException w:name="List Table 2 Accent 5" w:uiPriority="629"/>
    <w:lsdException w:name="List Table 3 Accent 5" w:uiPriority="630"/>
    <w:lsdException w:name="List Table 4 Accent 5" w:uiPriority="631"/>
    <w:lsdException w:name="List Table 5 Dark Accent 5" w:uiPriority="662"/>
    <w:lsdException w:name="List Table 6 Colorful Accent 5" w:uiPriority="663"/>
    <w:lsdException w:name="List Table 7 Colorful Accent 5" w:uiPriority="772"/>
    <w:lsdException w:name="List Table 1 Light Accent 6" w:uiPriority="628"/>
    <w:lsdException w:name="List Table 2 Accent 6" w:uiPriority="629"/>
    <w:lsdException w:name="List Table 3 Accent 6" w:uiPriority="630"/>
    <w:lsdException w:name="List Table 4 Accent 6" w:uiPriority="631"/>
    <w:lsdException w:name="List Table 5 Dark Accent 6" w:uiPriority="662"/>
    <w:lsdException w:name="List Table 6 Colorful Accent 6" w:uiPriority="663"/>
    <w:lsdException w:name="List Table 7 Colorful Accent 6" w:uiPriority="772"/>
  </w:latentStyles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2"/>
    <w:qFormat/>
    <w:semiHidden/>
    <w:unhideWhenUsed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uiPriority w:val="1"/>
    <w:qFormat/>
    <w:pPr/>
    <w:rPr>
      <w:lang w:val="en-US" w:eastAsia="ko-KR" w:bidi="ar-SA"/>
      <w:rFonts w:ascii="맑은 고딕" w:eastAsia="맑은 고딕" w:hAnsi="맑은 고딕" w:cs="맑은 고딕"/>
    </w:rPr>
  </w:style>
  <w:style w:type="paragraph" w:styleId="BodyText">
    <w:name w:val="Body Text"/>
    <w:uiPriority w:val="1"/>
    <w:basedOn w:val="Normal"/>
    <w:qFormat/>
    <w:pPr/>
    <w:rPr>
      <w:lang w:val="en-US" w:eastAsia="ko-KR" w:bidi="ar-SA"/>
      <w:rFonts w:ascii="맑은 고딕" w:eastAsia="맑은 고딕" w:hAnsi="맑은 고딕" w:cs="맑은 고딕"/>
      <w:sz w:val="22"/>
      <w:szCs w:val="22"/>
    </w:rPr>
  </w:style>
  <w:style w:type="paragraph" w:customStyle="1" w:styleId="Heading1">
    <w:name w:val="Heading 1"/>
    <w:uiPriority w:val="1"/>
    <w:basedOn w:val="Normal"/>
    <w:qFormat/>
    <w:pPr>
      <w:ind w:left="1658" w:right="1724"/>
      <w:outlineLvl w:val="1"/>
      <w:jc w:val="center"/>
      <w:spacing w:line="574" w:lineRule="exact"/>
    </w:pPr>
    <w:rPr>
      <w:lang w:val="en-US" w:eastAsia="ko-KR" w:bidi="ar-SA"/>
      <w:rFonts w:ascii="함초롬바탕" w:eastAsia="함초롬바탕" w:hAnsi="함초롬바탕" w:cs="함초롬바탕"/>
      <w:b/>
      <w:bCs/>
      <w:sz w:val="40"/>
      <w:szCs w:val="40"/>
    </w:rPr>
  </w:style>
  <w:style w:type="paragraph" w:customStyle="1" w:styleId="Heading2">
    <w:name w:val="Heading 2"/>
    <w:uiPriority w:val="1"/>
    <w:basedOn w:val="Normal"/>
    <w:qFormat/>
    <w:pPr>
      <w:ind w:left="213"/>
      <w:outlineLvl w:val="2"/>
    </w:pPr>
    <w:rPr>
      <w:lang w:val="en-US" w:eastAsia="ko-KR" w:bidi="ar-SA"/>
      <w:rFonts w:ascii="맑은 고딕" w:eastAsia="맑은 고딕" w:hAnsi="맑은 고딕" w:cs="맑은 고딕"/>
      <w:b/>
      <w:bCs/>
      <w:sz w:val="22"/>
      <w:szCs w:val="22"/>
    </w:rPr>
  </w:style>
  <w:style w:type="paragraph" w:styleId="ListParagraph">
    <w:name w:val="List Paragraph"/>
    <w:uiPriority w:val="1"/>
    <w:basedOn w:val="Normal"/>
    <w:qFormat/>
    <w:pPr>
      <w:ind w:left="482" w:hanging="260"/>
    </w:pPr>
    <w:rPr>
      <w:lang w:val="en-US" w:eastAsia="ko-KR" w:bidi="ar-SA"/>
      <w:rFonts w:ascii="맑은 고딕" w:eastAsia="맑은 고딕" w:hAnsi="맑은 고딕" w:cs="맑은 고딕"/>
    </w:rPr>
  </w:style>
  <w:style w:type="paragraph" w:customStyle="1" w:styleId="TableParagraph">
    <w:name w:val="Table Paragraph"/>
    <w:uiPriority w:val="1"/>
    <w:basedOn w:val="Normal"/>
    <w:qFormat/>
    <w:pPr/>
    <w:rPr>
      <w:lang w:val="en-US" w:eastAsia="ko-KR" w:bidi="ar-SA"/>
      <w:rFonts w:ascii="맑은 고딕" w:eastAsia="맑은 고딕" w:hAnsi="맑은 고딕" w:cs="맑은 고딕"/>
    </w:rPr>
  </w:style>
  <w:style w:type="paragraph" w:styleId="a6">
    <w:name w:val="footer"/>
    <w:uiPriority w:val="99"/>
    <w:basedOn w:val="Normal"/>
    <w:unhideWhenUsed/>
    <w:pPr>
      <w:snapToGrid w:val="0"/>
      <w:tabs>
        <w:tab w:val="center" w:pos="4513"/>
        <w:tab w:val="right" w:pos="9026"/>
      </w:tabs>
    </w:pPr>
    <w:rPr>
      <w:rFonts w:cstheme="minorBidi"/>
      <w:sz w:val="20"/>
      <w:szCs w:val="22"/>
    </w:rPr>
  </w:style>
  <w:style w:type="paragraph" w:customStyle="1" w:styleId="a8">
    <w:name w:val="바탕글"/>
    <w:qFormat/>
    <w:pPr>
      <w:autoSpaceDE w:val="off"/>
      <w:autoSpaceDN w:val="off"/>
      <w:widowControl w:val="off"/>
      <w:wordWrap w:val="off"/>
      <w:jc w:val="both"/>
      <w:spacing w:line="249" w:lineRule="auto"/>
    </w:pPr>
    <w:rPr>
      <w:rFonts w:ascii="함초롬바탕" w:eastAsia="함초롬바탕" w:hAnsi="Arial Unicode MS" w:cs="함초롬바탕"/>
      <w:color w:val="00000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oter" Target="footer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Relationship Id="rIdVG1" Type="http://schemas.openxmlformats.org/officeDocument/2006/relationships/hyperlink" Target="https://www.moel.go.kr/news/enews/report/enewsView.do?news_seq=19159" TargetMode="External"/><Relationship Id="rIdVG2" Type="http://schemas.openxmlformats.org/officeDocument/2006/relationships/hyperlink" Target="https://www.korea.kr/briefing/pressReleaseView.do?newsId=156751984" TargetMode="External"/><Relationship Id="rIdVG3" Type="http://schemas.openxmlformats.org/officeDocument/2006/relationships/hyperlink" Target="https://www.shinkim.com/kor/media/newsletter/2309" TargetMode="External"/><Relationship Id="rIdVG4" Type="http://schemas.openxmlformats.org/officeDocument/2006/relationships/hyperlink" Target="https://science.ytn.co.kr/program/view.php?mcd=0082&amp;key=202401261712258700" TargetMode="External"/><Relationship Id="rIdVG5" Type="http://schemas.openxmlformats.org/officeDocument/2006/relationships/hyperlink" Target="https://www.outsourcing.co.kr/news/articleView.html?idxno=202354" TargetMode="External"/><Relationship Id="rIdVG6" Type="http://schemas.openxmlformats.org/officeDocument/2006/relationships/hyperlink" Target="https://www.mordorintelligence.kr/industry-reports/cctv-market" TargetMode="External"/><Relationship Id="rIdVG7" Type="http://schemas.openxmlformats.org/officeDocument/2006/relationships/hyperlink" Target="https://portal.kosha.or.kr/business-apply-search/biz-support/smart-equipment/info" TargetMode="External"/><Relationship Id="rIdVG8" Type="http://schemas.openxmlformats.org/officeDocument/2006/relationships/hyperlink" Target="https://oshri.kosha.or.kr/kosha/report/notice.do?mode=download&amp;articleNo=455975&amp;attachNo=449336" TargetMode="External"/><Relationship Id="rIdVG9" Type="http://schemas.openxmlformats.org/officeDocument/2006/relationships/hyperlink" Target="https://www.moel.go.kr/news/enews/report/enewsView.do?news_seq=19159" TargetMode="External"/><Relationship Id="rIdVG10" Type="http://schemas.openxmlformats.org/officeDocument/2006/relationships/hyperlink" Target="https://www.korea.kr/briefing/pressReleaseView.do?newsId=156751984" TargetMode="External"/><Relationship Id="rIdVG11" Type="http://schemas.openxmlformats.org/officeDocument/2006/relationships/hyperlink" Target="https://www.shinkim.com/kor/media/newsletter/2309" TargetMode="External"/><Relationship Id="rIdVG12" Type="http://schemas.openxmlformats.org/officeDocument/2006/relationships/hyperlink" Target="https://science.ytn.co.kr/program/view.php?mcd=0082&amp;key=202401261712258700" TargetMode="External"/><Relationship Id="rIdVG13" Type="http://schemas.openxmlformats.org/officeDocument/2006/relationships/hyperlink" Target="https://www.outsourcing.co.kr/news/articleView.html?idxno=202354" TargetMode="External"/><Relationship Id="rIdVG14" Type="http://schemas.openxmlformats.org/officeDocument/2006/relationships/hyperlink" Target="https://www.mordorintelligence.kr/industry-reports/cctv-market" TargetMode="External"/><Relationship Id="rIdVG15" Type="http://schemas.openxmlformats.org/officeDocument/2006/relationships/hyperlink" Target="https://portal.kosha.or.kr/business-apply-search/biz-support/smart-equipment/info" TargetMode="External"/><Relationship Id="rIdVG16" Type="http://schemas.openxmlformats.org/officeDocument/2006/relationships/hyperlink" Target="https://oshri.kosha.or.kr/kosha/report/notice.do?mode=download&amp;articleNo=455975&amp;attachNo=44933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2023-02-23T04:40:31Z</dcterms:created>
  <dcterms:modified xsi:type="dcterms:W3CDTF">2023-02-23T05:13:08Z</dcterms:modified>
  <cp:version>1000.0100.01</cp:version>
</cp:coreProperties>
</file>