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1" w:lineRule="exact"/>
        <w:rPr>
          <w:sz w:val="24"/>
          <w:szCs w:val="24"/>
          <w:color w:val="auto"/>
        </w:rPr>
      </w:pPr>
    </w:p>
    <w:p>
      <w:pPr>
        <w:ind w:left="2960"/>
        <w:spacing w:after="0"/>
        <w:rPr>
          <w:sz w:val="20"/>
          <w:szCs w:val="20"/>
          <w:color w:val="auto"/>
        </w:rPr>
      </w:pPr>
      <w:r>
        <w:rPr>
          <w:rFonts w:ascii="Calibri" w:cs="Calibri" w:eastAsia="Calibri" w:hAnsi="Calibri"/>
          <w:sz w:val="35"/>
          <w:szCs w:val="35"/>
          <w:b w:val="1"/>
          <w:bCs w:val="1"/>
          <w:color w:val="auto"/>
        </w:rPr>
        <w:t>Employee Handbook</w:t>
      </w:r>
    </w:p>
    <w:p>
      <w:pPr>
        <w:spacing w:after="0" w:line="137"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1 General Provisions</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Purpose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Scope</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2 Company Introduction</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Values</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3 Recruitment and Training</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Recruitment</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Training</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4 Onboarding and Offboarding</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Onboarding Procedures</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Probation Period</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Labor Contract Signing</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Promotion</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Transfer</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Offboarding</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5 Attendance and Leave</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Working Hours</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Attendance Method</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Tardiness and Early Departure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Absence Without Leave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Leave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Overtime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Business Trips/Outings</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Leave Management</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6 Compensation and Benefits</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Compensation</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Benefits</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7 Rewards and Disciplinary Penalties</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Rewards</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Disciplinary Penalties</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8 Employee Code of Conduct</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Daily Etiquette</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Confidentiality Requirements</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9 Other Matters</w:t>
      </w:r>
    </w:p>
    <w:p>
      <w:pPr>
        <w:spacing w:after="0" w:line="46"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Expense Reimbursement</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Library Borrowing</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Capsule Apartment</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Parcel Delivery and Collection</w:t>
      </w:r>
    </w:p>
    <w:p>
      <w:pPr>
        <w:spacing w:after="0" w:line="43" w:lineRule="exact"/>
        <w:rPr>
          <w:sz w:val="24"/>
          <w:szCs w:val="24"/>
          <w:color w:val="auto"/>
        </w:rPr>
      </w:pPr>
    </w:p>
    <w:p>
      <w:pPr>
        <w:ind w:left="360"/>
        <w:spacing w:after="0"/>
        <w:rPr>
          <w:sz w:val="20"/>
          <w:szCs w:val="20"/>
          <w:color w:val="auto"/>
        </w:rPr>
      </w:pPr>
      <w:r>
        <w:rPr>
          <w:rFonts w:ascii="Calibri" w:cs="Calibri" w:eastAsia="Calibri" w:hAnsi="Calibri"/>
          <w:sz w:val="22"/>
          <w:szCs w:val="22"/>
          <w:color w:val="auto"/>
        </w:rPr>
        <w:t>Official Outings and Vehicle Use</w:t>
      </w:r>
    </w:p>
    <w:p>
      <w:pPr>
        <w:spacing w:after="0" w:line="41" w:lineRule="exact"/>
        <w:rPr>
          <w:sz w:val="24"/>
          <w:szCs w:val="24"/>
          <w:color w:val="auto"/>
        </w:rPr>
      </w:pPr>
    </w:p>
    <w:p>
      <w:pPr>
        <w:ind w:left="360"/>
        <w:spacing w:after="0"/>
        <w:rPr>
          <w:sz w:val="20"/>
          <w:szCs w:val="20"/>
          <w:color w:val="auto"/>
        </w:rPr>
      </w:pPr>
      <w:r>
        <w:rPr>
          <w:rFonts w:ascii="Calibri" w:cs="Calibri" w:eastAsia="Calibri" w:hAnsi="Calibri"/>
          <w:sz w:val="22"/>
          <w:szCs w:val="22"/>
          <w:b w:val="1"/>
          <w:bCs w:val="1"/>
          <w:color w:val="auto"/>
        </w:rPr>
        <w:t>Chapter 10 Supplementary Provisions</w:t>
      </w:r>
    </w:p>
    <w:p>
      <w:pPr>
        <w:sectPr>
          <w:pgSz w:w="11900" w:h="16838" w:orient="portrait"/>
          <w:cols w:equalWidth="0" w:num="1">
            <w:col w:w="9026"/>
          </w:cols>
          <w:pgMar w:left="1440" w:top="1440" w:right="1440" w:bottom="43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jc w:val="center"/>
        <w:ind w:right="6"/>
        <w:spacing w:after="0"/>
        <w:rPr>
          <w:sz w:val="20"/>
          <w:szCs w:val="20"/>
          <w:color w:val="auto"/>
        </w:rPr>
      </w:pPr>
      <w:r>
        <w:rPr>
          <w:rFonts w:ascii="Calibri" w:cs="Calibri" w:eastAsia="Calibri" w:hAnsi="Calibri"/>
          <w:sz w:val="18"/>
          <w:szCs w:val="18"/>
          <w:color w:val="auto"/>
        </w:rPr>
        <w:t>1</w:t>
      </w:r>
    </w:p>
    <w:p>
      <w:pPr>
        <w:sectPr>
          <w:pgSz w:w="11900" w:h="16838" w:orient="portrait"/>
          <w:cols w:equalWidth="0" w:num="1">
            <w:col w:w="9026"/>
          </w:cols>
          <w:pgMar w:left="1440" w:top="1440" w:right="1440" w:bottom="435" w:gutter="0" w:footer="0" w:header="0"/>
          <w:type w:val="continuous"/>
        </w:sectPr>
      </w:pPr>
    </w:p>
    <w:bookmarkStart w:id="1" w:name="page2"/>
    <w:bookmarkEnd w:id="1"/>
    <w:p>
      <w:pPr>
        <w:spacing w:after="0" w:line="117"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1 General Provisions</w:t>
      </w:r>
    </w:p>
    <w:p>
      <w:pPr>
        <w:spacing w:after="0" w:line="200" w:lineRule="exact"/>
        <w:rPr>
          <w:sz w:val="20"/>
          <w:szCs w:val="20"/>
          <w:color w:val="auto"/>
        </w:rPr>
      </w:pPr>
    </w:p>
    <w:p>
      <w:pPr>
        <w:spacing w:after="0" w:line="289" w:lineRule="exact"/>
        <w:rPr>
          <w:sz w:val="20"/>
          <w:szCs w:val="20"/>
          <w:color w:val="auto"/>
        </w:rPr>
      </w:pPr>
    </w:p>
    <w:p>
      <w:pPr>
        <w:ind w:left="360"/>
        <w:spacing w:after="0"/>
        <w:rPr>
          <w:sz w:val="20"/>
          <w:szCs w:val="20"/>
          <w:color w:val="auto"/>
        </w:rPr>
      </w:pPr>
      <w:r>
        <w:rPr>
          <w:rFonts w:ascii="Calibri" w:cs="Calibri" w:eastAsia="Calibri" w:hAnsi="Calibri"/>
          <w:sz w:val="21"/>
          <w:szCs w:val="21"/>
          <w:b w:val="1"/>
          <w:bCs w:val="1"/>
          <w:color w:val="auto"/>
        </w:rPr>
        <w:t>Purpose</w:t>
      </w:r>
    </w:p>
    <w:p>
      <w:pPr>
        <w:spacing w:after="0" w:line="370"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The Employee Handbook is a set of regulations. It is formulated to establish an efficient operational management order, enhance employee quality, promote the brand, and uphold the company's values. It aims to improve work efficiency, enforce strict company rules, and motivate employees. This system is tailored to the actual situation of the company.</w:t>
      </w:r>
    </w:p>
    <w:p>
      <w:pPr>
        <w:spacing w:after="0" w:line="284" w:lineRule="exact"/>
        <w:rPr>
          <w:sz w:val="20"/>
          <w:szCs w:val="20"/>
          <w:color w:val="auto"/>
        </w:rPr>
      </w:pPr>
    </w:p>
    <w:p>
      <w:pPr>
        <w:ind w:left="360"/>
        <w:spacing w:after="0"/>
        <w:rPr>
          <w:sz w:val="20"/>
          <w:szCs w:val="20"/>
          <w:color w:val="auto"/>
        </w:rPr>
      </w:pPr>
      <w:r>
        <w:rPr>
          <w:rFonts w:ascii="Calibri" w:cs="Calibri" w:eastAsia="Calibri" w:hAnsi="Calibri"/>
          <w:sz w:val="21"/>
          <w:szCs w:val="21"/>
          <w:b w:val="1"/>
          <w:bCs w:val="1"/>
          <w:color w:val="auto"/>
        </w:rPr>
        <w:t>Scope</w:t>
      </w:r>
    </w:p>
    <w:p>
      <w:pPr>
        <w:spacing w:after="0" w:line="370" w:lineRule="exact"/>
        <w:rPr>
          <w:sz w:val="20"/>
          <w:szCs w:val="20"/>
          <w:color w:val="auto"/>
        </w:rPr>
      </w:pPr>
    </w:p>
    <w:p>
      <w:pPr>
        <w:ind w:left="360" w:right="366"/>
        <w:spacing w:after="0" w:line="294" w:lineRule="auto"/>
        <w:rPr>
          <w:sz w:val="20"/>
          <w:szCs w:val="20"/>
          <w:color w:val="auto"/>
        </w:rPr>
      </w:pPr>
      <w:r>
        <w:rPr>
          <w:rFonts w:ascii="Calibri" w:cs="Calibri" w:eastAsia="Calibri" w:hAnsi="Calibri"/>
          <w:sz w:val="21"/>
          <w:szCs w:val="21"/>
          <w:color w:val="auto"/>
        </w:rPr>
        <w:t>The term "company" referred to in this system includes but is not limited to Beijing Pengming Building Decoration Engineering Co., Ltd., Beijing Lianjin Jinshang Enterprise Management Co., Ltd., Beijing Chengqian Innovation Building Decoration Engineering Co., Ltd., Beijing Jincheng Zhishang Building Decoration Engineering Co., Ltd., Beijing Jinshang Property Management Co., Ltd. First Branch, Beijing Rongqing Innovation Decoration Co., Ltd., Beijing Weitalai Building Design Center Co., Ltd., Beijing Xialianduo Furniture Accessories Co., Ltd., Beijing Jinshang Chengxi Enterprise Management Consulting Co., Ltd., Beijing Junyijunyue Culture Communication Co., Ltd., and other related entities. For each employee, it refers only to the employer with which the employee has signed a labor contract and established a labor relationship. This system applies to all employees of the company.</w:t>
      </w:r>
    </w:p>
    <w:p>
      <w:pPr>
        <w:spacing w:after="0" w:line="394"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2 Company Introduction</w:t>
      </w:r>
    </w:p>
    <w:p>
      <w:pPr>
        <w:spacing w:after="0" w:line="200" w:lineRule="exact"/>
        <w:rPr>
          <w:sz w:val="20"/>
          <w:szCs w:val="20"/>
          <w:color w:val="auto"/>
        </w:rPr>
      </w:pPr>
    </w:p>
    <w:p>
      <w:pPr>
        <w:spacing w:after="0" w:line="289" w:lineRule="exact"/>
        <w:rPr>
          <w:sz w:val="20"/>
          <w:szCs w:val="20"/>
          <w:color w:val="auto"/>
        </w:rPr>
      </w:pPr>
    </w:p>
    <w:p>
      <w:pPr>
        <w:ind w:left="360"/>
        <w:spacing w:after="0"/>
        <w:rPr>
          <w:sz w:val="20"/>
          <w:szCs w:val="20"/>
          <w:color w:val="auto"/>
        </w:rPr>
      </w:pPr>
      <w:r>
        <w:rPr>
          <w:rFonts w:ascii="Calibri" w:cs="Calibri" w:eastAsia="Calibri" w:hAnsi="Calibri"/>
          <w:sz w:val="21"/>
          <w:szCs w:val="21"/>
          <w:b w:val="1"/>
          <w:bCs w:val="1"/>
          <w:color w:val="auto"/>
        </w:rPr>
        <w:t>Values</w:t>
      </w:r>
    </w:p>
    <w:p>
      <w:pPr>
        <w:spacing w:after="0" w:line="370" w:lineRule="exact"/>
        <w:rPr>
          <w:sz w:val="20"/>
          <w:szCs w:val="20"/>
          <w:color w:val="auto"/>
        </w:rPr>
      </w:pPr>
    </w:p>
    <w:p>
      <w:pPr>
        <w:ind w:left="360" w:right="366"/>
        <w:spacing w:after="0" w:line="292" w:lineRule="auto"/>
        <w:tabs>
          <w:tab w:leader="none" w:pos="648"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Shared Experience: Emphasizing the collective sharing of knowledge and resources within the community.</w:t>
      </w:r>
    </w:p>
    <w:p>
      <w:pPr>
        <w:ind w:left="640" w:hanging="280"/>
        <w:spacing w:after="0"/>
        <w:tabs>
          <w:tab w:leader="none" w:pos="64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Authenticity: Being realistic and emphasizing sincere connections and services.</w:t>
      </w:r>
    </w:p>
    <w:p>
      <w:pPr>
        <w:spacing w:after="0" w:line="55" w:lineRule="exact"/>
        <w:rPr>
          <w:rFonts w:ascii="Calibri" w:cs="Calibri" w:eastAsia="Calibri" w:hAnsi="Calibri"/>
          <w:sz w:val="21"/>
          <w:szCs w:val="21"/>
          <w:color w:val="auto"/>
        </w:rPr>
      </w:pPr>
    </w:p>
    <w:p>
      <w:pPr>
        <w:ind w:left="640" w:hanging="280"/>
        <w:spacing w:after="0"/>
        <w:tabs>
          <w:tab w:leader="none" w:pos="64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Diversity: Respecting and valuing different ways of thinking and cultural backgrounds.</w:t>
      </w:r>
    </w:p>
    <w:p>
      <w:pPr>
        <w:spacing w:after="0" w:line="55" w:lineRule="exact"/>
        <w:rPr>
          <w:rFonts w:ascii="Calibri" w:cs="Calibri" w:eastAsia="Calibri" w:hAnsi="Calibri"/>
          <w:sz w:val="21"/>
          <w:szCs w:val="21"/>
          <w:color w:val="auto"/>
        </w:rPr>
      </w:pPr>
    </w:p>
    <w:p>
      <w:pPr>
        <w:ind w:left="640" w:hanging="280"/>
        <w:spacing w:after="0"/>
        <w:tabs>
          <w:tab w:leader="none" w:pos="64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Independent Thinking: Prioritizing the autonomy and empowerment of individuals and teams.</w:t>
      </w:r>
    </w:p>
    <w:p>
      <w:pPr>
        <w:spacing w:after="0" w:line="55" w:lineRule="exact"/>
        <w:rPr>
          <w:rFonts w:ascii="Calibri" w:cs="Calibri" w:eastAsia="Calibri" w:hAnsi="Calibri"/>
          <w:sz w:val="21"/>
          <w:szCs w:val="21"/>
          <w:color w:val="auto"/>
        </w:rPr>
      </w:pPr>
    </w:p>
    <w:p>
      <w:pPr>
        <w:ind w:left="640" w:hanging="280"/>
        <w:spacing w:after="0"/>
        <w:tabs>
          <w:tab w:leader="none" w:pos="64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Growth: Committed to continuous improvement and expansion.</w:t>
      </w:r>
    </w:p>
    <w:p>
      <w:pPr>
        <w:spacing w:after="0" w:line="55" w:lineRule="exact"/>
        <w:rPr>
          <w:rFonts w:ascii="Calibri" w:cs="Calibri" w:eastAsia="Calibri" w:hAnsi="Calibri"/>
          <w:sz w:val="21"/>
          <w:szCs w:val="21"/>
          <w:color w:val="auto"/>
        </w:rPr>
      </w:pPr>
    </w:p>
    <w:p>
      <w:pPr>
        <w:ind w:left="360" w:right="366"/>
        <w:spacing w:after="0" w:line="312" w:lineRule="auto"/>
        <w:tabs>
          <w:tab w:leader="none" w:pos="694"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Hard Work Pays Off: Recognizing the importance of effort and challenges for achieving success.</w:t>
      </w:r>
    </w:p>
    <w:p>
      <w:pPr>
        <w:spacing w:after="0" w:line="372"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3 Recruitment and Training</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Recruitment</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Recruitment Demand Application</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When managers or hiring managers initiate a recruitment demand, they should fill in the</w:t>
      </w:r>
    </w:p>
    <w:p>
      <w:pPr>
        <w:sectPr>
          <w:pgSz w:w="11900" w:h="16838" w:orient="portrait"/>
          <w:cols w:equalWidth="0" w:num="1">
            <w:col w:w="9026"/>
          </w:cols>
          <w:pgMar w:left="1440" w:top="1440" w:right="1440" w:bottom="435"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2</w:t>
      </w:r>
    </w:p>
    <w:p>
      <w:pPr>
        <w:sectPr>
          <w:pgSz w:w="11900" w:h="16838" w:orient="portrait"/>
          <w:cols w:equalWidth="0" w:num="1">
            <w:col w:w="9026"/>
          </w:cols>
          <w:pgMar w:left="1440" w:top="1440" w:right="1440" w:bottom="435" w:gutter="0" w:footer="0" w:header="0"/>
          <w:type w:val="continuous"/>
        </w:sectPr>
      </w:pPr>
    </w:p>
    <w:bookmarkStart w:id="2" w:name="page3"/>
    <w:bookmarkEnd w:id="2"/>
    <w:p>
      <w:pPr>
        <w:spacing w:after="0" w:line="15"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"Recruitment Demand Application Form" and send it to their superiors and the Human Resources Department for approval. If there are any changes in the demand, they must communicate with the Human Resources Department in a timely manner and actively cooperate with the recruitment process.</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Berle Award</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 Internal Employee Referral</w:t>
      </w:r>
    </w:p>
    <w:p>
      <w:pPr>
        <w:spacing w:after="0" w:line="56"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To expand the company's talent pool and find outstanding talents who share our aspirations, we encourage all employees to actively recommend excellent talents to join us. If the referred person is hired by the company, the referrer will receive a referral bonus ranging from RMB 200.00 to 20,000.00, depending on the position and ability of the referred person. For specific rules, please refer to the "New Employee Internal Referral Reward Management Method."</w:t>
      </w:r>
    </w:p>
    <w:p>
      <w:pPr>
        <w:spacing w:after="0" w:line="260"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Training</w:t>
      </w:r>
    </w:p>
    <w:p>
      <w:pPr>
        <w:spacing w:after="0" w:line="3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The employee training system is divided into three parts according to the position and level: new employee training, professional skills training, and external learning plans.</w:t>
      </w:r>
    </w:p>
    <w:p>
      <w:pPr>
        <w:jc w:val="both"/>
        <w:ind w:left="360" w:right="366"/>
        <w:spacing w:after="0" w:line="292" w:lineRule="auto"/>
        <w:tabs>
          <w:tab w:leader="none" w:pos="648"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New Employee Training: Aims to help new employees quickly integrate into the company and be competent in their work. The training is divided into two stages: company-level and department-level:</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(a) Company-level training (organized by the Human Resources Center, conducted offline): Content covers the company's history, organizational structure, regulations, office systems, etc.</w:t>
      </w:r>
    </w:p>
    <w:p>
      <w:pPr>
        <w:jc w:val="both"/>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(b) Department-level training (organized and followed up by the department heads): Content includes job descriptions, work processes, work forms/system operations, work behavior norms, etc., conducted in the form of job learning.</w:t>
      </w:r>
    </w:p>
    <w:p>
      <w:pPr>
        <w:ind w:left="360" w:right="366"/>
        <w:spacing w:after="0" w:line="306" w:lineRule="auto"/>
        <w:tabs>
          <w:tab w:leader="none" w:pos="643" w:val="left"/>
        </w:tabs>
        <w:numPr>
          <w:ilvl w:val="0"/>
          <w:numId w:val="2"/>
        </w:numPr>
        <w:rPr>
          <w:rFonts w:ascii="Calibri" w:cs="Calibri" w:eastAsia="Calibri" w:hAnsi="Calibri"/>
          <w:sz w:val="20"/>
          <w:szCs w:val="20"/>
          <w:color w:val="auto"/>
        </w:rPr>
      </w:pPr>
      <w:r>
        <w:rPr>
          <w:rFonts w:ascii="Calibri" w:cs="Calibri" w:eastAsia="Calibri" w:hAnsi="Calibri"/>
          <w:sz w:val="20"/>
          <w:szCs w:val="20"/>
          <w:color w:val="auto"/>
        </w:rPr>
        <w:t>Professional Skills Training: Aims to improve employees' existing work skills and efficiency. The company will periodically invite external lecturers to provide professional skills training courses.</w:t>
      </w:r>
    </w:p>
    <w:p>
      <w:pPr>
        <w:spacing w:after="0" w:line="1" w:lineRule="exact"/>
        <w:rPr>
          <w:rFonts w:ascii="Calibri" w:cs="Calibri" w:eastAsia="Calibri" w:hAnsi="Calibri"/>
          <w:sz w:val="20"/>
          <w:szCs w:val="20"/>
          <w:color w:val="auto"/>
        </w:rPr>
      </w:pPr>
    </w:p>
    <w:p>
      <w:pPr>
        <w:jc w:val="both"/>
        <w:ind w:left="360" w:right="306"/>
        <w:spacing w:after="0" w:line="292" w:lineRule="auto"/>
        <w:tabs>
          <w:tab w:leader="none" w:pos="734"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External Learning Plan: The company encourages employees to pursue professional advancement and stimulate their innovation capabilities at work. Employees are provided with 3-5 days (depending on the position level) of paid external learning opportunities each year to enhance work skills and performance. Employees must submit a learning plan for approval by the Human Resources Center. After the external learning, the company will organize a sharing session, and the results must be reflected in the work; otherwise, subsequent learning opportunities will be canceled. The content of the learning sharing will be placed in the company's library for reference and mutual learning.</w:t>
      </w:r>
    </w:p>
    <w:p>
      <w:pPr>
        <w:jc w:val="both"/>
        <w:ind w:left="360" w:right="366"/>
        <w:spacing w:after="0" w:line="302" w:lineRule="auto"/>
        <w:tabs>
          <w:tab w:leader="none" w:pos="701"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Transfer Training: For position promotions and departmental rotations arranged by the company, employees must provide the required training content as per the company's requirements.</w:t>
      </w:r>
    </w:p>
    <w:p>
      <w:pPr>
        <w:spacing w:after="0" w:line="383"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4 Onboarding and Offboarding</w:t>
      </w:r>
    </w:p>
    <w:p>
      <w:pPr>
        <w:spacing w:after="0" w:line="15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Onboarding</w:t>
      </w:r>
    </w:p>
    <w:p>
      <w:pPr>
        <w:spacing w:after="0" w:line="356"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Before reporting for duty, please present to the Human Resources Center your ID card, academic</w:t>
      </w:r>
    </w:p>
    <w:p>
      <w:pPr>
        <w:sectPr>
          <w:pgSz w:w="11900" w:h="16838" w:orient="portrait"/>
          <w:cols w:equalWidth="0" w:num="1">
            <w:col w:w="9026"/>
          </w:cols>
          <w:pgMar w:left="1440" w:top="1440" w:right="1440" w:bottom="435"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3</w:t>
      </w:r>
    </w:p>
    <w:p>
      <w:pPr>
        <w:sectPr>
          <w:pgSz w:w="11900" w:h="16838" w:orient="portrait"/>
          <w:cols w:equalWidth="0" w:num="1">
            <w:col w:w="9026"/>
          </w:cols>
          <w:pgMar w:left="1440" w:top="1440" w:right="1440" w:bottom="435" w:gutter="0" w:footer="0" w:header="0"/>
          <w:type w:val="continuous"/>
        </w:sectPr>
      </w:pPr>
    </w:p>
    <w:bookmarkStart w:id="3" w:name="page4"/>
    <w:bookmarkEnd w:id="3"/>
    <w:p>
      <w:pPr>
        <w:spacing w:after="0" w:line="15"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certificates, professional titles, and other relevant certificates, a health examination report issued by a hospital or medical institution within the past six months that meets the company's requirements, proof of termination of the labor contract with the previous employer, and any other materials required by the company. Understand the job offer conditions. Employees must provide true and accurate information in both written and electronic formats, and must not provide false or forged information.</w:t>
      </w:r>
    </w:p>
    <w:p>
      <w:pPr>
        <w:spacing w:after="0" w:line="287"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Carefully fill in the "New Employee Onboarding Registration Form," ensuring that all personal information is correct, true, and complete. If there are any changes to personal information, they must be notified to the Human Resources Center within one week of the change. Failure to notify will result in the company relying on the initial information provided, and all consequences will be borne by the employee.</w:t>
      </w:r>
    </w:p>
    <w:p>
      <w:pPr>
        <w:spacing w:after="0" w:line="286"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On the day of onboarding, the Human Resources Center will guide you to understand the company's relevant rules and regulations. If you have clearly understood the content of the company's rules and regulations and agree to all the terms, please sign the "Employee Handbook Commitment Letter" on the day of reporting. Employees can also view the company's relevant rules and regulations through the Enterprise WeChat shared disk.</w:t>
      </w:r>
    </w:p>
    <w:p>
      <w:pPr>
        <w:spacing w:after="0" w:line="286"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On the day of onboarding, an office space will be arranged for you, and necessary office supplies will be provided, along with onboarding training. The onboarding training includes, but is not limited to, company introduction and introduction to department colleagues. Please take good care of the items provided by the company, and if any are lost, you must compensate at the original price.</w:t>
      </w:r>
    </w:p>
    <w:p>
      <w:pPr>
        <w:spacing w:after="0" w:line="28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Within one week of onboarding, you need to understand and familiarize yourself with the company's rules and regulations and take a test.</w:t>
      </w:r>
    </w:p>
    <w:p>
      <w:pPr>
        <w:spacing w:after="0" w:line="24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Probation Period</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Probation Period Duration</w:t>
      </w:r>
    </w:p>
    <w:p>
      <w:pPr>
        <w:spacing w:after="0" w:line="56" w:lineRule="exact"/>
        <w:rPr>
          <w:sz w:val="20"/>
          <w:szCs w:val="20"/>
          <w:color w:val="auto"/>
        </w:rPr>
      </w:pPr>
    </w:p>
    <w:p>
      <w:pPr>
        <w:ind w:left="360" w:right="366"/>
        <w:spacing w:after="0" w:line="292" w:lineRule="auto"/>
        <w:tabs>
          <w:tab w:leader="none" w:pos="655"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The probation period starts from the day the employee establishes a labor relationship with the company.</w:t>
      </w:r>
    </w:p>
    <w:p>
      <w:pPr>
        <w:ind w:left="360" w:right="366"/>
        <w:spacing w:after="0" w:line="312" w:lineRule="auto"/>
        <w:tabs>
          <w:tab w:leader="none" w:pos="686"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The probation period shall not exceed six months, and the specific duration shall be as stipulated in the labor contract.</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Probation Period Assessment</w:t>
      </w:r>
    </w:p>
    <w:p>
      <w:pPr>
        <w:spacing w:after="0" w:line="56" w:lineRule="exact"/>
        <w:rPr>
          <w:sz w:val="20"/>
          <w:szCs w:val="20"/>
          <w:color w:val="auto"/>
        </w:rPr>
      </w:pPr>
    </w:p>
    <w:p>
      <w:pPr>
        <w:jc w:val="both"/>
        <w:ind w:left="360" w:right="366"/>
        <w:spacing w:after="0" w:line="292" w:lineRule="auto"/>
        <w:tabs>
          <w:tab w:leader="none" w:pos="691"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Employees must complete the company's prescribed new employee onboarding training during the probation period, and the training results will be one of the reference factors for the probationary assessment.</w:t>
      </w:r>
    </w:p>
    <w:p>
      <w:pPr>
        <w:ind w:left="360" w:right="366"/>
        <w:spacing w:after="0" w:line="292" w:lineRule="auto"/>
        <w:tabs>
          <w:tab w:leader="none" w:pos="655"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After joining, employees and the company need to jointly confirm the assessment targets in the "Employee Probation Period Assessment Form."</w:t>
      </w:r>
    </w:p>
    <w:p>
      <w:pPr>
        <w:ind w:left="360" w:right="366"/>
        <w:spacing w:after="0" w:line="312" w:lineRule="auto"/>
        <w:tabs>
          <w:tab w:leader="none" w:pos="677"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Before the end of the probation period, the company will conduct a formal probationary assessment to determine whether the employee has passed the probation period assessment.</w:t>
      </w:r>
    </w:p>
    <w:p>
      <w:pPr>
        <w:sectPr>
          <w:pgSz w:w="11900" w:h="16838" w:orient="portrait"/>
          <w:cols w:equalWidth="0" w:num="1">
            <w:col w:w="9026"/>
          </w:cols>
          <w:pgMar w:left="1440" w:top="1440" w:right="1440" w:bottom="435" w:gutter="0" w:footer="0" w:header="0"/>
        </w:sectPr>
      </w:pPr>
    </w:p>
    <w:p>
      <w:pPr>
        <w:spacing w:after="0" w:line="394"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4</w:t>
      </w:r>
    </w:p>
    <w:p>
      <w:pPr>
        <w:sectPr>
          <w:pgSz w:w="11900" w:h="16838" w:orient="portrait"/>
          <w:cols w:equalWidth="0" w:num="1">
            <w:col w:w="9026"/>
          </w:cols>
          <w:pgMar w:left="1440" w:top="1440" w:right="1440" w:bottom="435" w:gutter="0" w:footer="0" w:header="0"/>
          <w:type w:val="continuous"/>
        </w:sectPr>
      </w:pPr>
    </w:p>
    <w:bookmarkStart w:id="4" w:name="page5"/>
    <w:bookmarkEnd w:id="4"/>
    <w:p>
      <w:pPr>
        <w:spacing w:after="0" w:line="32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Seniority (Years of Service) Calculation</w:t>
      </w:r>
    </w:p>
    <w:p>
      <w:pPr>
        <w:spacing w:after="0" w:line="56" w:lineRule="exact"/>
        <w:rPr>
          <w:sz w:val="20"/>
          <w:szCs w:val="20"/>
          <w:color w:val="auto"/>
        </w:rPr>
      </w:pPr>
    </w:p>
    <w:p>
      <w:pPr>
        <w:ind w:left="640" w:hanging="280"/>
        <w:spacing w:after="0"/>
        <w:tabs>
          <w:tab w:leader="none" w:pos="640"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The employee's seniority includes the probation period.</w:t>
      </w:r>
    </w:p>
    <w:p>
      <w:pPr>
        <w:spacing w:after="0" w:line="55" w:lineRule="exact"/>
        <w:rPr>
          <w:rFonts w:ascii="Calibri" w:cs="Calibri" w:eastAsia="Calibri" w:hAnsi="Calibri"/>
          <w:sz w:val="21"/>
          <w:szCs w:val="21"/>
          <w:color w:val="auto"/>
        </w:rPr>
      </w:pPr>
    </w:p>
    <w:p>
      <w:pPr>
        <w:jc w:val="both"/>
        <w:ind w:left="360" w:right="366"/>
        <w:spacing w:after="0" w:line="302" w:lineRule="auto"/>
        <w:tabs>
          <w:tab w:leader="none" w:pos="648"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Except as otherwise provided by laws and regulations, if an employee leaves and then rejoins the company, the seniority will be recalculated from the date of re-employment, and the previous seniority will not be accumulated.</w:t>
      </w:r>
    </w:p>
    <w:p>
      <w:pPr>
        <w:spacing w:after="0" w:line="255"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Labor Contract Signing</w:t>
      </w:r>
    </w:p>
    <w:p>
      <w:pPr>
        <w:spacing w:after="0" w:line="35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Within one month of onboarding, employees will sign a labor contract with the company for a term of one to three years.</w:t>
      </w:r>
    </w:p>
    <w:p>
      <w:pPr>
        <w:spacing w:after="0" w:line="269"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One month before the expiration of the labor contract, if neither party has proposed not to renew, the company will notify the employee to handle the renewal procedures one month before the contract expires.</w:t>
      </w:r>
    </w:p>
    <w:p>
      <w:pPr>
        <w:spacing w:after="0" w:line="280"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Except as otherwise provided by laws and regulations, employees who fail to sign or submit the renewal of the labor contract without reason will be deemed to disagree with the renewal. If the employee personally proposes to terminate the labor contract, the company will not provide any economic compensation.</w:t>
      </w:r>
    </w:p>
    <w:p>
      <w:pPr>
        <w:spacing w:after="0" w:line="261"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Promotion</w:t>
      </w:r>
    </w:p>
    <w:p>
      <w:pPr>
        <w:spacing w:after="0" w:line="356"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The company will strive to promote employees with both virtue and talent to higher management or professional positions. Promotion is mainly based on the company's development situation, the employee's work performance, business level, character, and professional knowledge.</w:t>
      </w:r>
    </w:p>
    <w:p>
      <w:pPr>
        <w:spacing w:after="0" w:line="287"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If an employee's work performance does not meet the requirements of the new position after promotion, the company has the right to revoke the appointment letter at any time, and the employee's position and salary benefits will be correspondingly adjusted.</w:t>
      </w:r>
    </w:p>
    <w:p>
      <w:pPr>
        <w:spacing w:after="0" w:line="255"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Transfer</w:t>
      </w:r>
    </w:p>
    <w:p>
      <w:pPr>
        <w:spacing w:after="0" w:line="44"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According to the company's business situation and actual work needs, the company has the right to unilaterally adjust positions.</w:t>
      </w:r>
    </w:p>
    <w:p>
      <w:pPr>
        <w:spacing w:after="0" w:line="24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Offboarding</w:t>
      </w:r>
    </w:p>
    <w:p>
      <w:pPr>
        <w:spacing w:after="0" w:line="356"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If an employee wishes to resign during the probation period, they must submit a written notice to the employing department three days in advance and complete the offboarding procedures before leaving.</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If an employee's performance during the probation period is unsatisfactory and does not meet the employment conditions (probation period assessment is not up to standard), the Human</w:t>
      </w:r>
    </w:p>
    <w:p>
      <w:pPr>
        <w:sectPr>
          <w:pgSz w:w="11900" w:h="16838" w:orient="portrait"/>
          <w:cols w:equalWidth="0" w:num="1">
            <w:col w:w="9026"/>
          </w:cols>
          <w:pgMar w:left="1440" w:top="1440" w:right="1440" w:bottom="435" w:gutter="0" w:footer="0" w:header="0"/>
        </w:sectPr>
      </w:pPr>
    </w:p>
    <w:p>
      <w:pPr>
        <w:spacing w:after="0" w:line="394"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5</w:t>
      </w:r>
    </w:p>
    <w:p>
      <w:pPr>
        <w:sectPr>
          <w:pgSz w:w="11900" w:h="16838" w:orient="portrait"/>
          <w:cols w:equalWidth="0" w:num="1">
            <w:col w:w="9026"/>
          </w:cols>
          <w:pgMar w:left="1440" w:top="1440" w:right="1440" w:bottom="435" w:gutter="0" w:footer="0" w:header="0"/>
          <w:type w:val="continuous"/>
        </w:sectPr>
      </w:pPr>
    </w:p>
    <w:bookmarkStart w:id="5" w:name="page6"/>
    <w:bookmarkEnd w:id="5"/>
    <w:p>
      <w:pPr>
        <w:spacing w:after="0" w:line="15"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Resources Center will notify the employee in writing before the end of the probation period to handle the probation period contract termination procedures.</w:t>
      </w:r>
    </w:p>
    <w:p>
      <w:pPr>
        <w:spacing w:after="0" w:line="269"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If a regular employee wishes to resign within the contract period, they must submit a written notice to the employing department thirty days in advance. The employing department will respond within one week with an agreement, disagreement, or a request for further deliberation. If the department agrees to the resignation, it should specify the departure date and handover requirements.</w:t>
      </w:r>
    </w:p>
    <w:p>
      <w:pPr>
        <w:spacing w:after="0" w:line="28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Before leaving, offboarding employees must complete the handover of work materials, office items, financial transactions, system permissions, and other related tasks.</w:t>
      </w:r>
    </w:p>
    <w:p>
      <w:pPr>
        <w:spacing w:after="0" w:line="372"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5 Attendance and Leave</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Working Hours</w:t>
      </w:r>
    </w:p>
    <w:p>
      <w:pPr>
        <w:spacing w:after="0" w:line="356" w:lineRule="exact"/>
        <w:rPr>
          <w:sz w:val="20"/>
          <w:szCs w:val="20"/>
          <w:color w:val="auto"/>
        </w:rPr>
      </w:pPr>
    </w:p>
    <w:p>
      <w:pPr>
        <w:ind w:left="360" w:right="366"/>
        <w:spacing w:after="0" w:line="292" w:lineRule="auto"/>
        <w:tabs>
          <w:tab w:leader="none" w:pos="581" w:val="left"/>
        </w:tabs>
        <w:numPr>
          <w:ilvl w:val="0"/>
          <w:numId w:val="6"/>
        </w:numPr>
        <w:rPr>
          <w:rFonts w:ascii="Calibri" w:cs="Calibri" w:eastAsia="Calibri" w:hAnsi="Calibri"/>
          <w:sz w:val="21"/>
          <w:szCs w:val="21"/>
          <w:color w:val="auto"/>
        </w:rPr>
      </w:pPr>
      <w:r>
        <w:rPr>
          <w:rFonts w:ascii="Calibri" w:cs="Calibri" w:eastAsia="Calibri" w:hAnsi="Calibri"/>
          <w:sz w:val="21"/>
          <w:szCs w:val="21"/>
          <w:color w:val="auto"/>
        </w:rPr>
        <w:t>Except for employees on a comprehensive working hour system, other personnel shall follow the working hours as follows (subject to the latest notice if there are any adjustments):</w:t>
      </w:r>
    </w:p>
    <w:p>
      <w:pPr>
        <w:ind w:left="360"/>
        <w:spacing w:after="0"/>
        <w:rPr>
          <w:rFonts w:ascii="Calibri" w:cs="Calibri" w:eastAsia="Calibri" w:hAnsi="Calibri"/>
          <w:sz w:val="21"/>
          <w:szCs w:val="21"/>
          <w:color w:val="auto"/>
        </w:rPr>
      </w:pPr>
      <w:r>
        <w:rPr>
          <w:rFonts w:ascii="Calibri" w:cs="Calibri" w:eastAsia="Calibri" w:hAnsi="Calibri"/>
          <w:sz w:val="21"/>
          <w:szCs w:val="21"/>
          <w:color w:val="auto"/>
        </w:rPr>
        <w:t>Working hours: 9:00 AM to 10:00 AM;</w:t>
      </w:r>
    </w:p>
    <w:p>
      <w:pPr>
        <w:spacing w:after="0" w:line="55" w:lineRule="exact"/>
        <w:rPr>
          <w:rFonts w:ascii="Calibri" w:cs="Calibri" w:eastAsia="Calibri" w:hAnsi="Calibri"/>
          <w:sz w:val="21"/>
          <w:szCs w:val="21"/>
          <w:color w:val="auto"/>
        </w:rPr>
      </w:pPr>
    </w:p>
    <w:p>
      <w:pPr>
        <w:ind w:left="360"/>
        <w:spacing w:after="0"/>
        <w:rPr>
          <w:rFonts w:ascii="Calibri" w:cs="Calibri" w:eastAsia="Calibri" w:hAnsi="Calibri"/>
          <w:sz w:val="21"/>
          <w:szCs w:val="21"/>
          <w:color w:val="auto"/>
        </w:rPr>
      </w:pPr>
      <w:r>
        <w:rPr>
          <w:rFonts w:ascii="Calibri" w:cs="Calibri" w:eastAsia="Calibri" w:hAnsi="Calibri"/>
          <w:sz w:val="21"/>
          <w:szCs w:val="21"/>
          <w:color w:val="auto"/>
        </w:rPr>
        <w:t>Off hours: 6:00 PM to 7:00 PM;</w:t>
      </w:r>
    </w:p>
    <w:p>
      <w:pPr>
        <w:spacing w:after="0" w:line="55" w:lineRule="exact"/>
        <w:rPr>
          <w:rFonts w:ascii="Calibri" w:cs="Calibri" w:eastAsia="Calibri" w:hAnsi="Calibri"/>
          <w:sz w:val="21"/>
          <w:szCs w:val="21"/>
          <w:color w:val="auto"/>
        </w:rPr>
      </w:pPr>
    </w:p>
    <w:p>
      <w:pPr>
        <w:ind w:left="360"/>
        <w:spacing w:after="0"/>
        <w:rPr>
          <w:rFonts w:ascii="Calibri" w:cs="Calibri" w:eastAsia="Calibri" w:hAnsi="Calibri"/>
          <w:sz w:val="21"/>
          <w:szCs w:val="21"/>
          <w:color w:val="auto"/>
        </w:rPr>
      </w:pPr>
      <w:r>
        <w:rPr>
          <w:rFonts w:ascii="Calibri" w:cs="Calibri" w:eastAsia="Calibri" w:hAnsi="Calibri"/>
          <w:sz w:val="21"/>
          <w:szCs w:val="21"/>
          <w:color w:val="auto"/>
        </w:rPr>
        <w:t>Lunch break: 12:00 PM to 1:00 PM.</w:t>
      </w:r>
    </w:p>
    <w:p>
      <w:pPr>
        <w:spacing w:after="0" w:line="55" w:lineRule="exact"/>
        <w:rPr>
          <w:rFonts w:ascii="Calibri" w:cs="Calibri" w:eastAsia="Calibri" w:hAnsi="Calibri"/>
          <w:sz w:val="21"/>
          <w:szCs w:val="21"/>
          <w:color w:val="auto"/>
        </w:rPr>
      </w:pPr>
    </w:p>
    <w:p>
      <w:pPr>
        <w:ind w:left="360" w:right="366"/>
        <w:spacing w:after="0" w:line="340" w:lineRule="auto"/>
        <w:tabs>
          <w:tab w:leader="none" w:pos="518" w:val="left"/>
        </w:tabs>
        <w:numPr>
          <w:ilvl w:val="0"/>
          <w:numId w:val="6"/>
        </w:numPr>
        <w:rPr>
          <w:rFonts w:ascii="Calibri" w:cs="Calibri" w:eastAsia="Calibri" w:hAnsi="Calibri"/>
          <w:sz w:val="20"/>
          <w:szCs w:val="20"/>
          <w:color w:val="auto"/>
        </w:rPr>
      </w:pPr>
      <w:r>
        <w:rPr>
          <w:rFonts w:ascii="Calibri" w:cs="Calibri" w:eastAsia="Calibri" w:hAnsi="Calibri"/>
          <w:sz w:val="20"/>
          <w:szCs w:val="20"/>
          <w:color w:val="auto"/>
        </w:rPr>
        <w:t>Drivers, waitstaff, chefs, sixth sense staff, housekeeping, etc., are on a comprehensive working hour system, and the specific working hours are determined according to the job requirements.</w:t>
      </w:r>
    </w:p>
    <w:p>
      <w:pPr>
        <w:spacing w:after="0" w:line="219"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Attendance Method</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1.The company uses Enterprise WeChat as the clock-in tool.</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2.Employees should consciously clock in at the corresponding office location when starting and ending work.</w:t>
      </w:r>
    </w:p>
    <w:p>
      <w:pPr>
        <w:jc w:val="both"/>
        <w:ind w:left="360" w:right="366"/>
        <w:spacing w:after="0" w:line="292" w:lineRule="auto"/>
        <w:rPr>
          <w:sz w:val="20"/>
          <w:szCs w:val="20"/>
          <w:color w:val="auto"/>
        </w:rPr>
      </w:pPr>
      <w:r>
        <w:rPr>
          <w:rFonts w:ascii="Calibri" w:cs="Calibri" w:eastAsia="Calibri" w:hAnsi="Calibri"/>
          <w:sz w:val="21"/>
          <w:szCs w:val="21"/>
          <w:color w:val="auto"/>
        </w:rPr>
        <w:t>3.If an employee forgets to clock in, they must apply for "clock-in makeup" on Enterprise WeChat before the next day, and submit a reasonable explanation or supporting materials. After approval by the department head, the makeup clock-in data will take effect. Each employee is allowed no more than 5 makeup clock-ins per month. Any exceedances will be deducted at 8% of the daily wage.</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4.If a probationary employee accumulates three or more unclocked days within one month, or five or more unclocked days during the probation period, it will be considered as not meeting the employment conditions, and the company has the right to terminate the labor relationship without any economic compensation.</w:t>
      </w:r>
    </w:p>
    <w:p>
      <w:pPr>
        <w:jc w:val="both"/>
        <w:ind w:left="360" w:right="366"/>
        <w:spacing w:after="0" w:line="292" w:lineRule="auto"/>
        <w:rPr>
          <w:sz w:val="20"/>
          <w:szCs w:val="20"/>
          <w:color w:val="auto"/>
        </w:rPr>
      </w:pPr>
      <w:r>
        <w:rPr>
          <w:rFonts w:ascii="Calibri" w:cs="Calibri" w:eastAsia="Calibri" w:hAnsi="Calibri"/>
          <w:sz w:val="21"/>
          <w:szCs w:val="21"/>
          <w:color w:val="auto"/>
        </w:rPr>
        <w:t>5.The attendance results are based on the monthly attendance report on Enterprise WeChat, and the data displayed at 6:30 PM on the 2nd of the following month shall prevail.</w:t>
      </w:r>
    </w:p>
    <w:p>
      <w:pPr>
        <w:jc w:val="both"/>
        <w:ind w:left="360" w:right="366"/>
        <w:spacing w:after="0" w:line="312" w:lineRule="auto"/>
        <w:rPr>
          <w:sz w:val="20"/>
          <w:szCs w:val="20"/>
          <w:color w:val="auto"/>
        </w:rPr>
      </w:pPr>
      <w:r>
        <w:rPr>
          <w:rFonts w:ascii="Calibri" w:cs="Calibri" w:eastAsia="Calibri" w:hAnsi="Calibri"/>
          <w:sz w:val="21"/>
          <w:szCs w:val="21"/>
          <w:color w:val="auto"/>
        </w:rPr>
        <w:t>6.Business personnel who exceed their performance targets may apply to the Human Resources Center for exemption from clocking in.</w:t>
      </w:r>
    </w:p>
    <w:p>
      <w:pPr>
        <w:sectPr>
          <w:pgSz w:w="11900" w:h="16838" w:orient="portrait"/>
          <w:cols w:equalWidth="0" w:num="1">
            <w:col w:w="9026"/>
          </w:cols>
          <w:pgMar w:left="1440" w:top="1440" w:right="1440" w:bottom="4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6</w:t>
      </w:r>
    </w:p>
    <w:p>
      <w:pPr>
        <w:sectPr>
          <w:pgSz w:w="11900" w:h="16838" w:orient="portrait"/>
          <w:cols w:equalWidth="0" w:num="1">
            <w:col w:w="9026"/>
          </w:cols>
          <w:pgMar w:left="1440" w:top="1440" w:right="1440" w:bottom="435" w:gutter="0" w:footer="0" w:header="0"/>
          <w:type w:val="continuous"/>
        </w:sectPr>
      </w:pPr>
    </w:p>
    <w:bookmarkStart w:id="6" w:name="page7"/>
    <w:bookmarkEnd w:id="6"/>
    <w:p>
      <w:pPr>
        <w:ind w:left="360"/>
        <w:spacing w:after="0"/>
        <w:rPr>
          <w:sz w:val="20"/>
          <w:szCs w:val="20"/>
          <w:color w:val="auto"/>
        </w:rPr>
      </w:pPr>
      <w:r>
        <w:rPr>
          <w:rFonts w:ascii="Calibri" w:cs="Calibri" w:eastAsia="Calibri" w:hAnsi="Calibri"/>
          <w:sz w:val="24"/>
          <w:szCs w:val="24"/>
          <w:b w:val="1"/>
          <w:bCs w:val="1"/>
          <w:color w:val="auto"/>
        </w:rPr>
        <w:t>Tardiness and Early Departure</w:t>
      </w:r>
    </w:p>
    <w:p>
      <w:pPr>
        <w:spacing w:after="0" w:line="3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1.Tardiness. Entering the workplace and clocking in after the specified start time is considered tardiness.</w:t>
      </w:r>
    </w:p>
    <w:p>
      <w:pPr>
        <w:jc w:val="both"/>
        <w:ind w:left="360" w:right="366"/>
        <w:spacing w:after="0" w:line="292" w:lineRule="auto"/>
        <w:rPr>
          <w:sz w:val="20"/>
          <w:szCs w:val="20"/>
          <w:color w:val="auto"/>
        </w:rPr>
      </w:pPr>
      <w:r>
        <w:rPr>
          <w:rFonts w:ascii="Calibri" w:cs="Calibri" w:eastAsia="Calibri" w:hAnsi="Calibri"/>
          <w:sz w:val="21"/>
          <w:szCs w:val="21"/>
          <w:color w:val="auto"/>
        </w:rPr>
        <w:t>2.Early departure. Leaving the workplace before the specified end time is considered early departure.</w:t>
      </w:r>
    </w:p>
    <w:p>
      <w:pPr>
        <w:ind w:left="360"/>
        <w:spacing w:after="0"/>
        <w:rPr>
          <w:sz w:val="20"/>
          <w:szCs w:val="20"/>
          <w:color w:val="auto"/>
        </w:rPr>
      </w:pPr>
      <w:r>
        <w:rPr>
          <w:rFonts w:ascii="Calibri" w:cs="Calibri" w:eastAsia="Calibri" w:hAnsi="Calibri"/>
          <w:sz w:val="21"/>
          <w:szCs w:val="21"/>
          <w:color w:val="auto"/>
        </w:rPr>
        <w:t>3.Up to two instances of tardiness or early departure per month will not result in a deduction.</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Any exceedances will be deducted at 15% of the daily wage.</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4.If a probationary employee is continuously late or leaves early three times within one month, or accumulates five times during the probation period, it will be considered as not meeting the employment conditions.</w:t>
      </w:r>
    </w:p>
    <w:p>
      <w:pPr>
        <w:jc w:val="both"/>
        <w:ind w:left="360" w:right="366"/>
        <w:spacing w:after="0" w:line="292" w:lineRule="auto"/>
        <w:rPr>
          <w:sz w:val="20"/>
          <w:szCs w:val="20"/>
          <w:color w:val="auto"/>
        </w:rPr>
      </w:pPr>
      <w:r>
        <w:rPr>
          <w:rFonts w:ascii="Calibri" w:cs="Calibri" w:eastAsia="Calibri" w:hAnsi="Calibri"/>
          <w:sz w:val="21"/>
          <w:szCs w:val="21"/>
          <w:color w:val="auto"/>
        </w:rPr>
        <w:t>5.Continuous tardiness or early departure three times within one month, or a cumulative total of 24 times or more within twelve months, is considered a serious violation of company rules, and the company has the right to terminate the labor contract at any time without prior notice or economic compensation.</w:t>
      </w:r>
    </w:p>
    <w:p>
      <w:pPr>
        <w:ind w:left="360"/>
        <w:spacing w:after="0"/>
        <w:rPr>
          <w:sz w:val="20"/>
          <w:szCs w:val="20"/>
          <w:color w:val="auto"/>
        </w:rPr>
      </w:pPr>
      <w:r>
        <w:rPr>
          <w:rFonts w:ascii="Calibri" w:cs="Calibri" w:eastAsia="Calibri" w:hAnsi="Calibri"/>
          <w:sz w:val="21"/>
          <w:szCs w:val="21"/>
          <w:color w:val="auto"/>
        </w:rPr>
        <w:t>6.Clocking in or out at non-work locations is considered tardiness or early departure.</w:t>
      </w:r>
    </w:p>
    <w:p>
      <w:pPr>
        <w:spacing w:after="0" w:line="342"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Absence Without Leave</w:t>
      </w:r>
    </w:p>
    <w:p>
      <w:pPr>
        <w:spacing w:after="0" w:line="35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1.An employee who should be present but is absent without prior leave application is considered absent without leave, including but not limited to the following situations:</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(1)Tardiness or early departure exceeding 30 minutes;</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(2)Failure to apply for leave in advance, or failure to complete the leave application procedures within two days after the leave reason occurs or within one working day after returning to work (whichever is earlier);</w:t>
      </w:r>
    </w:p>
    <w:p>
      <w:pPr>
        <w:ind w:left="360"/>
        <w:spacing w:after="0"/>
        <w:rPr>
          <w:sz w:val="20"/>
          <w:szCs w:val="20"/>
          <w:color w:val="auto"/>
        </w:rPr>
      </w:pPr>
      <w:r>
        <w:rPr>
          <w:rFonts w:ascii="Calibri" w:cs="Calibri" w:eastAsia="Calibri" w:hAnsi="Calibri"/>
          <w:sz w:val="21"/>
          <w:szCs w:val="21"/>
          <w:color w:val="auto"/>
        </w:rPr>
        <w:t>(3)Leaving the post or position without approval after the leave application is denied;</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(4)Exceeding the approved leave period without timely applying for an extension and without providing relevant absence proof;</w:t>
      </w:r>
    </w:p>
    <w:p>
      <w:pPr>
        <w:ind w:left="360"/>
        <w:spacing w:after="0"/>
        <w:rPr>
          <w:sz w:val="20"/>
          <w:szCs w:val="20"/>
          <w:color w:val="auto"/>
        </w:rPr>
      </w:pPr>
      <w:r>
        <w:rPr>
          <w:rFonts w:ascii="Calibri" w:cs="Calibri" w:eastAsia="Calibri" w:hAnsi="Calibri"/>
          <w:sz w:val="21"/>
          <w:szCs w:val="21"/>
          <w:color w:val="auto"/>
        </w:rPr>
        <w:t>(5)Obtaining leave by providing false reasons or materials, which is verified;</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(6)Refusing to comply with company, department, or position adjustments and failing to report to the new position within the deadline;</w:t>
      </w:r>
    </w:p>
    <w:p>
      <w:pPr>
        <w:jc w:val="both"/>
        <w:ind w:left="360" w:right="366"/>
        <w:spacing w:after="0" w:line="292" w:lineRule="auto"/>
        <w:rPr>
          <w:sz w:val="20"/>
          <w:szCs w:val="20"/>
          <w:color w:val="auto"/>
        </w:rPr>
      </w:pPr>
      <w:r>
        <w:rPr>
          <w:rFonts w:ascii="Calibri" w:cs="Calibri" w:eastAsia="Calibri" w:hAnsi="Calibri"/>
          <w:sz w:val="21"/>
          <w:szCs w:val="21"/>
          <w:color w:val="auto"/>
        </w:rPr>
        <w:t>(7)Failing to complete the offboarding procedures as stipulated by the company and leaving the post without authorization;</w:t>
      </w:r>
    </w:p>
    <w:p>
      <w:pPr>
        <w:ind w:left="360"/>
        <w:spacing w:after="0"/>
        <w:rPr>
          <w:sz w:val="20"/>
          <w:szCs w:val="20"/>
          <w:color w:val="auto"/>
        </w:rPr>
      </w:pPr>
      <w:r>
        <w:rPr>
          <w:rFonts w:ascii="Calibri" w:cs="Calibri" w:eastAsia="Calibri" w:hAnsi="Calibri"/>
          <w:sz w:val="21"/>
          <w:szCs w:val="21"/>
          <w:color w:val="auto"/>
        </w:rPr>
        <w:t>(8)Absence due to illegal, disciplinary, or regulatory violations;</w:t>
      </w:r>
    </w:p>
    <w:p>
      <w:pPr>
        <w:spacing w:after="0" w:line="5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(9)Other situations deemed as absence without leave according to the company's relevant regulations.</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2.Absence Without Leave Penalties</w:t>
      </w:r>
    </w:p>
    <w:p>
      <w:pPr>
        <w:spacing w:after="0" w:line="368"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(1)late, early leave more than 30 minutes, less than 1 hour, according to 1 hour of daily wages deducted daily wages; For more than 1 hour and less than 2 hours, the daily wage is deducted from the daily wage of 2 hours, and so on.</w:t>
      </w:r>
    </w:p>
    <w:p>
      <w:pPr>
        <w:jc w:val="center"/>
        <w:ind w:right="6"/>
        <w:spacing w:after="0"/>
        <w:rPr>
          <w:sz w:val="20"/>
          <w:szCs w:val="20"/>
          <w:color w:val="auto"/>
        </w:rPr>
      </w:pPr>
      <w:r>
        <w:rPr>
          <w:rFonts w:ascii="Calibri" w:cs="Calibri" w:eastAsia="Calibri" w:hAnsi="Calibri"/>
          <w:sz w:val="21"/>
          <w:szCs w:val="21"/>
          <w:color w:val="auto"/>
        </w:rPr>
        <w:t>(2)If an employee is absent from work for a single day, double the daily wage payable will be</w:t>
      </w:r>
    </w:p>
    <w:p>
      <w:pPr>
        <w:sectPr>
          <w:pgSz w:w="11900" w:h="16838" w:orient="portrait"/>
          <w:cols w:equalWidth="0" w:num="1">
            <w:col w:w="9026"/>
          </w:cols>
          <w:pgMar w:left="1440" w:top="1429" w:right="1440" w:bottom="435"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7</w:t>
      </w:r>
    </w:p>
    <w:p>
      <w:pPr>
        <w:sectPr>
          <w:pgSz w:w="11900" w:h="16838" w:orient="portrait"/>
          <w:cols w:equalWidth="0" w:num="1">
            <w:col w:w="9026"/>
          </w:cols>
          <w:pgMar w:left="1440" w:top="1429" w:right="1440" w:bottom="435" w:gutter="0" w:footer="0" w:header="0"/>
          <w:type w:val="continuous"/>
        </w:sectPr>
      </w:pPr>
    </w:p>
    <w:bookmarkStart w:id="7" w:name="page8"/>
    <w:bookmarkEnd w:id="7"/>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deducted.</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(3)If a probationary employee accumulates two days or two instances of absence without leave during the probation period, it will be considered as not meeting the employment conditions, and the company has the right to terminate the labor contract without any compensation.</w:t>
      </w:r>
    </w:p>
    <w:p>
      <w:pPr>
        <w:jc w:val="both"/>
        <w:ind w:left="360" w:right="366"/>
        <w:spacing w:after="0" w:line="302" w:lineRule="auto"/>
        <w:rPr>
          <w:sz w:val="20"/>
          <w:szCs w:val="20"/>
          <w:color w:val="auto"/>
        </w:rPr>
      </w:pPr>
      <w:r>
        <w:rPr>
          <w:rFonts w:ascii="Calibri" w:cs="Calibri" w:eastAsia="Calibri" w:hAnsi="Calibri"/>
          <w:sz w:val="21"/>
          <w:szCs w:val="21"/>
          <w:color w:val="auto"/>
        </w:rPr>
        <w:t>(4)Accumulating two days or two instances of absence without leave within one month, or four days or four instances (inclusive) or more within twelve months, is considered a serious disciplinary offense.</w:t>
      </w:r>
    </w:p>
    <w:p>
      <w:pPr>
        <w:spacing w:after="0" w:line="255"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Leave</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1.Statutory Holidays</w:t>
      </w:r>
    </w:p>
    <w:p>
      <w:pPr>
        <w:spacing w:after="0" w:line="5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The company follows the national leave system. In case of special circumstances requiring changes, the company will issue a separate notice.</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2.Sick Leave</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Employees who have been with the company for one year are entitled to two days of paid sick leave per calendar year. For sick leave exceeding two days but not more than five days (inclusive), the daily wage will be paid at 70%. For sick leave exceeding five days, the local minimum wage will be paid at 80%. Employees who have not been with the company for one year will be paid the local minimum wage at 80% for sick leave.</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Sick leave is calculated in units of 0.5 days. For sick leave applications of two days or more (inclusive) in the current year, a formal sick leave note or diagnosis certificate or medical record stamped with the hospital's official seal must be uploaded to the sick leave application, and it will be considered valid after approval. If an employee provides false materials to obtain sick leave, it will be considered a serious disciplinary offense, and the company has the right to terminate the labor contract immediately without any economic compensation.</w:t>
      </w:r>
    </w:p>
    <w:p>
      <w:pPr>
        <w:spacing w:after="0" w:line="1" w:lineRule="exact"/>
        <w:rPr>
          <w:sz w:val="20"/>
          <w:szCs w:val="20"/>
          <w:color w:val="auto"/>
        </w:rPr>
      </w:pPr>
    </w:p>
    <w:p>
      <w:pPr>
        <w:jc w:val="both"/>
        <w:ind w:left="360" w:right="366"/>
        <w:spacing w:after="0" w:line="294" w:lineRule="auto"/>
        <w:rPr>
          <w:sz w:val="20"/>
          <w:szCs w:val="20"/>
          <w:color w:val="auto"/>
        </w:rPr>
      </w:pPr>
      <w:r>
        <w:rPr>
          <w:rFonts w:ascii="Calibri" w:cs="Calibri" w:eastAsia="Calibri" w:hAnsi="Calibri"/>
          <w:sz w:val="21"/>
          <w:szCs w:val="21"/>
          <w:color w:val="auto"/>
        </w:rPr>
        <w:t>Regarding the medical period, the national regulations shall apply. If the medical period is over and the employee refuses to return to work after receiving the company's return-to-work notice, or refuses to negotiate a new position with the company after receiving the notice, it will be considered that the employee does not have the basic conditions to engage in the original work or the work arranged by the company, and the company has the right to terminate the labor contract accordingly. For employees who refuse to cooperate with the medical appraisal after being notified in writing by the company at the end of the medical period, it will be considered that the employee cannot engage in the original work or the work arranged by the employer, and the company has the right to terminate the labor contract in accordance with the law.</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3.Personal Leave</w:t>
      </w:r>
    </w:p>
    <w:p>
      <w:pPr>
        <w:spacing w:after="0" w:line="56"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When employees apply for personal leave, they should first apply for statutory paid annual leave or compensatory leave. Employees who do not submit a personal leave application or do not obtain approval from the relevant person in charge and are absent, or fail to complete the leave application procedures within two days after the leave reason occurs or within one working day after returning to work (whichever is earlier), will be treated as absent without leave. Personal leave is an unpaid leave, and the minimum calculation unit for personal leave is one hour. If an</w:t>
      </w:r>
    </w:p>
    <w:p>
      <w:pPr>
        <w:sectPr>
          <w:pgSz w:w="11900" w:h="16838" w:orient="portrait"/>
          <w:cols w:equalWidth="0" w:num="1">
            <w:col w:w="9026"/>
          </w:cols>
          <w:pgMar w:left="1440" w:top="1440" w:right="1440" w:bottom="435" w:gutter="0" w:footer="0" w:header="0"/>
        </w:sectPr>
      </w:pPr>
    </w:p>
    <w:p>
      <w:pPr>
        <w:spacing w:after="0" w:line="200" w:lineRule="exact"/>
        <w:rPr>
          <w:sz w:val="20"/>
          <w:szCs w:val="20"/>
          <w:color w:val="auto"/>
        </w:rPr>
      </w:pPr>
    </w:p>
    <w:p>
      <w:pPr>
        <w:spacing w:after="0" w:line="211"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8</w:t>
      </w:r>
    </w:p>
    <w:p>
      <w:pPr>
        <w:sectPr>
          <w:pgSz w:w="11900" w:h="16838" w:orient="portrait"/>
          <w:cols w:equalWidth="0" w:num="1">
            <w:col w:w="9026"/>
          </w:cols>
          <w:pgMar w:left="1440" w:top="1440" w:right="1440" w:bottom="435" w:gutter="0" w:footer="0" w:header="0"/>
          <w:type w:val="continuous"/>
        </w:sectPr>
      </w:pPr>
    </w:p>
    <w:bookmarkStart w:id="8" w:name="page9"/>
    <w:bookmarkEnd w:id="8"/>
    <w:p>
      <w:pPr>
        <w:spacing w:after="0" w:line="15"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employee takes more than five days (inclusive) of personal leave during the probation period, or the total of sick leave and personal leave exceeds five days (inclusive), it will be considered as not meeting the employment conditions.</w:t>
      </w:r>
    </w:p>
    <w:p>
      <w:pPr>
        <w:spacing w:after="0" w:line="200" w:lineRule="exact"/>
        <w:rPr>
          <w:sz w:val="20"/>
          <w:szCs w:val="20"/>
          <w:color w:val="auto"/>
        </w:rPr>
      </w:pPr>
    </w:p>
    <w:p>
      <w:pPr>
        <w:spacing w:after="0" w:line="392"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4.Paid Annual Leave</w:t>
      </w:r>
    </w:p>
    <w:p>
      <w:pPr>
        <w:spacing w:after="0" w:line="56" w:lineRule="exact"/>
        <w:rPr>
          <w:sz w:val="20"/>
          <w:szCs w:val="20"/>
          <w:color w:val="auto"/>
        </w:rPr>
      </w:pPr>
    </w:p>
    <w:p>
      <w:pPr>
        <w:jc w:val="both"/>
        <w:ind w:left="360" w:right="366"/>
        <w:spacing w:after="0" w:line="292" w:lineRule="auto"/>
        <w:tabs>
          <w:tab w:leader="none" w:pos="655" w:val="left"/>
        </w:tabs>
        <w:numPr>
          <w:ilvl w:val="0"/>
          <w:numId w:val="7"/>
        </w:numPr>
        <w:rPr>
          <w:rFonts w:ascii="Calibri" w:cs="Calibri" w:eastAsia="Calibri" w:hAnsi="Calibri"/>
          <w:sz w:val="21"/>
          <w:szCs w:val="21"/>
          <w:color w:val="auto"/>
        </w:rPr>
      </w:pPr>
      <w:r>
        <w:rPr>
          <w:rFonts w:ascii="Calibri" w:cs="Calibri" w:eastAsia="Calibri" w:hAnsi="Calibri"/>
          <w:sz w:val="21"/>
          <w:szCs w:val="21"/>
          <w:color w:val="auto"/>
        </w:rPr>
        <w:t>Employees who have been continuously employed for one year or more are entitled to paid annual leave (hereinafter referred to as "annual leave"). National statutory holidays and rest days are not included in the annual leave period. The minimum calculation unit for annual leave is 0.5 days. The specific provisions are as follows:</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one year but less than ten years are entitled to five days of annual leave.</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ten years but less than twenty years are entitled to ten days of annual leave.</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twenty years or more are entitled to fifteen days of annual leave.</w:t>
      </w:r>
    </w:p>
    <w:p>
      <w:pPr>
        <w:jc w:val="both"/>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For employees who join or leave the company during the year, the number of annual leave days shall be calculated based on the remaining calendar days in the company for that year, using the following formula: (the number of calendar days employed in the company during the current year ÷ 365 days) × the total number of annual leave days the employee is entitled to for the entire year, with the result rounded to the nearest whole number. Any excess annual leave taken will be considered as personal leave and the corresponding wages will be deducted on a daily basis.</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Probationary employees can only enjoy annual leave after passing the probation period and the probationary assessment.</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The length of service of employees is determined based on the social insurance contribution records.</w:t>
      </w:r>
    </w:p>
    <w:p>
      <w:pPr>
        <w:jc w:val="both"/>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The annual leave for the current year must be taken before December 31st of the same year. In special circumstances, it must be taken before March 31st of the following year, and any unused leave will be forfeited. Annual leave should be preferably taken during the Spring Festival holiday period. If it cannot be taken during the Spring Festival holiday, employees should communicate with their direct supervisors in advance.</w:t>
      </w:r>
    </w:p>
    <w:p>
      <w:pPr>
        <w:ind w:left="360" w:right="366"/>
        <w:spacing w:after="0" w:line="312" w:lineRule="auto"/>
        <w:rPr>
          <w:rFonts w:ascii="Calibri" w:cs="Calibri" w:eastAsia="Calibri" w:hAnsi="Calibri"/>
          <w:sz w:val="21"/>
          <w:szCs w:val="21"/>
          <w:color w:val="auto"/>
        </w:rPr>
      </w:pPr>
      <w:r>
        <w:rPr>
          <w:rFonts w:ascii="Calibri" w:cs="Calibri" w:eastAsia="Calibri" w:hAnsi="Calibri"/>
          <w:sz w:val="21"/>
          <w:szCs w:val="21"/>
          <w:color w:val="auto"/>
        </w:rPr>
        <w:t>If the company arranges annual leave and the employee submits a written statement declining to take the leave, it will be considered as the employee waiving the annual leave.</w:t>
      </w:r>
    </w:p>
    <w:p>
      <w:pPr>
        <w:spacing w:after="0" w:line="269" w:lineRule="exact"/>
        <w:rPr>
          <w:rFonts w:ascii="Calibri" w:cs="Calibri" w:eastAsia="Calibri" w:hAnsi="Calibri"/>
          <w:sz w:val="21"/>
          <w:szCs w:val="21"/>
          <w:color w:val="auto"/>
        </w:rPr>
      </w:pPr>
    </w:p>
    <w:p>
      <w:pPr>
        <w:ind w:left="360" w:right="366"/>
        <w:spacing w:after="0" w:line="292" w:lineRule="auto"/>
        <w:tabs>
          <w:tab w:leader="none" w:pos="667" w:val="left"/>
        </w:tabs>
        <w:numPr>
          <w:ilvl w:val="0"/>
          <w:numId w:val="7"/>
        </w:numPr>
        <w:rPr>
          <w:rFonts w:ascii="Calibri" w:cs="Calibri" w:eastAsia="Calibri" w:hAnsi="Calibri"/>
          <w:sz w:val="21"/>
          <w:szCs w:val="21"/>
          <w:color w:val="auto"/>
        </w:rPr>
      </w:pPr>
      <w:r>
        <w:rPr>
          <w:rFonts w:ascii="Calibri" w:cs="Calibri" w:eastAsia="Calibri" w:hAnsi="Calibri"/>
          <w:sz w:val="21"/>
          <w:szCs w:val="21"/>
          <w:color w:val="auto"/>
        </w:rPr>
        <w:t>Employees who have any of the following circumstances will not be entitled to the annual leave of the current year:</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one year but less than ten years and have taken more than two months of sick leave in the current year;</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ten years but less than twenty years and have taken more than three months of sick leave in the current year;</w:t>
      </w:r>
    </w:p>
    <w:p>
      <w:pPr>
        <w:ind w:left="360" w:right="366"/>
        <w:spacing w:after="0" w:line="292" w:lineRule="auto"/>
        <w:rPr>
          <w:rFonts w:ascii="Calibri" w:cs="Calibri" w:eastAsia="Calibri" w:hAnsi="Calibri"/>
          <w:sz w:val="21"/>
          <w:szCs w:val="21"/>
          <w:color w:val="auto"/>
        </w:rPr>
      </w:pPr>
      <w:r>
        <w:rPr>
          <w:rFonts w:ascii="Calibri" w:cs="Calibri" w:eastAsia="Calibri" w:hAnsi="Calibri"/>
          <w:sz w:val="21"/>
          <w:szCs w:val="21"/>
          <w:color w:val="auto"/>
        </w:rPr>
        <w:t>Employees who have worked for a cumulative period of twenty years or more and have taken more than four months of sick leave in the current year.</w:t>
      </w:r>
    </w:p>
    <w:p>
      <w:pPr>
        <w:ind w:left="360"/>
        <w:spacing w:after="0"/>
        <w:rPr>
          <w:rFonts w:ascii="Calibri" w:cs="Calibri" w:eastAsia="Calibri" w:hAnsi="Calibri"/>
          <w:sz w:val="21"/>
          <w:szCs w:val="21"/>
          <w:color w:val="auto"/>
        </w:rPr>
      </w:pPr>
      <w:r>
        <w:rPr>
          <w:rFonts w:ascii="Calibri" w:cs="Calibri" w:eastAsia="Calibri" w:hAnsi="Calibri"/>
          <w:sz w:val="21"/>
          <w:szCs w:val="21"/>
          <w:color w:val="auto"/>
        </w:rPr>
        <w:t>If an employee has already enjoyed the annual leave of the current year and any of the above</w:t>
      </w:r>
    </w:p>
    <w:p>
      <w:pPr>
        <w:sectPr>
          <w:pgSz w:w="11900" w:h="16838" w:orient="portrait"/>
          <w:cols w:equalWidth="0" w:num="1">
            <w:col w:w="9026"/>
          </w:cols>
          <w:pgMar w:left="1440" w:top="1440" w:right="1440" w:bottom="435"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8"/>
          <w:szCs w:val="18"/>
          <w:color w:val="auto"/>
        </w:rPr>
        <w:t>9</w:t>
      </w:r>
    </w:p>
    <w:p>
      <w:pPr>
        <w:sectPr>
          <w:pgSz w:w="11900" w:h="16838" w:orient="portrait"/>
          <w:cols w:equalWidth="0" w:num="1">
            <w:col w:w="9026"/>
          </w:cols>
          <w:pgMar w:left="1440" w:top="1440" w:right="1440" w:bottom="435" w:gutter="0" w:footer="0" w:header="0"/>
          <w:type w:val="continuous"/>
        </w:sectPr>
      </w:pPr>
    </w:p>
    <w:bookmarkStart w:id="9" w:name="page10"/>
    <w:bookmarkEnd w:id="9"/>
    <w:p>
      <w:pPr>
        <w:spacing w:after="0" w:line="15"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circumstances occur within the year, they will not be entitled to the annual leave of the following year. If an employee leaves the company prematurely, the wages for the annual leave already taken must be deducted.</w:t>
      </w:r>
    </w:p>
    <w:p>
      <w:pPr>
        <w:spacing w:after="0" w:line="280"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5.Compensatory Leave</w:t>
      </w:r>
    </w:p>
    <w:p>
      <w:pPr>
        <w:spacing w:after="0" w:line="56"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Compensatory leave is calculated in units of 0.5 days. Employees who have worked overtime with approval and have corresponding attendance records and proof of work output can enjoy compensatory leave due to the overtime. Principal-level employees and above are not eligible to apply for compensatory leave.</w:t>
      </w:r>
    </w:p>
    <w:p>
      <w:pPr>
        <w:spacing w:after="0" w:line="287" w:lineRule="exact"/>
        <w:rPr>
          <w:sz w:val="20"/>
          <w:szCs w:val="20"/>
          <w:color w:val="auto"/>
        </w:rPr>
      </w:pPr>
    </w:p>
    <w:p>
      <w:pPr>
        <w:ind w:left="360" w:right="366"/>
        <w:spacing w:after="0" w:line="292" w:lineRule="auto"/>
        <w:tabs>
          <w:tab w:leader="none" w:pos="650" w:val="left"/>
        </w:tabs>
        <w:numPr>
          <w:ilvl w:val="0"/>
          <w:numId w:val="8"/>
        </w:numPr>
        <w:rPr>
          <w:rFonts w:ascii="Calibri" w:cs="Calibri" w:eastAsia="Calibri" w:hAnsi="Calibri"/>
          <w:sz w:val="21"/>
          <w:szCs w:val="21"/>
          <w:color w:val="auto"/>
        </w:rPr>
      </w:pPr>
      <w:r>
        <w:rPr>
          <w:rFonts w:ascii="Calibri" w:cs="Calibri" w:eastAsia="Calibri" w:hAnsi="Calibri"/>
          <w:sz w:val="21"/>
          <w:szCs w:val="21"/>
          <w:color w:val="auto"/>
        </w:rPr>
        <w:t>After the application for overtime work is approved, employees can enjoy the same time off; This year's transfer leave is valid until December 31 (inclusive) of this year, and expires.</w:t>
      </w:r>
    </w:p>
    <w:p>
      <w:pPr>
        <w:jc w:val="both"/>
        <w:ind w:left="360" w:right="366"/>
        <w:spacing w:after="0" w:line="292" w:lineRule="auto"/>
        <w:tabs>
          <w:tab w:leader="none" w:pos="749" w:val="left"/>
        </w:tabs>
        <w:numPr>
          <w:ilvl w:val="0"/>
          <w:numId w:val="8"/>
        </w:numPr>
        <w:rPr>
          <w:rFonts w:ascii="Calibri" w:cs="Calibri" w:eastAsia="Calibri" w:hAnsi="Calibri"/>
          <w:sz w:val="21"/>
          <w:szCs w:val="21"/>
          <w:color w:val="auto"/>
        </w:rPr>
      </w:pPr>
      <w:r>
        <w:rPr>
          <w:rFonts w:ascii="Calibri" w:cs="Calibri" w:eastAsia="Calibri" w:hAnsi="Calibri"/>
          <w:sz w:val="21"/>
          <w:szCs w:val="21"/>
          <w:color w:val="auto"/>
        </w:rPr>
        <w:t>Employees must arrange compensatory leave reasonably in combination with the department's work tasks and must not affect the department's work. Department heads must arrange compensatory leave reasonably according to the department's work tasks.</w:t>
      </w:r>
    </w:p>
    <w:p>
      <w:pPr>
        <w:ind w:left="360" w:right="366"/>
        <w:spacing w:after="0" w:line="312" w:lineRule="auto"/>
        <w:tabs>
          <w:tab w:leader="none" w:pos="650" w:val="left"/>
        </w:tabs>
        <w:numPr>
          <w:ilvl w:val="0"/>
          <w:numId w:val="8"/>
        </w:numPr>
        <w:rPr>
          <w:rFonts w:ascii="Calibri" w:cs="Calibri" w:eastAsia="Calibri" w:hAnsi="Calibri"/>
          <w:sz w:val="21"/>
          <w:szCs w:val="21"/>
          <w:color w:val="auto"/>
        </w:rPr>
      </w:pPr>
      <w:r>
        <w:rPr>
          <w:rFonts w:ascii="Calibri" w:cs="Calibri" w:eastAsia="Calibri" w:hAnsi="Calibri"/>
          <w:sz w:val="21"/>
          <w:szCs w:val="21"/>
          <w:color w:val="auto"/>
        </w:rPr>
        <w:t>In principle, the combination of compensatory leave, annual leave, and statutory holidays for rest is prohibited to avoid affecting work progress due to a shortage of departmental manpower.</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6.Marriage Leave</w:t>
      </w:r>
    </w:p>
    <w:p>
      <w:pPr>
        <w:spacing w:after="0" w:line="368" w:lineRule="exact"/>
        <w:rPr>
          <w:sz w:val="20"/>
          <w:szCs w:val="20"/>
          <w:color w:val="auto"/>
        </w:rPr>
      </w:pPr>
    </w:p>
    <w:p>
      <w:pPr>
        <w:jc w:val="both"/>
        <w:ind w:left="360" w:right="366"/>
        <w:spacing w:after="0" w:line="295" w:lineRule="auto"/>
        <w:rPr>
          <w:sz w:val="20"/>
          <w:szCs w:val="20"/>
          <w:color w:val="auto"/>
        </w:rPr>
      </w:pPr>
      <w:r>
        <w:rPr>
          <w:rFonts w:ascii="Calibri" w:cs="Calibri" w:eastAsia="Calibri" w:hAnsi="Calibri"/>
          <w:sz w:val="21"/>
          <w:szCs w:val="21"/>
          <w:color w:val="auto"/>
        </w:rPr>
        <w:t>Formal employees who meet the provisions of the "Marriage Law" and register their marriage during their employment with the company can enjoy a 10-day marriage leave within one year from the date of registration, including public holidays and statutory holidays. Employees can only enjoy one paid marriage leave during their service with the company. To apply for marriage leave, employees must submit a leave application at least 10 working days in advance, submit the original and photocopy of the "Marriage Certificate," and submit a leave application on Enterprise WeChat, which must be approved by the department head and the Human Resources Center before the leave can be taken.</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7.Bereavement Leave</w:t>
      </w:r>
    </w:p>
    <w:p>
      <w:pPr>
        <w:spacing w:after="0" w:line="368"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Bereavement leave refers to the leave that employees are entitled to by law when their parents, spouse's parents, spouse, children, grandparents, or great-grandparents pass away. The bereavement leave is three days. If it is necessary to travel to a region outside Beijing for the funeral, an additional two working days of paid travel leave will be granted. Bereavement leave must be taken consecutively and is calculated based on consecutive natural days, including rest days and statutory holidays.</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8.Prenatal Checkup Leave, Maternity Leave, Paternity Leave, and Nursing Leave</w:t>
      </w:r>
    </w:p>
    <w:p>
      <w:pPr>
        <w:spacing w:after="0" w:line="56"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Employees are entitled to paid prenatal checkup leave, maternity leave, paternity leave, and nursing leave, provided they comply with the national family planning policy. If there are specific local regulations, the local policies shall apply. All of the above leaves require the submission of relevant supporting documents.</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10</w:t>
      </w:r>
    </w:p>
    <w:p>
      <w:pPr>
        <w:sectPr>
          <w:pgSz w:w="11900" w:h="16838" w:orient="portrait"/>
          <w:cols w:equalWidth="0" w:num="1">
            <w:col w:w="9026"/>
          </w:cols>
          <w:pgMar w:left="1440" w:top="1440" w:right="1440" w:bottom="447" w:gutter="0" w:footer="0" w:header="0"/>
          <w:type w:val="continuous"/>
        </w:sectPr>
      </w:pPr>
    </w:p>
    <w:bookmarkStart w:id="10" w:name="page11"/>
    <w:bookmarkEnd w:id="10"/>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(1)Prenatal Checkup Leave</w:t>
      </w:r>
    </w:p>
    <w:p>
      <w:pPr>
        <w:spacing w:after="0" w:line="56" w:lineRule="exact"/>
        <w:rPr>
          <w:sz w:val="20"/>
          <w:szCs w:val="20"/>
          <w:color w:val="auto"/>
        </w:rPr>
      </w:pPr>
    </w:p>
    <w:p>
      <w:pPr>
        <w:jc w:val="both"/>
        <w:ind w:left="360" w:right="366"/>
        <w:spacing w:after="0" w:line="295" w:lineRule="auto"/>
        <w:rPr>
          <w:sz w:val="20"/>
          <w:szCs w:val="20"/>
          <w:color w:val="auto"/>
        </w:rPr>
      </w:pPr>
      <w:r>
        <w:rPr>
          <w:rFonts w:ascii="Calibri" w:cs="Calibri" w:eastAsia="Calibri" w:hAnsi="Calibri"/>
          <w:sz w:val="21"/>
          <w:szCs w:val="21"/>
          <w:color w:val="auto"/>
        </w:rPr>
        <w:t>Female employees are entitled to prenatal checkup leave during working hours for prenatal examinations. The specific provisions are as follows: from the 4th to the 7th month of pregnancy (weeks 13-28), one day per month; from the 8th to the 9th month of pregnancy (weeks 29-36), two days per month; and in the 10th month of pregnancy (weeks 37-40), four days per month. The minimum calculation unit for prenatal checkup leave is 0.5 days. Prenatal checkup leave should be applied for at least two working days in advance, stating the week of the prenatal checkup, and can only be taken after approval by the Human Resources Center and the department leader.</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(2)Maternity Leave</w:t>
      </w:r>
    </w:p>
    <w:p>
      <w:pPr>
        <w:spacing w:after="0" w:line="368" w:lineRule="exact"/>
        <w:rPr>
          <w:sz w:val="20"/>
          <w:szCs w:val="20"/>
          <w:color w:val="auto"/>
        </w:rPr>
      </w:pPr>
    </w:p>
    <w:p>
      <w:pPr>
        <w:jc w:val="both"/>
        <w:ind w:left="360" w:right="366"/>
        <w:spacing w:after="0" w:line="294" w:lineRule="auto"/>
        <w:rPr>
          <w:sz w:val="20"/>
          <w:szCs w:val="20"/>
          <w:color w:val="auto"/>
        </w:rPr>
      </w:pPr>
      <w:r>
        <w:rPr>
          <w:rFonts w:ascii="Calibri" w:cs="Calibri" w:eastAsia="Calibri" w:hAnsi="Calibri"/>
          <w:sz w:val="21"/>
          <w:szCs w:val="21"/>
          <w:color w:val="auto"/>
        </w:rPr>
        <w:t>Female employees are entitled to 98 days of maternity leave for normal childbirth, with 15 days of leave allowed before delivery. An additional 15 days of maternity leave will be granted for difficult labor as certified by a hospital; for multiple births, an additional 15 days of maternity leave will be granted for each additional infant; in accordance with the Beijing Maternity Regulations, an additional 60 days of extended maternity leave can be enjoyed, totaling 158 days. For miscarriages before four months of pregnancy, 15 days of maternity leave will be granted; for miscarriages after four months of pregnancy, 42 days of maternity leave will be granted. Maternity leave is a continuous holiday, including public holidays and statutory holidays. Maternity leave should be applied for at least 10 working days in advance and can only be taken after approval by the department head and the Human Resources Center.</w:t>
      </w:r>
    </w:p>
    <w:p>
      <w:pPr>
        <w:spacing w:after="0" w:line="292"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(3)Paternity Leave</w:t>
      </w:r>
    </w:p>
    <w:p>
      <w:pPr>
        <w:spacing w:after="0" w:line="56"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Male employees whose spouses are pregnant are entitled to 15 days of paternity leave. Paternity leave is a continuous holiday, including public holidays and statutory holidays. Applications for paternity leave should be submitted to the Human Resources Center at least 10 working days in advance and must be taken consecutively within one month before or after the spouse's childbirth.</w:t>
      </w:r>
    </w:p>
    <w:p>
      <w:pPr>
        <w:spacing w:after="0" w:line="28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(4)Nursing Leave</w:t>
      </w:r>
    </w:p>
    <w:p>
      <w:pPr>
        <w:spacing w:after="0" w:line="56" w:lineRule="exact"/>
        <w:rPr>
          <w:sz w:val="20"/>
          <w:szCs w:val="20"/>
          <w:color w:val="auto"/>
        </w:rPr>
      </w:pPr>
    </w:p>
    <w:p>
      <w:pPr>
        <w:jc w:val="both"/>
        <w:ind w:left="360" w:right="366"/>
        <w:spacing w:after="0" w:line="295" w:lineRule="auto"/>
        <w:rPr>
          <w:sz w:val="20"/>
          <w:szCs w:val="20"/>
          <w:color w:val="auto"/>
        </w:rPr>
      </w:pPr>
      <w:r>
        <w:rPr>
          <w:rFonts w:ascii="Calibri" w:cs="Calibri" w:eastAsia="Calibri" w:hAnsi="Calibri"/>
          <w:sz w:val="21"/>
          <w:szCs w:val="21"/>
          <w:color w:val="auto"/>
        </w:rPr>
        <w:t>Female employees who are breastfeeding infants under one year of age are entitled to one hour of nursing time per day; for multiple births, the nursing time will be extended by one hour for each additional infant. Nursing leave must be applied for in advance and the specific time must be confirmed. To take nursing leave, employees must follow the leave application procedure on Enterprise WeChat, stating the reason, and submit the original and photocopy of the infant's "Birth Certificate" to the Human Resources Center. The leave can only be taken after approval by the department head and the Human Resources Center.</w:t>
      </w:r>
    </w:p>
    <w:p>
      <w:pPr>
        <w:spacing w:after="0" w:line="265"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Overtime</w:t>
      </w:r>
    </w:p>
    <w:p>
      <w:pPr>
        <w:spacing w:after="0" w:line="356" w:lineRule="exact"/>
        <w:rPr>
          <w:sz w:val="20"/>
          <w:szCs w:val="20"/>
          <w:color w:val="auto"/>
        </w:rPr>
      </w:pPr>
    </w:p>
    <w:p>
      <w:pPr>
        <w:jc w:val="both"/>
        <w:ind w:left="360" w:right="366"/>
        <w:spacing w:after="0" w:line="323" w:lineRule="auto"/>
        <w:rPr>
          <w:sz w:val="20"/>
          <w:szCs w:val="20"/>
          <w:color w:val="auto"/>
        </w:rPr>
      </w:pPr>
      <w:r>
        <w:rPr>
          <w:rFonts w:ascii="Calibri" w:cs="Calibri" w:eastAsia="Calibri" w:hAnsi="Calibri"/>
          <w:sz w:val="20"/>
          <w:szCs w:val="20"/>
          <w:color w:val="auto"/>
        </w:rPr>
        <w:t>1.The company encourages employees to complete their work efficiently within working hours. If overtime is necessary due to work requirements, the company will prioritize compensatory leave. Overtime applications must be confirmed with the direct supervisor before the overtime occurs</w:t>
      </w:r>
    </w:p>
    <w:p>
      <w:pPr>
        <w:sectPr>
          <w:pgSz w:w="11900" w:h="16838" w:orient="portrait"/>
          <w:cols w:equalWidth="0" w:num="1">
            <w:col w:w="9026"/>
          </w:cols>
          <w:pgMar w:left="1440" w:top="1440" w:right="1440" w:bottom="447" w:gutter="0" w:footer="0" w:header="0"/>
        </w:sectPr>
      </w:pPr>
    </w:p>
    <w:p>
      <w:pPr>
        <w:spacing w:after="0" w:line="387"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11</w:t>
      </w:r>
    </w:p>
    <w:p>
      <w:pPr>
        <w:sectPr>
          <w:pgSz w:w="11900" w:h="16838" w:orient="portrait"/>
          <w:cols w:equalWidth="0" w:num="1">
            <w:col w:w="9026"/>
          </w:cols>
          <w:pgMar w:left="1440" w:top="1440" w:right="1440" w:bottom="447" w:gutter="0" w:footer="0" w:header="0"/>
          <w:type w:val="continuous"/>
        </w:sectPr>
      </w:pPr>
    </w:p>
    <w:bookmarkStart w:id="11" w:name="page12"/>
    <w:bookmarkEnd w:id="11"/>
    <w:p>
      <w:pPr>
        <w:spacing w:after="0" w:line="15"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and submitted within three working days after approval. Overtime can be compensated with an equal amount of compensatory leave. In principle, overtime should be compensated with compensatory leave in the same month. If it is not possible to take compensatory leave in the same month due to work requirements, it must be taken within the current year.</w:t>
      </w:r>
    </w:p>
    <w:p>
      <w:pPr>
        <w:jc w:val="both"/>
        <w:ind w:left="360" w:right="366"/>
        <w:spacing w:after="0" w:line="306" w:lineRule="auto"/>
        <w:rPr>
          <w:sz w:val="20"/>
          <w:szCs w:val="20"/>
          <w:color w:val="auto"/>
        </w:rPr>
      </w:pPr>
      <w:r>
        <w:rPr>
          <w:rFonts w:ascii="Calibri" w:cs="Calibri" w:eastAsia="Calibri" w:hAnsi="Calibri"/>
          <w:sz w:val="20"/>
          <w:szCs w:val="20"/>
          <w:color w:val="auto"/>
        </w:rPr>
        <w:t>2.If the company arranges overtime for employees due to production and operation needs, the employee must submit an overtime application through Enterprise WeChat, attaching attendance clock-in data and proof of work output. The overtime will be recognized after approval.</w:t>
      </w:r>
    </w:p>
    <w:p>
      <w:pPr>
        <w:spacing w:after="0" w:line="2"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3.Overtime applications are calculated in units of one hour, starting from one hour after the normal working hours, and the minimum duration for an overtime application is one hour.</w:t>
      </w:r>
    </w:p>
    <w:p>
      <w:pPr>
        <w:ind w:left="360"/>
        <w:spacing w:after="0"/>
        <w:rPr>
          <w:sz w:val="20"/>
          <w:szCs w:val="20"/>
          <w:color w:val="auto"/>
        </w:rPr>
      </w:pPr>
      <w:r>
        <w:rPr>
          <w:rFonts w:ascii="Calibri" w:cs="Calibri" w:eastAsia="Calibri" w:hAnsi="Calibri"/>
          <w:sz w:val="21"/>
          <w:szCs w:val="21"/>
          <w:color w:val="auto"/>
        </w:rPr>
        <w:t>4.The following situations will not be recognized as overtime:</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Overtime due to the employee's own failure to complete work tasks in time;</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Overtime deemed by the direct supervisor or the Human Resources Center to have no value output for the company;</w:t>
      </w:r>
    </w:p>
    <w:p>
      <w:pPr>
        <w:ind w:left="360"/>
        <w:spacing w:after="0"/>
        <w:rPr>
          <w:sz w:val="20"/>
          <w:szCs w:val="20"/>
          <w:color w:val="auto"/>
        </w:rPr>
      </w:pPr>
      <w:r>
        <w:rPr>
          <w:rFonts w:ascii="Calibri" w:cs="Calibri" w:eastAsia="Calibri" w:hAnsi="Calibri"/>
          <w:sz w:val="21"/>
          <w:szCs w:val="21"/>
          <w:color w:val="auto"/>
        </w:rPr>
        <w:t>Failure to follow the overtime approval procedures;</w:t>
      </w:r>
    </w:p>
    <w:p>
      <w:pPr>
        <w:spacing w:after="0" w:line="56" w:lineRule="exact"/>
        <w:rPr>
          <w:sz w:val="20"/>
          <w:szCs w:val="20"/>
          <w:color w:val="auto"/>
        </w:rPr>
      </w:pPr>
    </w:p>
    <w:p>
      <w:pPr>
        <w:ind w:left="360" w:right="2826"/>
        <w:spacing w:after="0" w:line="292" w:lineRule="auto"/>
        <w:rPr>
          <w:sz w:val="20"/>
          <w:szCs w:val="20"/>
          <w:color w:val="auto"/>
        </w:rPr>
      </w:pPr>
      <w:r>
        <w:rPr>
          <w:rFonts w:ascii="Calibri" w:cs="Calibri" w:eastAsia="Calibri" w:hAnsi="Calibri"/>
          <w:sz w:val="21"/>
          <w:szCs w:val="21"/>
          <w:color w:val="auto"/>
        </w:rPr>
        <w:t>Overtime applications by employees at or above the position level 7; Other situations that should not be considered as overtime.</w:t>
      </w:r>
    </w:p>
    <w:p>
      <w:pPr>
        <w:ind w:left="360"/>
        <w:spacing w:after="0"/>
        <w:rPr>
          <w:sz w:val="20"/>
          <w:szCs w:val="20"/>
          <w:color w:val="auto"/>
        </w:rPr>
      </w:pPr>
      <w:r>
        <w:rPr>
          <w:rFonts w:ascii="Calibri" w:cs="Calibri" w:eastAsia="Calibri" w:hAnsi="Calibri"/>
          <w:sz w:val="21"/>
          <w:szCs w:val="21"/>
          <w:color w:val="auto"/>
        </w:rPr>
        <w:t>5.Overtime Benefits</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Approved overtime applications can enjoy the following benefits:</w:t>
      </w:r>
    </w:p>
    <w:p>
      <w:pPr>
        <w:spacing w:after="0" w:line="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Overtime exceeding 8:00 PM can be reimbursed for meal expenses, with a maximum of 50 yuan per meal, based on receipts;</w:t>
      </w:r>
    </w:p>
    <w:p>
      <w:pPr>
        <w:jc w:val="both"/>
        <w:ind w:left="360" w:right="366"/>
        <w:spacing w:after="0" w:line="292" w:lineRule="auto"/>
        <w:rPr>
          <w:sz w:val="20"/>
          <w:szCs w:val="20"/>
          <w:color w:val="auto"/>
        </w:rPr>
      </w:pPr>
      <w:r>
        <w:rPr>
          <w:rFonts w:ascii="Calibri" w:cs="Calibri" w:eastAsia="Calibri" w:hAnsi="Calibri"/>
          <w:sz w:val="21"/>
          <w:szCs w:val="21"/>
          <w:color w:val="auto"/>
        </w:rPr>
        <w:t>Overtime exceeding 10:00 PM can be reimbursed for taxi fares, which must be applied for through Enterprise WeChat and approved. If the application is not made on the same day, it must be supplemented within three working days;</w:t>
      </w:r>
    </w:p>
    <w:p>
      <w:pPr>
        <w:ind w:left="360"/>
        <w:spacing w:after="0"/>
        <w:rPr>
          <w:sz w:val="20"/>
          <w:szCs w:val="20"/>
          <w:color w:val="auto"/>
        </w:rPr>
      </w:pPr>
      <w:r>
        <w:rPr>
          <w:rFonts w:ascii="Calibri" w:cs="Calibri" w:eastAsia="Calibri" w:hAnsi="Calibri"/>
          <w:sz w:val="21"/>
          <w:szCs w:val="21"/>
          <w:color w:val="auto"/>
        </w:rPr>
        <w:t>Overtime exceeding 10:00 PM can apply for accommodation in a capsule apartment.</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Employees at or above the position level 7 can enjoy additional welfare leave as needed.</w:t>
      </w:r>
    </w:p>
    <w:p>
      <w:pPr>
        <w:spacing w:after="0" w:line="342"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Business Trips/Outings</w:t>
      </w:r>
    </w:p>
    <w:p>
      <w:pPr>
        <w:spacing w:after="0" w:line="3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For official outings or business trips, employees must submit an application at least one day in advance on Enterprise WeChat, attaching the corresponding application reason materials. After approval by the direct supervisor and the Human Resources Center, the trip can be executed. In case of special circumstances where timely application is not possible, the approval procedures must be supplemented on the same day, and a simultaneous application must be made to the direct supervisor and the Human Resources Center via WeChat or phone.</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Employees should clock out when they go out or on business trips. They need to clock out when they arrive at/leave the destination. If they travel outside or outside multiple places in a day, they need to clock out at each place, as detailed in the Business Trip Management System.</w:t>
      </w:r>
    </w:p>
    <w:p>
      <w:pPr>
        <w:jc w:val="both"/>
        <w:ind w:left="360" w:right="366"/>
        <w:spacing w:after="0" w:line="340" w:lineRule="auto"/>
        <w:rPr>
          <w:sz w:val="20"/>
          <w:szCs w:val="20"/>
          <w:color w:val="auto"/>
        </w:rPr>
      </w:pPr>
      <w:r>
        <w:rPr>
          <w:rFonts w:ascii="Calibri" w:cs="Calibri" w:eastAsia="Calibri" w:hAnsi="Calibri"/>
          <w:sz w:val="20"/>
          <w:szCs w:val="20"/>
          <w:color w:val="auto"/>
        </w:rPr>
        <w:t>A single application for an outing shall not exceed seven days. In addition to the above approvers, business trip approvals also require the approval of the account manager before execution.</w:t>
      </w:r>
    </w:p>
    <w:p>
      <w:pPr>
        <w:spacing w:after="0" w:line="219"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Leave Management</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Employees must submit leave applications through Enterprise WeChat:</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For leaves of three days or less:</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12</w:t>
      </w:r>
    </w:p>
    <w:p>
      <w:pPr>
        <w:sectPr>
          <w:pgSz w:w="11900" w:h="16838" w:orient="portrait"/>
          <w:cols w:equalWidth="0" w:num="1">
            <w:col w:w="9026"/>
          </w:cols>
          <w:pgMar w:left="1440" w:top="1440" w:right="1440" w:bottom="447" w:gutter="0" w:footer="0" w:header="0"/>
          <w:type w:val="continuous"/>
        </w:sectPr>
      </w:pPr>
    </w:p>
    <w:bookmarkStart w:id="12" w:name="page13"/>
    <w:bookmarkEnd w:id="12"/>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Initiator → Direct Supervisor → HR</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Approval 1 → Approval 2 → CC</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For leaves of more than three days:</w:t>
      </w:r>
    </w:p>
    <w:p>
      <w:pPr>
        <w:spacing w:after="0" w:line="56" w:lineRule="exact"/>
        <w:rPr>
          <w:sz w:val="20"/>
          <w:szCs w:val="20"/>
          <w:color w:val="auto"/>
        </w:rPr>
      </w:pPr>
    </w:p>
    <w:p>
      <w:pPr>
        <w:ind w:left="360" w:right="2386"/>
        <w:spacing w:after="0" w:line="312" w:lineRule="auto"/>
        <w:rPr>
          <w:sz w:val="20"/>
          <w:szCs w:val="20"/>
          <w:color w:val="auto"/>
        </w:rPr>
      </w:pPr>
      <w:r>
        <w:rPr>
          <w:rFonts w:ascii="Calibri" w:cs="Calibri" w:eastAsia="Calibri" w:hAnsi="Calibri"/>
          <w:sz w:val="21"/>
          <w:szCs w:val="21"/>
          <w:color w:val="auto"/>
        </w:rPr>
        <w:t>Initiator → Direct Supervisor → HRD → Attendance Management Position Approval 1 → Approval 2 → Approval 3 → CC</w:t>
      </w:r>
    </w:p>
    <w:p>
      <w:pPr>
        <w:spacing w:after="0" w:line="269"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Employees must arrange a duty agent in advance and complete the "Work Handover Form" before taking leave and submit it to the Human Resources Center to avoid delays in work due to leave.</w:t>
      </w:r>
    </w:p>
    <w:p>
      <w:pPr>
        <w:spacing w:after="0" w:line="280"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Employees at or above the position level 7 must obtain approval from their direct supervisor and synchronize the leave information in the management group to ensure that the leave does not affect the company's work progress.</w:t>
      </w:r>
    </w:p>
    <w:p>
      <w:pPr>
        <w:spacing w:after="0" w:line="280"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In case of special circumstances where it is not possible to submit the leave application process in time, the approval procedures must be supplemented within two days after the leave reason occurs or within one working day after returning to work (whichever is earlier). Failure to submit within the deadline will be treated as absence without leave.</w:t>
      </w:r>
    </w:p>
    <w:p>
      <w:pPr>
        <w:spacing w:after="0" w:line="287"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Except for the company's welfare annual leave, other leaves, including but not limited to marriage leave, maternity leave, bereavement leave, etc., will be adjusted according to the changes in national policies.</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Employees can only use the leave for the specific reasons applied for, and no compensation will be given for expired leave.</w:t>
      </w:r>
    </w:p>
    <w:p>
      <w:pPr>
        <w:spacing w:after="0" w:line="269"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When the company approves leave, it shall be based on the relevant national or local regulations and the original valid supporting documents provided by the employee. If it is found that the employee provides false supporting documents, it will be considered a serious disciplinary offense.</w:t>
      </w:r>
    </w:p>
    <w:p>
      <w:pPr>
        <w:spacing w:after="0" w:line="287"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Managers shall bear management responsibility for all approval contents. Failure to perform duties properly leading to incorrect approvals is considered a serious disciplinary offense.</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Leave situations are part of the employee's overall work performance and are an important basis for career advancement and salary increases.</w:t>
      </w:r>
    </w:p>
    <w:p>
      <w:pPr>
        <w:spacing w:after="0" w:line="372"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6 Compensation and Benefits</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Compensation</w:t>
      </w:r>
    </w:p>
    <w:p>
      <w:pPr>
        <w:spacing w:after="0" w:line="356" w:lineRule="exact"/>
        <w:rPr>
          <w:sz w:val="20"/>
          <w:szCs w:val="20"/>
          <w:color w:val="auto"/>
        </w:rPr>
      </w:pPr>
    </w:p>
    <w:p>
      <w:pPr>
        <w:jc w:val="both"/>
        <w:ind w:left="360" w:right="366"/>
        <w:spacing w:after="0" w:line="340" w:lineRule="auto"/>
        <w:rPr>
          <w:sz w:val="20"/>
          <w:szCs w:val="20"/>
          <w:color w:val="auto"/>
        </w:rPr>
      </w:pPr>
      <w:r>
        <w:rPr>
          <w:rFonts w:ascii="Calibri" w:cs="Calibri" w:eastAsia="Calibri" w:hAnsi="Calibri"/>
          <w:sz w:val="20"/>
          <w:szCs w:val="20"/>
          <w:color w:val="auto"/>
        </w:rPr>
        <w:t>1.The company implements different salary systems based on different positions. The monthly salary is paid before the 10th of the following month (if the 10th is a rest day or statutory holiday,</w:t>
      </w:r>
    </w:p>
    <w:p>
      <w:pPr>
        <w:sectPr>
          <w:pgSz w:w="11900" w:h="16838" w:orient="portrait"/>
          <w:cols w:equalWidth="0" w:num="1">
            <w:col w:w="9026"/>
          </w:cols>
          <w:pgMar w:left="1440" w:top="1440" w:right="1440" w:bottom="447" w:gutter="0" w:footer="0" w:header="0"/>
        </w:sectPr>
      </w:pPr>
    </w:p>
    <w:p>
      <w:pPr>
        <w:spacing w:after="0" w:line="369"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13</w:t>
      </w:r>
    </w:p>
    <w:p>
      <w:pPr>
        <w:sectPr>
          <w:pgSz w:w="11900" w:h="16838" w:orient="portrait"/>
          <w:cols w:equalWidth="0" w:num="1">
            <w:col w:w="9026"/>
          </w:cols>
          <w:pgMar w:left="1440" w:top="1440" w:right="1440" w:bottom="447" w:gutter="0" w:footer="0" w:header="0"/>
          <w:type w:val="continuous"/>
        </w:sectPr>
      </w:pPr>
    </w:p>
    <w:bookmarkStart w:id="13" w:name="page14"/>
    <w:bookmarkEnd w:id="13"/>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it will be postponed to the next working day).</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2.Salary structure: Basic salary (+ performance bonus)</w:t>
      </w:r>
    </w:p>
    <w:p>
      <w:pPr>
        <w:spacing w:after="0" w:line="56"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The company will conduct a comprehensive evaluation according to your completion of monthly, quarterly and annual performance assessment and the company's overall performance, to confirm individual annual performance, whether the bonus is paid and the proportion of payment.</w:t>
      </w:r>
    </w:p>
    <w:p>
      <w:pPr>
        <w:spacing w:after="0" w:line="261"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Benefits</w:t>
      </w:r>
    </w:p>
    <w:p>
      <w:pPr>
        <w:spacing w:after="0" w:line="356" w:lineRule="exact"/>
        <w:rPr>
          <w:sz w:val="20"/>
          <w:szCs w:val="20"/>
          <w:color w:val="auto"/>
        </w:rPr>
      </w:pPr>
    </w:p>
    <w:p>
      <w:pPr>
        <w:ind w:left="620" w:hanging="260"/>
        <w:spacing w:after="0"/>
        <w:tabs>
          <w:tab w:leader="none" w:pos="620" w:val="left"/>
        </w:tabs>
        <w:numPr>
          <w:ilvl w:val="0"/>
          <w:numId w:val="9"/>
        </w:numPr>
        <w:rPr>
          <w:rFonts w:ascii="Calibri" w:cs="Calibri" w:eastAsia="Calibri" w:hAnsi="Calibri"/>
          <w:sz w:val="21"/>
          <w:szCs w:val="21"/>
          <w:color w:val="auto"/>
        </w:rPr>
      </w:pPr>
      <w:r>
        <w:rPr>
          <w:rFonts w:ascii="Calibri" w:cs="Calibri" w:eastAsia="Calibri" w:hAnsi="Calibri"/>
          <w:sz w:val="21"/>
          <w:szCs w:val="21"/>
          <w:color w:val="auto"/>
        </w:rPr>
        <w:t>Social Insurance (Five Insurances) and Housing Provident Fund</w:t>
      </w:r>
    </w:p>
    <w:p>
      <w:pPr>
        <w:spacing w:after="0" w:line="55" w:lineRule="exact"/>
        <w:rPr>
          <w:rFonts w:ascii="Calibri" w:cs="Calibri" w:eastAsia="Calibri" w:hAnsi="Calibri"/>
          <w:sz w:val="21"/>
          <w:szCs w:val="21"/>
          <w:color w:val="auto"/>
        </w:rPr>
      </w:pPr>
    </w:p>
    <w:p>
      <w:pPr>
        <w:ind w:left="560" w:hanging="200"/>
        <w:spacing w:after="0"/>
        <w:tabs>
          <w:tab w:leader="none" w:pos="560" w:val="left"/>
        </w:tabs>
        <w:numPr>
          <w:ilvl w:val="0"/>
          <w:numId w:val="9"/>
        </w:numPr>
        <w:rPr>
          <w:rFonts w:ascii="Calibri" w:cs="Calibri" w:eastAsia="Calibri" w:hAnsi="Calibri"/>
          <w:sz w:val="21"/>
          <w:szCs w:val="21"/>
          <w:color w:val="auto"/>
        </w:rPr>
      </w:pPr>
      <w:r>
        <w:rPr>
          <w:rFonts w:ascii="Calibri" w:cs="Calibri" w:eastAsia="Calibri" w:hAnsi="Calibri"/>
          <w:sz w:val="21"/>
          <w:szCs w:val="21"/>
          <w:color w:val="auto"/>
        </w:rPr>
        <w:t>Communication Allowance: Starting from the month after the probation period is passed.</w:t>
      </w:r>
    </w:p>
    <w:p>
      <w:pPr>
        <w:spacing w:after="0" w:line="333" w:lineRule="exact"/>
        <w:rPr>
          <w:sz w:val="20"/>
          <w:szCs w:val="20"/>
          <w:color w:val="auto"/>
        </w:rPr>
      </w:pPr>
    </w:p>
    <w:tbl>
      <w:tblPr>
        <w:tblLayout w:type="fixed"/>
        <w:tblInd w:w="250" w:type="dxa"/>
        <w:tblCellMar>
          <w:top w:w="0" w:type="dxa"/>
          <w:left w:w="0" w:type="dxa"/>
          <w:bottom w:w="0" w:type="dxa"/>
          <w:right w:w="0" w:type="dxa"/>
        </w:tblCellMar>
      </w:tblPr>
      <w:tr>
        <w:trPr>
          <w:trHeight w:val="318"/>
        </w:trPr>
        <w:tc>
          <w:tcPr>
            <w:tcW w:w="120" w:type="dxa"/>
            <w:vAlign w:val="bottom"/>
            <w:tcBorders>
              <w:top w:val="single" w:sz="8" w:color="auto"/>
              <w:left w:val="single" w:sz="8" w:color="auto"/>
              <w:bottom w:val="single" w:sz="8" w:color="auto"/>
            </w:tcBorders>
          </w:tcPr>
          <w:p>
            <w:pPr>
              <w:spacing w:after="0"/>
              <w:rPr>
                <w:sz w:val="24"/>
                <w:szCs w:val="24"/>
                <w:color w:val="auto"/>
              </w:rPr>
            </w:pPr>
          </w:p>
        </w:tc>
        <w:tc>
          <w:tcPr>
            <w:tcW w:w="440" w:type="dxa"/>
            <w:vAlign w:val="bottom"/>
            <w:tcBorders>
              <w:top w:val="single" w:sz="8" w:color="auto"/>
              <w:bottom w:val="single" w:sz="8" w:color="auto"/>
            </w:tcBorders>
          </w:tcPr>
          <w:p>
            <w:pPr>
              <w:spacing w:after="0"/>
              <w:rPr>
                <w:sz w:val="24"/>
                <w:szCs w:val="24"/>
                <w:color w:val="auto"/>
              </w:rPr>
            </w:pPr>
          </w:p>
        </w:tc>
        <w:tc>
          <w:tcPr>
            <w:tcW w:w="1380" w:type="dxa"/>
            <w:vAlign w:val="bottom"/>
            <w:tcBorders>
              <w:top w:val="single" w:sz="8" w:color="auto"/>
              <w:bottom w:val="single" w:sz="8" w:color="auto"/>
            </w:tcBorders>
          </w:tcPr>
          <w:p>
            <w:pPr>
              <w:spacing w:after="0"/>
              <w:rPr>
                <w:sz w:val="24"/>
                <w:szCs w:val="24"/>
                <w:color w:val="auto"/>
              </w:rPr>
            </w:pPr>
          </w:p>
        </w:tc>
        <w:tc>
          <w:tcPr>
            <w:tcW w:w="3760" w:type="dxa"/>
            <w:vAlign w:val="bottom"/>
            <w:tcBorders>
              <w:top w:val="single" w:sz="8" w:color="auto"/>
              <w:bottom w:val="single" w:sz="8" w:color="auto"/>
            </w:tcBorders>
            <w:gridSpan w:val="8"/>
          </w:tcPr>
          <w:p>
            <w:pPr>
              <w:ind w:left="260"/>
              <w:spacing w:after="0"/>
              <w:rPr>
                <w:sz w:val="20"/>
                <w:szCs w:val="20"/>
                <w:color w:val="auto"/>
              </w:rPr>
            </w:pPr>
            <w:r>
              <w:rPr>
                <w:rFonts w:ascii="Calibri" w:cs="Calibri" w:eastAsia="Calibri" w:hAnsi="Calibri"/>
                <w:sz w:val="21"/>
                <w:szCs w:val="21"/>
                <w:b w:val="1"/>
                <w:bCs w:val="1"/>
                <w:color w:val="auto"/>
              </w:rPr>
              <w:t>Applicable Scope</w:t>
            </w:r>
          </w:p>
        </w:tc>
        <w:tc>
          <w:tcPr>
            <w:tcW w:w="120" w:type="dxa"/>
            <w:vAlign w:val="bottom"/>
            <w:tcBorders>
              <w:top w:val="single" w:sz="8" w:color="auto"/>
              <w:bottom w:val="single" w:sz="8" w:color="auto"/>
            </w:tcBorders>
          </w:tcPr>
          <w:p>
            <w:pPr>
              <w:spacing w:after="0"/>
              <w:rPr>
                <w:sz w:val="24"/>
                <w:szCs w:val="24"/>
                <w:color w:val="auto"/>
              </w:rPr>
            </w:pPr>
          </w:p>
        </w:tc>
        <w:tc>
          <w:tcPr>
            <w:tcW w:w="60" w:type="dxa"/>
            <w:vAlign w:val="bottom"/>
            <w:tcBorders>
              <w:top w:val="single" w:sz="8" w:color="auto"/>
              <w:bottom w:val="single" w:sz="8" w:color="auto"/>
              <w:right w:val="single" w:sz="8" w:color="auto"/>
            </w:tcBorders>
          </w:tcPr>
          <w:p>
            <w:pPr>
              <w:spacing w:after="0"/>
              <w:rPr>
                <w:sz w:val="24"/>
                <w:szCs w:val="24"/>
                <w:color w:val="auto"/>
              </w:rPr>
            </w:pPr>
          </w:p>
        </w:tc>
        <w:tc>
          <w:tcPr>
            <w:tcW w:w="2660" w:type="dxa"/>
            <w:vAlign w:val="bottom"/>
            <w:tcBorders>
              <w:top w:val="single" w:sz="8" w:color="auto"/>
              <w:bottom w:val="single" w:sz="8" w:color="auto"/>
              <w:right w:val="single" w:sz="8" w:color="auto"/>
            </w:tcBorders>
            <w:gridSpan w:val="2"/>
          </w:tcPr>
          <w:p>
            <w:pPr>
              <w:ind w:left="180"/>
              <w:spacing w:after="0" w:line="267" w:lineRule="exact"/>
              <w:rPr>
                <w:sz w:val="20"/>
                <w:szCs w:val="20"/>
                <w:color w:val="auto"/>
              </w:rPr>
            </w:pPr>
            <w:r>
              <w:rPr>
                <w:rFonts w:ascii="Calibri" w:cs="Calibri" w:eastAsia="Calibri" w:hAnsi="Calibri"/>
                <w:sz w:val="21"/>
                <w:szCs w:val="21"/>
                <w:b w:val="1"/>
                <w:bCs w:val="1"/>
                <w:color w:val="auto"/>
              </w:rPr>
              <w:t>Subsidy Amount</w:t>
            </w:r>
            <w:r>
              <w:rPr>
                <w:rFonts w:ascii="SimSun" w:cs="SimSun" w:eastAsia="SimSun" w:hAnsi="SimSun"/>
                <w:sz w:val="21"/>
                <w:szCs w:val="21"/>
                <w:b w:val="1"/>
                <w:bCs w:val="1"/>
                <w:color w:val="auto"/>
              </w:rPr>
              <w:t>（</w:t>
            </w:r>
            <w:r>
              <w:rPr>
                <w:rFonts w:ascii="Calibri" w:cs="Calibri" w:eastAsia="Calibri" w:hAnsi="Calibri"/>
                <w:sz w:val="21"/>
                <w:szCs w:val="21"/>
                <w:b w:val="1"/>
                <w:bCs w:val="1"/>
                <w:color w:val="auto"/>
              </w:rPr>
              <w:t>yuan</w:t>
            </w:r>
            <w:r>
              <w:rPr>
                <w:rFonts w:ascii="SimSun" w:cs="SimSun" w:eastAsia="SimSun" w:hAnsi="SimSun"/>
                <w:sz w:val="21"/>
                <w:szCs w:val="21"/>
                <w:b w:val="1"/>
                <w:bCs w:val="1"/>
                <w:color w:val="auto"/>
              </w:rPr>
              <w:t>）</w:t>
            </w: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auto"/>
            </w:tcBorders>
          </w:tcPr>
          <w:p>
            <w:pPr>
              <w:spacing w:after="0"/>
              <w:rPr>
                <w:sz w:val="24"/>
                <w:szCs w:val="24"/>
                <w:color w:val="auto"/>
              </w:rPr>
            </w:pPr>
          </w:p>
        </w:tc>
        <w:tc>
          <w:tcPr>
            <w:tcW w:w="5580" w:type="dxa"/>
            <w:vAlign w:val="bottom"/>
            <w:tcBorders>
              <w:bottom w:val="single" w:sz="8" w:color="auto"/>
            </w:tcBorders>
            <w:gridSpan w:val="10"/>
          </w:tcPr>
          <w:p>
            <w:pPr>
              <w:ind w:left="100"/>
              <w:spacing w:after="0"/>
              <w:rPr>
                <w:sz w:val="20"/>
                <w:szCs w:val="20"/>
                <w:color w:val="auto"/>
              </w:rPr>
            </w:pPr>
            <w:r>
              <w:rPr>
                <w:rFonts w:ascii="Calibri" w:cs="Calibri" w:eastAsia="Calibri" w:hAnsi="Calibri"/>
                <w:sz w:val="21"/>
                <w:szCs w:val="21"/>
                <w:color w:val="auto"/>
              </w:rPr>
              <w:t>Sales, Human Resources, Project Managers, Department Heads</w:t>
            </w:r>
          </w:p>
        </w:tc>
        <w:tc>
          <w:tcPr>
            <w:tcW w:w="120" w:type="dxa"/>
            <w:vAlign w:val="bottom"/>
            <w:tcBorders>
              <w:bottom w:val="single" w:sz="8" w:color="auto"/>
            </w:tcBorders>
          </w:tcPr>
          <w:p>
            <w:pPr>
              <w:spacing w:after="0"/>
              <w:rPr>
                <w:sz w:val="24"/>
                <w:szCs w:val="24"/>
                <w:color w:val="auto"/>
              </w:rPr>
            </w:pPr>
          </w:p>
        </w:tc>
        <w:tc>
          <w:tcPr>
            <w:tcW w:w="6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tcBorders>
          </w:tcPr>
          <w:p>
            <w:pPr>
              <w:jc w:val="right"/>
              <w:ind w:right="1596"/>
              <w:spacing w:after="0"/>
              <w:rPr>
                <w:sz w:val="20"/>
                <w:szCs w:val="20"/>
                <w:color w:val="auto"/>
              </w:rPr>
            </w:pPr>
            <w:r>
              <w:rPr>
                <w:rFonts w:ascii="Calibri" w:cs="Calibri" w:eastAsia="Calibri" w:hAnsi="Calibri"/>
                <w:sz w:val="21"/>
                <w:szCs w:val="21"/>
                <w:color w:val="auto"/>
              </w:rPr>
              <w:t>200</w:t>
            </w:r>
          </w:p>
        </w:tc>
        <w:tc>
          <w:tcPr>
            <w:tcW w:w="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tcBorders>
          </w:tcPr>
          <w:p>
            <w:pPr>
              <w:spacing w:after="0"/>
              <w:rPr>
                <w:sz w:val="24"/>
                <w:szCs w:val="24"/>
                <w:color w:val="auto"/>
              </w:rPr>
            </w:pPr>
          </w:p>
        </w:tc>
        <w:tc>
          <w:tcPr>
            <w:tcW w:w="3080" w:type="dxa"/>
            <w:vAlign w:val="bottom"/>
            <w:gridSpan w:val="5"/>
          </w:tcPr>
          <w:p>
            <w:pPr>
              <w:spacing w:after="0"/>
              <w:rPr>
                <w:sz w:val="20"/>
                <w:szCs w:val="20"/>
                <w:color w:val="auto"/>
              </w:rPr>
            </w:pPr>
            <w:r>
              <w:rPr>
                <w:rFonts w:ascii="Calibri" w:cs="Calibri" w:eastAsia="Calibri" w:hAnsi="Calibri"/>
                <w:sz w:val="21"/>
                <w:szCs w:val="21"/>
                <w:color w:val="auto"/>
              </w:rPr>
              <w:t>Others</w:t>
            </w: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2120" w:type="dxa"/>
            <w:vAlign w:val="bottom"/>
          </w:tcPr>
          <w:p>
            <w:pPr>
              <w:jc w:val="right"/>
              <w:ind w:right="1596"/>
              <w:spacing w:after="0"/>
              <w:rPr>
                <w:sz w:val="20"/>
                <w:szCs w:val="20"/>
                <w:color w:val="auto"/>
              </w:rPr>
            </w:pPr>
            <w:r>
              <w:rPr>
                <w:rFonts w:ascii="Calibri" w:cs="Calibri" w:eastAsia="Calibri" w:hAnsi="Calibri"/>
                <w:sz w:val="21"/>
                <w:szCs w:val="21"/>
                <w:color w:val="auto"/>
              </w:rPr>
              <w:t>100</w:t>
            </w:r>
          </w:p>
        </w:tc>
        <w:tc>
          <w:tcPr>
            <w:tcW w:w="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138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82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right w:val="single" w:sz="8" w:color="auto"/>
            </w:tcBorders>
          </w:tcPr>
          <w:p>
            <w:pPr>
              <w:spacing w:after="0" w:line="20" w:lineRule="exact"/>
              <w:rPr>
                <w:sz w:val="1"/>
                <w:szCs w:val="1"/>
                <w:color w:val="auto"/>
              </w:rPr>
            </w:pPr>
          </w:p>
        </w:tc>
        <w:tc>
          <w:tcPr>
            <w:tcW w:w="212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905"/>
        </w:trPr>
        <w:tc>
          <w:tcPr>
            <w:tcW w:w="120" w:type="dxa"/>
            <w:vAlign w:val="bottom"/>
          </w:tcPr>
          <w:p>
            <w:pPr>
              <w:spacing w:after="0"/>
              <w:rPr>
                <w:sz w:val="24"/>
                <w:szCs w:val="24"/>
                <w:color w:val="auto"/>
              </w:rPr>
            </w:pPr>
          </w:p>
        </w:tc>
        <w:tc>
          <w:tcPr>
            <w:tcW w:w="3080" w:type="dxa"/>
            <w:vAlign w:val="bottom"/>
            <w:gridSpan w:val="5"/>
          </w:tcPr>
          <w:p>
            <w:pPr>
              <w:spacing w:after="0"/>
              <w:rPr>
                <w:sz w:val="20"/>
                <w:szCs w:val="20"/>
                <w:color w:val="auto"/>
              </w:rPr>
            </w:pPr>
            <w:r>
              <w:rPr>
                <w:rFonts w:ascii="Calibri" w:cs="Calibri" w:eastAsia="Calibri" w:hAnsi="Calibri"/>
                <w:sz w:val="21"/>
                <w:szCs w:val="21"/>
                <w:color w:val="auto"/>
              </w:rPr>
              <w:t>3.Certificate Subsidy:</w:t>
            </w: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540" w:type="dxa"/>
            <w:vAlign w:val="bottom"/>
            <w:vMerge w:val="restart"/>
          </w:tcPr>
          <w:p>
            <w:pPr>
              <w:spacing w:after="0"/>
              <w:rPr>
                <w:sz w:val="10"/>
                <w:szCs w:val="10"/>
                <w:color w:val="auto"/>
              </w:rPr>
            </w:pPr>
          </w:p>
        </w:tc>
        <w:tc>
          <w:tcPr>
            <w:tcW w:w="420" w:type="dxa"/>
            <w:vAlign w:val="bottom"/>
            <w:vMerge w:val="restart"/>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1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7"/>
        </w:trPr>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820" w:type="dxa"/>
            <w:vAlign w:val="bottom"/>
            <w:shd w:val="clear" w:color="auto" w:fill="FAFAFA"/>
          </w:tcPr>
          <w:p>
            <w:pPr>
              <w:ind w:left="40"/>
              <w:spacing w:after="0"/>
              <w:rPr>
                <w:sz w:val="20"/>
                <w:szCs w:val="20"/>
                <w:color w:val="auto"/>
              </w:rPr>
            </w:pPr>
            <w:r>
              <w:rPr>
                <w:rFonts w:ascii="Consolas" w:cs="Consolas" w:eastAsia="Consolas" w:hAnsi="Consolas"/>
                <w:sz w:val="10"/>
                <w:szCs w:val="10"/>
                <w:color w:val="383A42"/>
                <w:highlight w:val="white"/>
              </w:rPr>
              <w:t>Subsidy Price</w:t>
            </w:r>
          </w:p>
        </w:tc>
        <w:tc>
          <w:tcPr>
            <w:tcW w:w="54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1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120" w:type="dxa"/>
            <w:vAlign w:val="bottom"/>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1380" w:type="dxa"/>
            <w:vAlign w:val="bottom"/>
            <w:tcBorders>
              <w:bottom w:val="single" w:sz="8" w:color="auto"/>
            </w:tcBorders>
          </w:tcPr>
          <w:p>
            <w:pPr>
              <w:spacing w:after="0"/>
              <w:rPr>
                <w:sz w:val="8"/>
                <w:szCs w:val="8"/>
                <w:color w:val="auto"/>
              </w:rPr>
            </w:pPr>
          </w:p>
        </w:tc>
        <w:tc>
          <w:tcPr>
            <w:tcW w:w="6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gridSpan w:val="2"/>
          </w:tcPr>
          <w:p>
            <w:pPr>
              <w:spacing w:after="0"/>
              <w:rPr>
                <w:sz w:val="8"/>
                <w:szCs w:val="8"/>
                <w:color w:val="auto"/>
              </w:rPr>
            </w:pPr>
          </w:p>
        </w:tc>
        <w:tc>
          <w:tcPr>
            <w:tcW w:w="1840" w:type="dxa"/>
            <w:vAlign w:val="bottom"/>
            <w:tcBorders>
              <w:bottom w:val="single" w:sz="8" w:color="auto"/>
            </w:tcBorders>
            <w:gridSpan w:val="3"/>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180" w:type="dxa"/>
            <w:vAlign w:val="bottom"/>
            <w:tcBorders>
              <w:bottom w:val="single" w:sz="8" w:color="auto"/>
            </w:tcBorders>
            <w:gridSpan w:val="2"/>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73"/>
        </w:trPr>
        <w:tc>
          <w:tcPr>
            <w:tcW w:w="120" w:type="dxa"/>
            <w:vAlign w:val="bottom"/>
            <w:tcBorders>
              <w:right w:val="single" w:sz="8" w:color="auto"/>
            </w:tcBorders>
          </w:tcPr>
          <w:p>
            <w:pPr>
              <w:spacing w:after="0"/>
              <w:rPr>
                <w:sz w:val="23"/>
                <w:szCs w:val="23"/>
                <w:color w:val="auto"/>
              </w:rPr>
            </w:pPr>
          </w:p>
        </w:tc>
        <w:tc>
          <w:tcPr>
            <w:tcW w:w="44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500" w:type="dxa"/>
            <w:vAlign w:val="bottom"/>
            <w:gridSpan w:val="4"/>
            <w:shd w:val="clear" w:color="auto" w:fill="FAFAFA"/>
          </w:tcPr>
          <w:p>
            <w:pPr>
              <w:jc w:val="center"/>
              <w:spacing w:after="0"/>
              <w:rPr>
                <w:sz w:val="20"/>
                <w:szCs w:val="20"/>
                <w:color w:val="auto"/>
              </w:rPr>
            </w:pPr>
            <w:r>
              <w:rPr>
                <w:rFonts w:ascii="Calibri" w:cs="Calibri" w:eastAsia="Calibri" w:hAnsi="Calibri"/>
                <w:sz w:val="21"/>
                <w:szCs w:val="21"/>
                <w:color w:val="383A42"/>
                <w:highlight w:val="white"/>
              </w:rPr>
              <w:t>Certificate Name</w:t>
            </w:r>
          </w:p>
        </w:tc>
        <w:tc>
          <w:tcPr>
            <w:tcW w:w="1840" w:type="dxa"/>
            <w:vAlign w:val="bottom"/>
            <w:tcBorders>
              <w:right w:val="single" w:sz="8" w:color="auto"/>
            </w:tcBorders>
            <w:gridSpan w:val="3"/>
          </w:tcPr>
          <w:p>
            <w:pPr>
              <w:spacing w:after="0"/>
              <w:rPr>
                <w:sz w:val="23"/>
                <w:szCs w:val="23"/>
                <w:color w:val="auto"/>
              </w:rPr>
            </w:pPr>
          </w:p>
        </w:tc>
        <w:tc>
          <w:tcPr>
            <w:tcW w:w="4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180" w:type="dxa"/>
            <w:vAlign w:val="bottom"/>
            <w:gridSpan w:val="2"/>
            <w:shd w:val="clear" w:color="auto" w:fill="FAFAFA"/>
          </w:tcPr>
          <w:p>
            <w:pPr>
              <w:jc w:val="right"/>
              <w:spacing w:after="0"/>
              <w:rPr>
                <w:sz w:val="20"/>
                <w:szCs w:val="20"/>
                <w:color w:val="auto"/>
              </w:rPr>
            </w:pPr>
            <w:r>
              <w:rPr>
                <w:rFonts w:ascii="Calibri" w:cs="Calibri" w:eastAsia="Calibri" w:hAnsi="Calibri"/>
                <w:sz w:val="21"/>
                <w:szCs w:val="21"/>
                <w:color w:val="383A42"/>
                <w:highlight w:val="white"/>
              </w:rPr>
              <w:t>Pengming (Yuan/Month)</w:t>
            </w:r>
          </w:p>
        </w:tc>
        <w:tc>
          <w:tcPr>
            <w:tcW w:w="5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
        </w:trPr>
        <w:tc>
          <w:tcPr>
            <w:tcW w:w="120" w:type="dxa"/>
            <w:vAlign w:val="bottom"/>
            <w:tcBorders>
              <w:right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138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2080" w:type="dxa"/>
            <w:vAlign w:val="bottom"/>
            <w:tcBorders>
              <w:bottom w:val="single" w:sz="8" w:color="auto"/>
              <w:right w:val="single" w:sz="8" w:color="auto"/>
            </w:tcBorders>
            <w:gridSpan w:val="4"/>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2300" w:type="dxa"/>
            <w:vAlign w:val="bottom"/>
            <w:tcBorders>
              <w:bottom w:val="single" w:sz="8" w:color="auto"/>
            </w:tcBorders>
            <w:gridSpan w:val="3"/>
          </w:tcPr>
          <w:p>
            <w:pPr>
              <w:spacing w:after="0"/>
              <w:rPr>
                <w:sz w:val="2"/>
                <w:szCs w:val="2"/>
                <w:color w:val="auto"/>
              </w:rPr>
            </w:pPr>
          </w:p>
        </w:tc>
        <w:tc>
          <w:tcPr>
            <w:tcW w:w="5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3"/>
        </w:trPr>
        <w:tc>
          <w:tcPr>
            <w:tcW w:w="12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2080" w:type="dxa"/>
            <w:vAlign w:val="bottom"/>
            <w:tcBorders>
              <w:bottom w:val="single" w:sz="8" w:color="auto"/>
              <w:right w:val="single" w:sz="8" w:color="auto"/>
            </w:tcBorders>
            <w:gridSpan w:val="4"/>
          </w:tcPr>
          <w:p>
            <w:pPr>
              <w:jc w:val="center"/>
              <w:ind w:right="220"/>
              <w:spacing w:after="0"/>
              <w:rPr>
                <w:sz w:val="20"/>
                <w:szCs w:val="20"/>
                <w:color w:val="auto"/>
              </w:rPr>
            </w:pPr>
            <w:r>
              <w:rPr>
                <w:rFonts w:ascii="Calibri" w:cs="Calibri" w:eastAsia="Calibri" w:hAnsi="Calibri"/>
                <w:sz w:val="21"/>
                <w:szCs w:val="21"/>
                <w:color w:val="auto"/>
              </w:rPr>
              <w:t>Construction Works</w:t>
            </w:r>
          </w:p>
        </w:tc>
        <w:tc>
          <w:tcPr>
            <w:tcW w:w="420" w:type="dxa"/>
            <w:vAlign w:val="bottom"/>
            <w:tcBorders>
              <w:bottom w:val="single" w:sz="8" w:color="auto"/>
            </w:tcBorders>
          </w:tcPr>
          <w:p>
            <w:pPr>
              <w:spacing w:after="0"/>
              <w:rPr>
                <w:sz w:val="24"/>
                <w:szCs w:val="24"/>
                <w:color w:val="auto"/>
              </w:rPr>
            </w:pPr>
          </w:p>
        </w:tc>
        <w:tc>
          <w:tcPr>
            <w:tcW w:w="23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1"/>
                <w:szCs w:val="21"/>
                <w:color w:val="auto"/>
              </w:rPr>
              <w:t>1800</w:t>
            </w:r>
          </w:p>
        </w:tc>
        <w:tc>
          <w:tcPr>
            <w:tcW w:w="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120" w:type="dxa"/>
            <w:vAlign w:val="bottom"/>
            <w:tcBorders>
              <w:right w:val="single" w:sz="8" w:color="auto"/>
            </w:tcBorders>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3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60" w:type="dxa"/>
            <w:vAlign w:val="bottom"/>
            <w:tcBorders>
              <w:right w:val="single" w:sz="8" w:color="auto"/>
            </w:tcBorders>
            <w:vMerge w:val="restart"/>
          </w:tcPr>
          <w:p>
            <w:pPr>
              <w:spacing w:after="0" w:line="20" w:lineRule="exact"/>
              <w:rPr>
                <w:sz w:val="1"/>
                <w:szCs w:val="1"/>
                <w:color w:val="auto"/>
              </w:rPr>
            </w:pPr>
          </w:p>
        </w:tc>
        <w:tc>
          <w:tcPr>
            <w:tcW w:w="180" w:type="dxa"/>
            <w:vAlign w:val="bottom"/>
            <w:vMerge w:val="restart"/>
          </w:tcPr>
          <w:p>
            <w:pPr>
              <w:spacing w:after="0" w:line="20" w:lineRule="exact"/>
              <w:rPr>
                <w:sz w:val="1"/>
                <w:szCs w:val="1"/>
                <w:color w:val="auto"/>
              </w:rPr>
            </w:pPr>
          </w:p>
        </w:tc>
        <w:tc>
          <w:tcPr>
            <w:tcW w:w="2080" w:type="dxa"/>
            <w:vAlign w:val="bottom"/>
            <w:tcBorders>
              <w:right w:val="single" w:sz="8" w:color="auto"/>
            </w:tcBorders>
            <w:gridSpan w:val="4"/>
            <w:vMerge w:val="restart"/>
          </w:tcPr>
          <w:p>
            <w:pPr>
              <w:jc w:val="center"/>
              <w:ind w:right="200"/>
              <w:spacing w:after="0"/>
              <w:rPr>
                <w:sz w:val="20"/>
                <w:szCs w:val="20"/>
                <w:color w:val="auto"/>
              </w:rPr>
            </w:pPr>
            <w:r>
              <w:rPr>
                <w:rFonts w:ascii="Calibri" w:cs="Calibri" w:eastAsia="Calibri" w:hAnsi="Calibri"/>
                <w:sz w:val="21"/>
                <w:szCs w:val="21"/>
                <w:color w:val="auto"/>
                <w:w w:val="99"/>
              </w:rPr>
              <w:t>Electromechanical</w:t>
            </w:r>
          </w:p>
        </w:tc>
        <w:tc>
          <w:tcPr>
            <w:tcW w:w="420" w:type="dxa"/>
            <w:vAlign w:val="bottom"/>
            <w:vMerge w:val="restart"/>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120" w:type="dxa"/>
            <w:vAlign w:val="bottom"/>
          </w:tcPr>
          <w:p>
            <w:pPr>
              <w:spacing w:after="0" w:line="20" w:lineRule="exact"/>
              <w:rPr>
                <w:sz w:val="1"/>
                <w:szCs w:val="1"/>
                <w:color w:val="auto"/>
              </w:rPr>
            </w:pPr>
          </w:p>
        </w:tc>
        <w:tc>
          <w:tcPr>
            <w:tcW w:w="5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6"/>
        </w:trPr>
        <w:tc>
          <w:tcPr>
            <w:tcW w:w="120" w:type="dxa"/>
            <w:vAlign w:val="bottom"/>
            <w:tcBorders>
              <w:right w:val="single" w:sz="8" w:color="auto"/>
            </w:tcBorders>
          </w:tcPr>
          <w:p>
            <w:pPr>
              <w:spacing w:after="0"/>
              <w:rPr>
                <w:sz w:val="22"/>
                <w:szCs w:val="22"/>
                <w:color w:val="auto"/>
              </w:rPr>
            </w:pPr>
          </w:p>
        </w:tc>
        <w:tc>
          <w:tcPr>
            <w:tcW w:w="440" w:type="dxa"/>
            <w:vAlign w:val="bottom"/>
          </w:tcPr>
          <w:p>
            <w:pPr>
              <w:spacing w:after="0"/>
              <w:rPr>
                <w:sz w:val="22"/>
                <w:szCs w:val="22"/>
                <w:color w:val="auto"/>
              </w:rPr>
            </w:pPr>
          </w:p>
        </w:tc>
        <w:tc>
          <w:tcPr>
            <w:tcW w:w="2000" w:type="dxa"/>
            <w:vAlign w:val="bottom"/>
            <w:gridSpan w:val="2"/>
            <w:shd w:val="clear" w:color="auto" w:fill="FAFAFA"/>
          </w:tcPr>
          <w:p>
            <w:pPr>
              <w:jc w:val="center"/>
              <w:spacing w:after="0"/>
              <w:rPr>
                <w:sz w:val="20"/>
                <w:szCs w:val="20"/>
                <w:color w:val="auto"/>
              </w:rPr>
            </w:pPr>
            <w:r>
              <w:rPr>
                <w:rFonts w:ascii="Calibri" w:cs="Calibri" w:eastAsia="Calibri" w:hAnsi="Calibri"/>
                <w:sz w:val="21"/>
                <w:szCs w:val="21"/>
                <w:color w:val="383A42"/>
                <w:highlight w:val="white"/>
              </w:rPr>
              <w:t>First-Class Constructor</w:t>
            </w:r>
          </w:p>
        </w:tc>
        <w:tc>
          <w:tcPr>
            <w:tcW w:w="460" w:type="dxa"/>
            <w:vAlign w:val="bottom"/>
            <w:tcBorders>
              <w:right w:val="single" w:sz="8" w:color="auto"/>
            </w:tcBorders>
            <w:vMerge w:val="continue"/>
          </w:tcPr>
          <w:p>
            <w:pPr>
              <w:spacing w:after="0"/>
              <w:rPr>
                <w:sz w:val="22"/>
                <w:szCs w:val="22"/>
                <w:color w:val="auto"/>
              </w:rPr>
            </w:pPr>
          </w:p>
        </w:tc>
        <w:tc>
          <w:tcPr>
            <w:tcW w:w="180" w:type="dxa"/>
            <w:vAlign w:val="bottom"/>
            <w:vMerge w:val="continue"/>
          </w:tcPr>
          <w:p>
            <w:pPr>
              <w:spacing w:after="0"/>
              <w:rPr>
                <w:sz w:val="22"/>
                <w:szCs w:val="22"/>
                <w:color w:val="auto"/>
              </w:rPr>
            </w:pPr>
          </w:p>
        </w:tc>
        <w:tc>
          <w:tcPr>
            <w:tcW w:w="2080" w:type="dxa"/>
            <w:vAlign w:val="bottom"/>
            <w:tcBorders>
              <w:right w:val="single" w:sz="8" w:color="auto"/>
            </w:tcBorders>
            <w:gridSpan w:val="4"/>
            <w:vMerge w:val="continue"/>
          </w:tcPr>
          <w:p>
            <w:pPr>
              <w:spacing w:after="0"/>
              <w:rPr>
                <w:sz w:val="22"/>
                <w:szCs w:val="22"/>
                <w:color w:val="auto"/>
              </w:rPr>
            </w:pPr>
          </w:p>
        </w:tc>
        <w:tc>
          <w:tcPr>
            <w:tcW w:w="420" w:type="dxa"/>
            <w:vAlign w:val="bottom"/>
            <w:vMerge w:val="continue"/>
          </w:tcPr>
          <w:p>
            <w:pPr>
              <w:spacing w:after="0"/>
              <w:rPr>
                <w:sz w:val="22"/>
                <w:szCs w:val="22"/>
                <w:color w:val="auto"/>
              </w:rPr>
            </w:pPr>
          </w:p>
        </w:tc>
        <w:tc>
          <w:tcPr>
            <w:tcW w:w="2300" w:type="dxa"/>
            <w:vAlign w:val="bottom"/>
            <w:gridSpan w:val="3"/>
            <w:vMerge w:val="restart"/>
          </w:tcPr>
          <w:p>
            <w:pPr>
              <w:jc w:val="center"/>
              <w:spacing w:after="0"/>
              <w:rPr>
                <w:sz w:val="20"/>
                <w:szCs w:val="20"/>
                <w:color w:val="auto"/>
              </w:rPr>
            </w:pPr>
            <w:r>
              <w:rPr>
                <w:rFonts w:ascii="Calibri" w:cs="Calibri" w:eastAsia="Calibri" w:hAnsi="Calibri"/>
                <w:sz w:val="21"/>
                <w:szCs w:val="21"/>
                <w:color w:val="auto"/>
              </w:rPr>
              <w:t>2000</w:t>
            </w:r>
          </w:p>
        </w:tc>
        <w:tc>
          <w:tcPr>
            <w:tcW w:w="5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20" w:type="dxa"/>
            <w:vAlign w:val="bottom"/>
            <w:tcBorders>
              <w:right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60" w:type="dxa"/>
            <w:vAlign w:val="bottom"/>
            <w:tcBorders>
              <w:right w:val="single" w:sz="8" w:color="auto"/>
            </w:tcBorders>
          </w:tcPr>
          <w:p>
            <w:pPr>
              <w:spacing w:after="0"/>
              <w:rPr>
                <w:sz w:val="14"/>
                <w:szCs w:val="14"/>
                <w:color w:val="auto"/>
              </w:rPr>
            </w:pPr>
          </w:p>
        </w:tc>
        <w:tc>
          <w:tcPr>
            <w:tcW w:w="1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40" w:type="dxa"/>
            <w:vAlign w:val="bottom"/>
            <w:tcBorders>
              <w:right w:val="single" w:sz="8" w:color="auto"/>
            </w:tcBorders>
            <w:gridSpan w:val="3"/>
            <w:vMerge w:val="restart"/>
          </w:tcPr>
          <w:p>
            <w:pPr>
              <w:jc w:val="center"/>
              <w:ind w:right="460"/>
              <w:spacing w:after="0"/>
              <w:rPr>
                <w:sz w:val="20"/>
                <w:szCs w:val="20"/>
                <w:color w:val="auto"/>
              </w:rPr>
            </w:pPr>
            <w:r>
              <w:rPr>
                <w:rFonts w:ascii="Calibri" w:cs="Calibri" w:eastAsia="Calibri" w:hAnsi="Calibri"/>
                <w:sz w:val="21"/>
                <w:szCs w:val="21"/>
                <w:color w:val="auto"/>
              </w:rPr>
              <w:t>Engineering</w:t>
            </w:r>
          </w:p>
        </w:tc>
        <w:tc>
          <w:tcPr>
            <w:tcW w:w="420" w:type="dxa"/>
            <w:vAlign w:val="bottom"/>
          </w:tcPr>
          <w:p>
            <w:pPr>
              <w:spacing w:after="0"/>
              <w:rPr>
                <w:sz w:val="14"/>
                <w:szCs w:val="14"/>
                <w:color w:val="auto"/>
              </w:rPr>
            </w:pPr>
          </w:p>
        </w:tc>
        <w:tc>
          <w:tcPr>
            <w:tcW w:w="2300" w:type="dxa"/>
            <w:vAlign w:val="bottom"/>
            <w:gridSpan w:val="3"/>
            <w:vMerge w:val="continue"/>
          </w:tcPr>
          <w:p>
            <w:pPr>
              <w:spacing w:after="0"/>
              <w:rPr>
                <w:sz w:val="14"/>
                <w:szCs w:val="14"/>
                <w:color w:val="auto"/>
              </w:rPr>
            </w:pPr>
          </w:p>
        </w:tc>
        <w:tc>
          <w:tcPr>
            <w:tcW w:w="5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6"/>
        </w:trPr>
        <w:tc>
          <w:tcPr>
            <w:tcW w:w="120" w:type="dxa"/>
            <w:vAlign w:val="bottom"/>
            <w:tcBorders>
              <w:right w:val="single" w:sz="8" w:color="auto"/>
            </w:tcBorders>
          </w:tcPr>
          <w:p>
            <w:pPr>
              <w:spacing w:after="0"/>
              <w:rPr>
                <w:sz w:val="14"/>
                <w:szCs w:val="14"/>
                <w:color w:val="auto"/>
              </w:rPr>
            </w:pPr>
          </w:p>
        </w:tc>
        <w:tc>
          <w:tcPr>
            <w:tcW w:w="44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460" w:type="dxa"/>
            <w:vAlign w:val="bottom"/>
            <w:tcBorders>
              <w:bottom w:val="single" w:sz="8" w:color="auto"/>
              <w:right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240" w:type="dxa"/>
            <w:vAlign w:val="bottom"/>
            <w:tcBorders>
              <w:bottom w:val="single" w:sz="8" w:color="auto"/>
            </w:tcBorders>
          </w:tcPr>
          <w:p>
            <w:pPr>
              <w:spacing w:after="0"/>
              <w:rPr>
                <w:sz w:val="14"/>
                <w:szCs w:val="14"/>
                <w:color w:val="auto"/>
              </w:rPr>
            </w:pPr>
          </w:p>
        </w:tc>
        <w:tc>
          <w:tcPr>
            <w:tcW w:w="1840" w:type="dxa"/>
            <w:vAlign w:val="bottom"/>
            <w:tcBorders>
              <w:bottom w:val="single" w:sz="8" w:color="auto"/>
              <w:right w:val="single" w:sz="8" w:color="auto"/>
            </w:tcBorders>
            <w:gridSpan w:val="3"/>
            <w:vMerge w:val="continue"/>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2120" w:type="dxa"/>
            <w:vAlign w:val="bottom"/>
            <w:tcBorders>
              <w:bottom w:val="single" w:sz="8" w:color="auto"/>
            </w:tcBorders>
          </w:tcPr>
          <w:p>
            <w:pPr>
              <w:spacing w:after="0"/>
              <w:rPr>
                <w:sz w:val="14"/>
                <w:szCs w:val="14"/>
                <w:color w:val="auto"/>
              </w:rPr>
            </w:pPr>
          </w:p>
        </w:tc>
        <w:tc>
          <w:tcPr>
            <w:tcW w:w="56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2"/>
        </w:trPr>
        <w:tc>
          <w:tcPr>
            <w:tcW w:w="12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460" w:type="dxa"/>
            <w:vAlign w:val="bottom"/>
            <w:tcBorders>
              <w:right w:val="single" w:sz="8" w:color="auto"/>
            </w:tcBorders>
            <w:gridSpan w:val="3"/>
            <w:vMerge w:val="restart"/>
          </w:tcPr>
          <w:p>
            <w:pPr>
              <w:jc w:val="center"/>
              <w:ind w:right="460"/>
              <w:spacing w:after="0"/>
              <w:rPr>
                <w:sz w:val="20"/>
                <w:szCs w:val="20"/>
                <w:color w:val="auto"/>
              </w:rPr>
            </w:pPr>
            <w:r>
              <w:rPr>
                <w:rFonts w:ascii="Calibri" w:cs="Calibri" w:eastAsia="Calibri" w:hAnsi="Calibri"/>
                <w:sz w:val="21"/>
                <w:szCs w:val="21"/>
                <w:color w:val="auto"/>
              </w:rPr>
              <w:t>Class II Constructor</w:t>
            </w:r>
          </w:p>
        </w:tc>
        <w:tc>
          <w:tcPr>
            <w:tcW w:w="180" w:type="dxa"/>
            <w:vAlign w:val="bottom"/>
            <w:tcBorders>
              <w:bottom w:val="single" w:sz="8" w:color="auto"/>
            </w:tcBorders>
          </w:tcPr>
          <w:p>
            <w:pPr>
              <w:spacing w:after="0"/>
              <w:rPr>
                <w:sz w:val="24"/>
                <w:szCs w:val="24"/>
                <w:color w:val="auto"/>
              </w:rPr>
            </w:pPr>
          </w:p>
        </w:tc>
        <w:tc>
          <w:tcPr>
            <w:tcW w:w="2080" w:type="dxa"/>
            <w:vAlign w:val="bottom"/>
            <w:tcBorders>
              <w:bottom w:val="single" w:sz="8" w:color="auto"/>
              <w:right w:val="single" w:sz="8" w:color="auto"/>
            </w:tcBorders>
            <w:gridSpan w:val="4"/>
          </w:tcPr>
          <w:p>
            <w:pPr>
              <w:jc w:val="center"/>
              <w:ind w:right="220"/>
              <w:spacing w:after="0"/>
              <w:rPr>
                <w:sz w:val="20"/>
                <w:szCs w:val="20"/>
                <w:color w:val="auto"/>
              </w:rPr>
            </w:pPr>
            <w:r>
              <w:rPr>
                <w:rFonts w:ascii="Calibri" w:cs="Calibri" w:eastAsia="Calibri" w:hAnsi="Calibri"/>
                <w:sz w:val="21"/>
                <w:szCs w:val="21"/>
                <w:color w:val="auto"/>
              </w:rPr>
              <w:t>Construction Works</w:t>
            </w:r>
          </w:p>
        </w:tc>
        <w:tc>
          <w:tcPr>
            <w:tcW w:w="420" w:type="dxa"/>
            <w:vAlign w:val="bottom"/>
            <w:tcBorders>
              <w:bottom w:val="single" w:sz="8" w:color="auto"/>
            </w:tcBorders>
          </w:tcPr>
          <w:p>
            <w:pPr>
              <w:spacing w:after="0"/>
              <w:rPr>
                <w:sz w:val="24"/>
                <w:szCs w:val="24"/>
                <w:color w:val="auto"/>
              </w:rPr>
            </w:pPr>
          </w:p>
        </w:tc>
        <w:tc>
          <w:tcPr>
            <w:tcW w:w="23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1"/>
                <w:szCs w:val="21"/>
                <w:color w:val="auto"/>
              </w:rPr>
              <w:t>1250</w:t>
            </w:r>
          </w:p>
        </w:tc>
        <w:tc>
          <w:tcPr>
            <w:tcW w:w="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120" w:type="dxa"/>
            <w:vAlign w:val="bottom"/>
            <w:tcBorders>
              <w:right w:val="single" w:sz="8" w:color="auto"/>
            </w:tcBorders>
          </w:tcPr>
          <w:p>
            <w:pPr>
              <w:spacing w:after="0"/>
              <w:rPr>
                <w:sz w:val="11"/>
                <w:szCs w:val="11"/>
                <w:color w:val="auto"/>
              </w:rPr>
            </w:pPr>
          </w:p>
        </w:tc>
        <w:tc>
          <w:tcPr>
            <w:tcW w:w="440" w:type="dxa"/>
            <w:vAlign w:val="bottom"/>
          </w:tcPr>
          <w:p>
            <w:pPr>
              <w:spacing w:after="0"/>
              <w:rPr>
                <w:sz w:val="11"/>
                <w:szCs w:val="11"/>
                <w:color w:val="auto"/>
              </w:rPr>
            </w:pPr>
          </w:p>
        </w:tc>
        <w:tc>
          <w:tcPr>
            <w:tcW w:w="2460" w:type="dxa"/>
            <w:vAlign w:val="bottom"/>
            <w:tcBorders>
              <w:right w:val="single" w:sz="8" w:color="auto"/>
            </w:tcBorders>
            <w:gridSpan w:val="3"/>
            <w:vMerge w:val="continue"/>
          </w:tcPr>
          <w:p>
            <w:pPr>
              <w:spacing w:after="0"/>
              <w:rPr>
                <w:sz w:val="11"/>
                <w:szCs w:val="11"/>
                <w:color w:val="auto"/>
              </w:rPr>
            </w:pPr>
          </w:p>
        </w:tc>
        <w:tc>
          <w:tcPr>
            <w:tcW w:w="180" w:type="dxa"/>
            <w:vAlign w:val="bottom"/>
          </w:tcPr>
          <w:p>
            <w:pPr>
              <w:spacing w:after="0"/>
              <w:rPr>
                <w:sz w:val="11"/>
                <w:szCs w:val="11"/>
                <w:color w:val="auto"/>
              </w:rPr>
            </w:pPr>
          </w:p>
        </w:tc>
        <w:tc>
          <w:tcPr>
            <w:tcW w:w="2080" w:type="dxa"/>
            <w:vAlign w:val="bottom"/>
            <w:tcBorders>
              <w:right w:val="single" w:sz="8" w:color="auto"/>
            </w:tcBorders>
            <w:gridSpan w:val="4"/>
            <w:vMerge w:val="restart"/>
          </w:tcPr>
          <w:p>
            <w:pPr>
              <w:jc w:val="center"/>
              <w:ind w:right="200"/>
              <w:spacing w:after="0"/>
              <w:rPr>
                <w:sz w:val="20"/>
                <w:szCs w:val="20"/>
                <w:color w:val="auto"/>
              </w:rPr>
            </w:pPr>
            <w:r>
              <w:rPr>
                <w:rFonts w:ascii="Calibri" w:cs="Calibri" w:eastAsia="Calibri" w:hAnsi="Calibri"/>
                <w:sz w:val="21"/>
                <w:szCs w:val="21"/>
                <w:color w:val="auto"/>
                <w:w w:val="99"/>
              </w:rPr>
              <w:t>Electromechanical</w:t>
            </w:r>
          </w:p>
        </w:tc>
        <w:tc>
          <w:tcPr>
            <w:tcW w:w="4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120" w:type="dxa"/>
            <w:vAlign w:val="bottom"/>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61"/>
        </w:trPr>
        <w:tc>
          <w:tcPr>
            <w:tcW w:w="120" w:type="dxa"/>
            <w:vAlign w:val="bottom"/>
            <w:tcBorders>
              <w:right w:val="single" w:sz="8" w:color="auto"/>
            </w:tcBorders>
          </w:tcPr>
          <w:p>
            <w:pPr>
              <w:spacing w:after="0"/>
              <w:rPr>
                <w:sz w:val="13"/>
                <w:szCs w:val="13"/>
                <w:color w:val="auto"/>
              </w:rPr>
            </w:pPr>
          </w:p>
        </w:tc>
        <w:tc>
          <w:tcPr>
            <w:tcW w:w="440" w:type="dxa"/>
            <w:vAlign w:val="bottom"/>
          </w:tcPr>
          <w:p>
            <w:pPr>
              <w:spacing w:after="0"/>
              <w:rPr>
                <w:sz w:val="13"/>
                <w:szCs w:val="13"/>
                <w:color w:val="auto"/>
              </w:rPr>
            </w:pPr>
          </w:p>
        </w:tc>
        <w:tc>
          <w:tcPr>
            <w:tcW w:w="2460" w:type="dxa"/>
            <w:vAlign w:val="bottom"/>
            <w:tcBorders>
              <w:right w:val="single" w:sz="8" w:color="auto"/>
            </w:tcBorders>
            <w:gridSpan w:val="3"/>
            <w:vMerge w:val="restart"/>
          </w:tcPr>
          <w:p>
            <w:pPr>
              <w:jc w:val="center"/>
              <w:ind w:right="460"/>
              <w:spacing w:after="0"/>
              <w:rPr>
                <w:sz w:val="20"/>
                <w:szCs w:val="20"/>
                <w:color w:val="auto"/>
              </w:rPr>
            </w:pPr>
            <w:r>
              <w:rPr>
                <w:rFonts w:ascii="Calibri" w:cs="Calibri" w:eastAsia="Calibri" w:hAnsi="Calibri"/>
                <w:sz w:val="21"/>
                <w:szCs w:val="21"/>
                <w:color w:val="auto"/>
                <w:w w:val="99"/>
              </w:rPr>
              <w:t>construction project</w:t>
            </w:r>
          </w:p>
        </w:tc>
        <w:tc>
          <w:tcPr>
            <w:tcW w:w="180" w:type="dxa"/>
            <w:vAlign w:val="bottom"/>
          </w:tcPr>
          <w:p>
            <w:pPr>
              <w:spacing w:after="0"/>
              <w:rPr>
                <w:sz w:val="13"/>
                <w:szCs w:val="13"/>
                <w:color w:val="auto"/>
              </w:rPr>
            </w:pPr>
          </w:p>
        </w:tc>
        <w:tc>
          <w:tcPr>
            <w:tcW w:w="2080" w:type="dxa"/>
            <w:vAlign w:val="bottom"/>
            <w:tcBorders>
              <w:right w:val="single" w:sz="8" w:color="auto"/>
            </w:tcBorders>
            <w:gridSpan w:val="4"/>
            <w:vMerge w:val="continue"/>
          </w:tcPr>
          <w:p>
            <w:pPr>
              <w:spacing w:after="0"/>
              <w:rPr>
                <w:sz w:val="13"/>
                <w:szCs w:val="13"/>
                <w:color w:val="auto"/>
              </w:rPr>
            </w:pPr>
          </w:p>
        </w:tc>
        <w:tc>
          <w:tcPr>
            <w:tcW w:w="420" w:type="dxa"/>
            <w:vAlign w:val="bottom"/>
          </w:tcPr>
          <w:p>
            <w:pPr>
              <w:spacing w:after="0"/>
              <w:rPr>
                <w:sz w:val="13"/>
                <w:szCs w:val="13"/>
                <w:color w:val="auto"/>
              </w:rPr>
            </w:pPr>
          </w:p>
        </w:tc>
        <w:tc>
          <w:tcPr>
            <w:tcW w:w="2300" w:type="dxa"/>
            <w:vAlign w:val="bottom"/>
            <w:gridSpan w:val="3"/>
            <w:vMerge w:val="restart"/>
          </w:tcPr>
          <w:p>
            <w:pPr>
              <w:jc w:val="center"/>
              <w:spacing w:after="0"/>
              <w:rPr>
                <w:sz w:val="20"/>
                <w:szCs w:val="20"/>
                <w:color w:val="auto"/>
              </w:rPr>
            </w:pPr>
            <w:r>
              <w:rPr>
                <w:rFonts w:ascii="Calibri" w:cs="Calibri" w:eastAsia="Calibri" w:hAnsi="Calibri"/>
                <w:sz w:val="21"/>
                <w:szCs w:val="21"/>
                <w:color w:val="auto"/>
              </w:rPr>
              <w:t>2000</w:t>
            </w:r>
          </w:p>
        </w:tc>
        <w:tc>
          <w:tcPr>
            <w:tcW w:w="5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20" w:type="dxa"/>
            <w:vAlign w:val="bottom"/>
            <w:tcBorders>
              <w:right w:val="single" w:sz="8" w:color="auto"/>
            </w:tcBorders>
          </w:tcPr>
          <w:p>
            <w:pPr>
              <w:spacing w:after="0"/>
              <w:rPr>
                <w:sz w:val="13"/>
                <w:szCs w:val="13"/>
                <w:color w:val="auto"/>
              </w:rPr>
            </w:pPr>
          </w:p>
        </w:tc>
        <w:tc>
          <w:tcPr>
            <w:tcW w:w="440" w:type="dxa"/>
            <w:vAlign w:val="bottom"/>
          </w:tcPr>
          <w:p>
            <w:pPr>
              <w:spacing w:after="0"/>
              <w:rPr>
                <w:sz w:val="13"/>
                <w:szCs w:val="13"/>
                <w:color w:val="auto"/>
              </w:rPr>
            </w:pPr>
          </w:p>
        </w:tc>
        <w:tc>
          <w:tcPr>
            <w:tcW w:w="2460" w:type="dxa"/>
            <w:vAlign w:val="bottom"/>
            <w:tcBorders>
              <w:right w:val="single" w:sz="8" w:color="auto"/>
            </w:tcBorders>
            <w:gridSpan w:val="3"/>
            <w:vMerge w:val="continue"/>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40" w:type="dxa"/>
            <w:vAlign w:val="bottom"/>
            <w:tcBorders>
              <w:right w:val="single" w:sz="8" w:color="auto"/>
            </w:tcBorders>
            <w:gridSpan w:val="3"/>
            <w:vMerge w:val="restart"/>
          </w:tcPr>
          <w:p>
            <w:pPr>
              <w:jc w:val="center"/>
              <w:ind w:right="460"/>
              <w:spacing w:after="0"/>
              <w:rPr>
                <w:sz w:val="20"/>
                <w:szCs w:val="20"/>
                <w:color w:val="auto"/>
              </w:rPr>
            </w:pPr>
            <w:r>
              <w:rPr>
                <w:rFonts w:ascii="Calibri" w:cs="Calibri" w:eastAsia="Calibri" w:hAnsi="Calibri"/>
                <w:sz w:val="21"/>
                <w:szCs w:val="21"/>
                <w:color w:val="auto"/>
              </w:rPr>
              <w:t>Engineering</w:t>
            </w:r>
          </w:p>
        </w:tc>
        <w:tc>
          <w:tcPr>
            <w:tcW w:w="420" w:type="dxa"/>
            <w:vAlign w:val="bottom"/>
          </w:tcPr>
          <w:p>
            <w:pPr>
              <w:spacing w:after="0"/>
              <w:rPr>
                <w:sz w:val="13"/>
                <w:szCs w:val="13"/>
                <w:color w:val="auto"/>
              </w:rPr>
            </w:pPr>
          </w:p>
        </w:tc>
        <w:tc>
          <w:tcPr>
            <w:tcW w:w="2300" w:type="dxa"/>
            <w:vAlign w:val="bottom"/>
            <w:gridSpan w:val="3"/>
            <w:vMerge w:val="continue"/>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20" w:type="dxa"/>
            <w:vAlign w:val="bottom"/>
            <w:tcBorders>
              <w:right w:val="single" w:sz="8" w:color="auto"/>
            </w:tcBorders>
          </w:tcPr>
          <w:p>
            <w:pPr>
              <w:spacing w:after="0"/>
              <w:rPr>
                <w:sz w:val="13"/>
                <w:szCs w:val="13"/>
                <w:color w:val="auto"/>
              </w:rPr>
            </w:pPr>
          </w:p>
        </w:tc>
        <w:tc>
          <w:tcPr>
            <w:tcW w:w="44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60" w:type="dxa"/>
            <w:vAlign w:val="bottom"/>
            <w:tcBorders>
              <w:right w:val="single" w:sz="8" w:color="auto"/>
            </w:tcBorders>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40" w:type="dxa"/>
            <w:vAlign w:val="bottom"/>
            <w:tcBorders>
              <w:right w:val="single" w:sz="8" w:color="auto"/>
            </w:tcBorders>
            <w:gridSpan w:val="3"/>
            <w:vMerge w:val="continue"/>
          </w:tcPr>
          <w:p>
            <w:pPr>
              <w:spacing w:after="0"/>
              <w:rPr>
                <w:sz w:val="13"/>
                <w:szCs w:val="13"/>
                <w:color w:val="auto"/>
              </w:rPr>
            </w:pP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120" w:type="dxa"/>
            <w:vAlign w:val="bottom"/>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120" w:type="dxa"/>
            <w:vAlign w:val="bottom"/>
            <w:tcBorders>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2460" w:type="dxa"/>
            <w:vAlign w:val="bottom"/>
            <w:tcBorders>
              <w:bottom w:val="single" w:sz="8" w:color="auto"/>
              <w:right w:val="single" w:sz="8" w:color="auto"/>
            </w:tcBorders>
            <w:gridSpan w:val="3"/>
          </w:tcPr>
          <w:p>
            <w:pPr>
              <w:spacing w:after="0" w:line="20" w:lineRule="exact"/>
              <w:rPr>
                <w:sz w:val="1"/>
                <w:szCs w:val="1"/>
                <w:color w:val="auto"/>
              </w:rPr>
            </w:pPr>
          </w:p>
        </w:tc>
        <w:tc>
          <w:tcPr>
            <w:tcW w:w="2260" w:type="dxa"/>
            <w:vAlign w:val="bottom"/>
            <w:tcBorders>
              <w:bottom w:val="single" w:sz="8" w:color="auto"/>
              <w:right w:val="single" w:sz="8" w:color="auto"/>
            </w:tcBorders>
            <w:gridSpan w:val="5"/>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230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1"/>
        </w:trPr>
        <w:tc>
          <w:tcPr>
            <w:tcW w:w="12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720" w:type="dxa"/>
            <w:vAlign w:val="bottom"/>
            <w:tcBorders>
              <w:right w:val="single" w:sz="8" w:color="auto"/>
            </w:tcBorders>
            <w:gridSpan w:val="8"/>
          </w:tcPr>
          <w:p>
            <w:pPr>
              <w:jc w:val="center"/>
              <w:ind w:right="460"/>
              <w:spacing w:after="0"/>
              <w:rPr>
                <w:sz w:val="20"/>
                <w:szCs w:val="20"/>
                <w:color w:val="auto"/>
              </w:rPr>
            </w:pPr>
            <w:r>
              <w:rPr>
                <w:rFonts w:ascii="Calibri" w:cs="Calibri" w:eastAsia="Calibri" w:hAnsi="Calibri"/>
                <w:sz w:val="21"/>
                <w:szCs w:val="21"/>
                <w:color w:val="auto"/>
              </w:rPr>
              <w:t>Senior Engineer (Construction)</w:t>
            </w:r>
          </w:p>
        </w:tc>
        <w:tc>
          <w:tcPr>
            <w:tcW w:w="420" w:type="dxa"/>
            <w:vAlign w:val="bottom"/>
          </w:tcPr>
          <w:p>
            <w:pPr>
              <w:spacing w:after="0"/>
              <w:rPr>
                <w:sz w:val="24"/>
                <w:szCs w:val="24"/>
                <w:color w:val="auto"/>
              </w:rPr>
            </w:pPr>
          </w:p>
        </w:tc>
        <w:tc>
          <w:tcPr>
            <w:tcW w:w="2300" w:type="dxa"/>
            <w:vAlign w:val="bottom"/>
            <w:gridSpan w:val="3"/>
          </w:tcPr>
          <w:p>
            <w:pPr>
              <w:jc w:val="center"/>
              <w:spacing w:after="0"/>
              <w:rPr>
                <w:sz w:val="20"/>
                <w:szCs w:val="20"/>
                <w:color w:val="auto"/>
              </w:rPr>
            </w:pPr>
            <w:r>
              <w:rPr>
                <w:rFonts w:ascii="Calibri" w:cs="Calibri" w:eastAsia="Calibri" w:hAnsi="Calibri"/>
                <w:sz w:val="21"/>
                <w:szCs w:val="21"/>
                <w:color w:val="auto"/>
              </w:rPr>
              <w:t>1000</w:t>
            </w:r>
          </w:p>
        </w:tc>
        <w:tc>
          <w:tcPr>
            <w:tcW w:w="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120" w:type="dxa"/>
            <w:vAlign w:val="bottom"/>
            <w:tcBorders>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2460" w:type="dxa"/>
            <w:vAlign w:val="bottom"/>
            <w:tcBorders>
              <w:bottom w:val="single" w:sz="8" w:color="auto"/>
            </w:tcBorders>
            <w:gridSpan w:val="3"/>
          </w:tcPr>
          <w:p>
            <w:pPr>
              <w:spacing w:after="0" w:line="20" w:lineRule="exact"/>
              <w:rPr>
                <w:sz w:val="1"/>
                <w:szCs w:val="1"/>
                <w:color w:val="auto"/>
              </w:rPr>
            </w:pPr>
          </w:p>
        </w:tc>
        <w:tc>
          <w:tcPr>
            <w:tcW w:w="2260" w:type="dxa"/>
            <w:vAlign w:val="bottom"/>
            <w:tcBorders>
              <w:bottom w:val="single" w:sz="8" w:color="auto"/>
              <w:right w:val="single" w:sz="8" w:color="auto"/>
            </w:tcBorders>
            <w:gridSpan w:val="5"/>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2300" w:type="dxa"/>
            <w:vAlign w:val="bottom"/>
            <w:tcBorders>
              <w:bottom w:val="single" w:sz="8" w:color="auto"/>
            </w:tcBorders>
            <w:gridSpan w:val="3"/>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1"/>
        </w:trPr>
        <w:tc>
          <w:tcPr>
            <w:tcW w:w="12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720" w:type="dxa"/>
            <w:vAlign w:val="bottom"/>
            <w:tcBorders>
              <w:right w:val="single" w:sz="8" w:color="auto"/>
            </w:tcBorders>
            <w:gridSpan w:val="8"/>
          </w:tcPr>
          <w:p>
            <w:pPr>
              <w:jc w:val="center"/>
              <w:ind w:right="460"/>
              <w:spacing w:after="0"/>
              <w:rPr>
                <w:sz w:val="20"/>
                <w:szCs w:val="20"/>
                <w:color w:val="auto"/>
              </w:rPr>
            </w:pPr>
            <w:r>
              <w:rPr>
                <w:rFonts w:ascii="Calibri" w:cs="Calibri" w:eastAsia="Calibri" w:hAnsi="Calibri"/>
                <w:sz w:val="21"/>
                <w:szCs w:val="21"/>
                <w:color w:val="auto"/>
                <w:w w:val="99"/>
              </w:rPr>
              <w:t>Intermediate Engineer (Architectural Art)</w:t>
            </w:r>
          </w:p>
        </w:tc>
        <w:tc>
          <w:tcPr>
            <w:tcW w:w="420" w:type="dxa"/>
            <w:vAlign w:val="bottom"/>
          </w:tcPr>
          <w:p>
            <w:pPr>
              <w:spacing w:after="0"/>
              <w:rPr>
                <w:sz w:val="24"/>
                <w:szCs w:val="24"/>
                <w:color w:val="auto"/>
              </w:rPr>
            </w:pPr>
          </w:p>
        </w:tc>
        <w:tc>
          <w:tcPr>
            <w:tcW w:w="2300" w:type="dxa"/>
            <w:vAlign w:val="bottom"/>
            <w:gridSpan w:val="3"/>
          </w:tcPr>
          <w:p>
            <w:pPr>
              <w:jc w:val="center"/>
              <w:spacing w:after="0"/>
              <w:rPr>
                <w:sz w:val="20"/>
                <w:szCs w:val="20"/>
                <w:color w:val="auto"/>
              </w:rPr>
            </w:pPr>
            <w:r>
              <w:rPr>
                <w:rFonts w:ascii="Calibri" w:cs="Calibri" w:eastAsia="Calibri" w:hAnsi="Calibri"/>
                <w:sz w:val="21"/>
                <w:szCs w:val="21"/>
                <w:color w:val="auto"/>
              </w:rPr>
              <w:t>700</w:t>
            </w:r>
          </w:p>
        </w:tc>
        <w:tc>
          <w:tcPr>
            <w:tcW w:w="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120" w:type="dxa"/>
            <w:vAlign w:val="bottom"/>
            <w:tcBorders>
              <w:right w:val="single" w:sz="8" w:color="auto"/>
            </w:tcBorders>
          </w:tcPr>
          <w:p>
            <w:pPr>
              <w:spacing w:after="0" w:line="20" w:lineRule="exact"/>
              <w:rPr>
                <w:sz w:val="1"/>
                <w:szCs w:val="1"/>
                <w:color w:val="auto"/>
              </w:rPr>
            </w:pPr>
          </w:p>
        </w:tc>
        <w:tc>
          <w:tcPr>
            <w:tcW w:w="2900" w:type="dxa"/>
            <w:vAlign w:val="bottom"/>
            <w:tcBorders>
              <w:bottom w:val="single" w:sz="8" w:color="auto"/>
            </w:tcBorders>
            <w:gridSpan w:val="4"/>
          </w:tcPr>
          <w:p>
            <w:pPr>
              <w:spacing w:after="0" w:line="20" w:lineRule="exact"/>
              <w:rPr>
                <w:sz w:val="1"/>
                <w:szCs w:val="1"/>
                <w:color w:val="auto"/>
              </w:rPr>
            </w:pPr>
          </w:p>
        </w:tc>
        <w:tc>
          <w:tcPr>
            <w:tcW w:w="2260" w:type="dxa"/>
            <w:vAlign w:val="bottom"/>
            <w:tcBorders>
              <w:bottom w:val="single" w:sz="8" w:color="auto"/>
              <w:right w:val="single" w:sz="8" w:color="auto"/>
            </w:tcBorders>
            <w:gridSpan w:val="5"/>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12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3"/>
        </w:trPr>
        <w:tc>
          <w:tcPr>
            <w:tcW w:w="120" w:type="dxa"/>
            <w:vAlign w:val="bottom"/>
            <w:tcBorders>
              <w:right w:val="single" w:sz="8" w:color="auto"/>
            </w:tcBorders>
          </w:tcPr>
          <w:p>
            <w:pPr>
              <w:spacing w:after="0"/>
              <w:rPr>
                <w:sz w:val="24"/>
                <w:szCs w:val="24"/>
                <w:color w:val="auto"/>
              </w:rPr>
            </w:pPr>
          </w:p>
        </w:tc>
        <w:tc>
          <w:tcPr>
            <w:tcW w:w="5160" w:type="dxa"/>
            <w:vAlign w:val="bottom"/>
            <w:tcBorders>
              <w:right w:val="single" w:sz="8" w:color="auto"/>
            </w:tcBorders>
            <w:gridSpan w:val="9"/>
          </w:tcPr>
          <w:p>
            <w:pPr>
              <w:jc w:val="center"/>
              <w:ind w:right="20"/>
              <w:spacing w:after="0"/>
              <w:rPr>
                <w:sz w:val="20"/>
                <w:szCs w:val="20"/>
                <w:color w:val="auto"/>
              </w:rPr>
            </w:pPr>
            <w:r>
              <w:rPr>
                <w:rFonts w:ascii="Calibri" w:cs="Calibri" w:eastAsia="Calibri" w:hAnsi="Calibri"/>
                <w:sz w:val="21"/>
                <w:szCs w:val="21"/>
                <w:color w:val="auto"/>
                <w:w w:val="99"/>
              </w:rPr>
              <w:t>Intermediate Engineer (Water supply and Drainage,</w:t>
            </w:r>
          </w:p>
        </w:tc>
        <w:tc>
          <w:tcPr>
            <w:tcW w:w="420" w:type="dxa"/>
            <w:vAlign w:val="bottom"/>
          </w:tcPr>
          <w:p>
            <w:pPr>
              <w:spacing w:after="0"/>
              <w:rPr>
                <w:sz w:val="24"/>
                <w:szCs w:val="24"/>
                <w:color w:val="auto"/>
              </w:rPr>
            </w:pPr>
          </w:p>
        </w:tc>
        <w:tc>
          <w:tcPr>
            <w:tcW w:w="2300" w:type="dxa"/>
            <w:vAlign w:val="bottom"/>
            <w:gridSpan w:val="3"/>
            <w:vMerge w:val="restart"/>
          </w:tcPr>
          <w:p>
            <w:pPr>
              <w:jc w:val="center"/>
              <w:spacing w:after="0"/>
              <w:rPr>
                <w:sz w:val="20"/>
                <w:szCs w:val="20"/>
                <w:color w:val="auto"/>
              </w:rPr>
            </w:pPr>
            <w:r>
              <w:rPr>
                <w:rFonts w:ascii="Calibri" w:cs="Calibri" w:eastAsia="Calibri" w:hAnsi="Calibri"/>
                <w:sz w:val="21"/>
                <w:szCs w:val="21"/>
                <w:color w:val="auto"/>
              </w:rPr>
              <w:t>600</w:t>
            </w:r>
          </w:p>
        </w:tc>
        <w:tc>
          <w:tcPr>
            <w:tcW w:w="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56"/>
        </w:trPr>
        <w:tc>
          <w:tcPr>
            <w:tcW w:w="120" w:type="dxa"/>
            <w:vAlign w:val="bottom"/>
            <w:tcBorders>
              <w:right w:val="single" w:sz="8" w:color="auto"/>
            </w:tcBorders>
          </w:tcPr>
          <w:p>
            <w:pPr>
              <w:spacing w:after="0"/>
              <w:rPr>
                <w:sz w:val="13"/>
                <w:szCs w:val="13"/>
                <w:color w:val="auto"/>
              </w:rPr>
            </w:pPr>
          </w:p>
        </w:tc>
        <w:tc>
          <w:tcPr>
            <w:tcW w:w="44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1260" w:type="dxa"/>
            <w:vAlign w:val="bottom"/>
            <w:gridSpan w:val="3"/>
            <w:vMerge w:val="restart"/>
          </w:tcPr>
          <w:p>
            <w:pPr>
              <w:jc w:val="center"/>
              <w:ind w:left="136"/>
              <w:spacing w:after="0"/>
              <w:rPr>
                <w:sz w:val="20"/>
                <w:szCs w:val="20"/>
                <w:color w:val="auto"/>
              </w:rPr>
            </w:pPr>
            <w:r>
              <w:rPr>
                <w:rFonts w:ascii="Calibri" w:cs="Calibri" w:eastAsia="Calibri" w:hAnsi="Calibri"/>
                <w:sz w:val="21"/>
                <w:szCs w:val="21"/>
                <w:color w:val="auto"/>
                <w:w w:val="99"/>
              </w:rPr>
              <w:t>plumbing)</w:t>
            </w:r>
          </w:p>
        </w:tc>
        <w:tc>
          <w:tcPr>
            <w:tcW w:w="2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420" w:type="dxa"/>
            <w:vAlign w:val="bottom"/>
          </w:tcPr>
          <w:p>
            <w:pPr>
              <w:spacing w:after="0"/>
              <w:rPr>
                <w:sz w:val="13"/>
                <w:szCs w:val="13"/>
                <w:color w:val="auto"/>
              </w:rPr>
            </w:pPr>
          </w:p>
        </w:tc>
        <w:tc>
          <w:tcPr>
            <w:tcW w:w="2300" w:type="dxa"/>
            <w:vAlign w:val="bottom"/>
            <w:gridSpan w:val="3"/>
            <w:vMerge w:val="continue"/>
          </w:tcPr>
          <w:p>
            <w:pPr>
              <w:spacing w:after="0"/>
              <w:rPr>
                <w:sz w:val="13"/>
                <w:szCs w:val="13"/>
                <w:color w:val="auto"/>
              </w:rPr>
            </w:pPr>
          </w:p>
        </w:tc>
        <w:tc>
          <w:tcPr>
            <w:tcW w:w="5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5"/>
        </w:trPr>
        <w:tc>
          <w:tcPr>
            <w:tcW w:w="120" w:type="dxa"/>
            <w:vAlign w:val="bottom"/>
            <w:tcBorders>
              <w:right w:val="single" w:sz="8" w:color="auto"/>
            </w:tcBorders>
          </w:tcPr>
          <w:p>
            <w:pPr>
              <w:spacing w:after="0"/>
              <w:rPr>
                <w:sz w:val="14"/>
                <w:szCs w:val="14"/>
                <w:color w:val="auto"/>
              </w:rPr>
            </w:pPr>
          </w:p>
        </w:tc>
        <w:tc>
          <w:tcPr>
            <w:tcW w:w="44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260" w:type="dxa"/>
            <w:vAlign w:val="bottom"/>
            <w:tcBorders>
              <w:bottom w:val="single" w:sz="8" w:color="auto"/>
            </w:tcBorders>
            <w:gridSpan w:val="3"/>
            <w:vMerge w:val="continue"/>
          </w:tcPr>
          <w:p>
            <w:pPr>
              <w:spacing w:after="0"/>
              <w:rPr>
                <w:sz w:val="14"/>
                <w:szCs w:val="14"/>
                <w:color w:val="auto"/>
              </w:rPr>
            </w:pPr>
          </w:p>
        </w:tc>
        <w:tc>
          <w:tcPr>
            <w:tcW w:w="240" w:type="dxa"/>
            <w:vAlign w:val="bottom"/>
            <w:tcBorders>
              <w:bottom w:val="single" w:sz="8" w:color="auto"/>
            </w:tcBorders>
          </w:tcPr>
          <w:p>
            <w:pPr>
              <w:spacing w:after="0"/>
              <w:rPr>
                <w:sz w:val="14"/>
                <w:szCs w:val="14"/>
                <w:color w:val="auto"/>
              </w:rPr>
            </w:pPr>
          </w:p>
        </w:tc>
        <w:tc>
          <w:tcPr>
            <w:tcW w:w="480" w:type="dxa"/>
            <w:vAlign w:val="bottom"/>
            <w:tcBorders>
              <w:bottom w:val="single" w:sz="8" w:color="auto"/>
            </w:tcBorders>
          </w:tcPr>
          <w:p>
            <w:pPr>
              <w:spacing w:after="0"/>
              <w:rPr>
                <w:sz w:val="14"/>
                <w:szCs w:val="14"/>
                <w:color w:val="auto"/>
              </w:rPr>
            </w:pPr>
          </w:p>
        </w:tc>
        <w:tc>
          <w:tcPr>
            <w:tcW w:w="820" w:type="dxa"/>
            <w:vAlign w:val="bottom"/>
            <w:tcBorders>
              <w:bottom w:val="single" w:sz="8" w:color="auto"/>
            </w:tcBorders>
          </w:tcPr>
          <w:p>
            <w:pPr>
              <w:spacing w:after="0"/>
              <w:rPr>
                <w:sz w:val="14"/>
                <w:szCs w:val="14"/>
                <w:color w:val="auto"/>
              </w:rPr>
            </w:pPr>
          </w:p>
        </w:tc>
        <w:tc>
          <w:tcPr>
            <w:tcW w:w="540" w:type="dxa"/>
            <w:vAlign w:val="bottom"/>
            <w:tcBorders>
              <w:bottom w:val="single" w:sz="8" w:color="auto"/>
              <w:right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2120" w:type="dxa"/>
            <w:vAlign w:val="bottom"/>
            <w:tcBorders>
              <w:bottom w:val="single" w:sz="8" w:color="auto"/>
            </w:tcBorders>
          </w:tcPr>
          <w:p>
            <w:pPr>
              <w:spacing w:after="0"/>
              <w:rPr>
                <w:sz w:val="14"/>
                <w:szCs w:val="14"/>
                <w:color w:val="auto"/>
              </w:rPr>
            </w:pPr>
          </w:p>
        </w:tc>
        <w:tc>
          <w:tcPr>
            <w:tcW w:w="56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2"/>
        </w:trPr>
        <w:tc>
          <w:tcPr>
            <w:tcW w:w="120" w:type="dxa"/>
            <w:vAlign w:val="bottom"/>
            <w:tcBorders>
              <w:right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4720" w:type="dxa"/>
            <w:vAlign w:val="bottom"/>
            <w:tcBorders>
              <w:bottom w:val="single" w:sz="8" w:color="auto"/>
              <w:right w:val="single" w:sz="8" w:color="auto"/>
            </w:tcBorders>
            <w:gridSpan w:val="8"/>
          </w:tcPr>
          <w:p>
            <w:pPr>
              <w:jc w:val="center"/>
              <w:ind w:right="460"/>
              <w:spacing w:after="0"/>
              <w:rPr>
                <w:sz w:val="20"/>
                <w:szCs w:val="20"/>
                <w:color w:val="auto"/>
              </w:rPr>
            </w:pPr>
            <w:r>
              <w:rPr>
                <w:rFonts w:ascii="Calibri" w:cs="Calibri" w:eastAsia="Calibri" w:hAnsi="Calibri"/>
                <w:sz w:val="21"/>
                <w:szCs w:val="21"/>
                <w:color w:val="auto"/>
              </w:rPr>
              <w:t>Intermediate Engineer (Structural)</w:t>
            </w:r>
          </w:p>
        </w:tc>
        <w:tc>
          <w:tcPr>
            <w:tcW w:w="420" w:type="dxa"/>
            <w:vAlign w:val="bottom"/>
            <w:tcBorders>
              <w:bottom w:val="single" w:sz="8" w:color="auto"/>
            </w:tcBorders>
          </w:tcPr>
          <w:p>
            <w:pPr>
              <w:spacing w:after="0"/>
              <w:rPr>
                <w:sz w:val="24"/>
                <w:szCs w:val="24"/>
                <w:color w:val="auto"/>
              </w:rPr>
            </w:pPr>
          </w:p>
        </w:tc>
        <w:tc>
          <w:tcPr>
            <w:tcW w:w="23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1"/>
                <w:szCs w:val="21"/>
                <w:color w:val="auto"/>
              </w:rPr>
              <w:t>600</w:t>
            </w:r>
          </w:p>
        </w:tc>
        <w:tc>
          <w:tcPr>
            <w:tcW w:w="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120" w:type="dxa"/>
            <w:vAlign w:val="bottom"/>
            <w:tcBorders>
              <w:right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4720" w:type="dxa"/>
            <w:vAlign w:val="bottom"/>
            <w:tcBorders>
              <w:bottom w:val="single" w:sz="8" w:color="auto"/>
              <w:right w:val="single" w:sz="8" w:color="auto"/>
            </w:tcBorders>
            <w:gridSpan w:val="8"/>
          </w:tcPr>
          <w:p>
            <w:pPr>
              <w:jc w:val="center"/>
              <w:ind w:right="460"/>
              <w:spacing w:after="0"/>
              <w:rPr>
                <w:sz w:val="20"/>
                <w:szCs w:val="20"/>
                <w:color w:val="auto"/>
              </w:rPr>
            </w:pPr>
            <w:r>
              <w:rPr>
                <w:rFonts w:ascii="Calibri" w:cs="Calibri" w:eastAsia="Calibri" w:hAnsi="Calibri"/>
                <w:sz w:val="21"/>
                <w:szCs w:val="21"/>
                <w:color w:val="auto"/>
                <w:w w:val="99"/>
              </w:rPr>
              <w:t>Intermediate Engineer (Electrical)</w:t>
            </w:r>
          </w:p>
        </w:tc>
        <w:tc>
          <w:tcPr>
            <w:tcW w:w="420" w:type="dxa"/>
            <w:vAlign w:val="bottom"/>
            <w:tcBorders>
              <w:bottom w:val="single" w:sz="8" w:color="auto"/>
            </w:tcBorders>
          </w:tcPr>
          <w:p>
            <w:pPr>
              <w:spacing w:after="0"/>
              <w:rPr>
                <w:sz w:val="24"/>
                <w:szCs w:val="24"/>
                <w:color w:val="auto"/>
              </w:rPr>
            </w:pPr>
          </w:p>
        </w:tc>
        <w:tc>
          <w:tcPr>
            <w:tcW w:w="23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1"/>
                <w:szCs w:val="21"/>
                <w:color w:val="auto"/>
              </w:rPr>
              <w:t>600</w:t>
            </w:r>
          </w:p>
        </w:tc>
        <w:tc>
          <w:tcPr>
            <w:tcW w:w="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14"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Note: If there are two certificates at the same time (construction and electrical engineering), the total subsidy: Construction Engineering Certificate subsidy *100%+ Electrical Engineering Certificate subsidy *50%. Only a single certificate, no hanging on the project, no certificate subsidies. For detailed rules, refer to the "Measures for the Administration of Employee Practicing Qualification/Professional Title Certificate".</w:t>
      </w:r>
    </w:p>
    <w:p>
      <w:pPr>
        <w:spacing w:after="0" w:line="28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4. Health Check-up: Available after one year of employment</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5.Supplementary Medical: Available after two years of employment</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14</w:t>
      </w:r>
    </w:p>
    <w:p>
      <w:pPr>
        <w:sectPr>
          <w:pgSz w:w="11900" w:h="16838" w:orient="portrait"/>
          <w:cols w:equalWidth="0" w:num="1">
            <w:col w:w="9026"/>
          </w:cols>
          <w:pgMar w:left="1440" w:top="1440" w:right="1440" w:bottom="447" w:gutter="0" w:footer="0" w:header="0"/>
          <w:type w:val="continuous"/>
        </w:sectPr>
      </w:pPr>
    </w:p>
    <w:bookmarkStart w:id="14" w:name="page15"/>
    <w:bookmarkEnd w:id="14"/>
    <w:p>
      <w:pPr>
        <w:spacing w:after="0" w:line="117"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7 Rewards and Disciplinary Penalties</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Rewards</w:t>
      </w:r>
    </w:p>
    <w:p>
      <w:pPr>
        <w:spacing w:after="0" w:line="3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The company encourages progress and advocates that employees love their jobs, take responsibility, have an innovative spirit and a sense of dedication, and identify with the company's business philosophy and corporate culture. Employees are encouraged to actively participate in operations and make suggestions. If the suggestions bring benefits to the company, outstanding employees will be rewarded by the company after application by the direct supervisor and the Human Resources Center and approval by the General Manager.</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In addition, to encourage non-sales position employees with resources and sales channels to participate in revenue generation for the company, the "Universal Sales and Lease Incentive Method" has been formulated.</w:t>
      </w:r>
    </w:p>
    <w:p>
      <w:pPr>
        <w:jc w:val="both"/>
        <w:ind w:left="360" w:right="366"/>
        <w:spacing w:after="0" w:line="312" w:lineRule="auto"/>
        <w:rPr>
          <w:sz w:val="20"/>
          <w:szCs w:val="20"/>
          <w:color w:val="auto"/>
        </w:rPr>
      </w:pPr>
      <w:r>
        <w:rPr>
          <w:rFonts w:ascii="Calibri" w:cs="Calibri" w:eastAsia="Calibri" w:hAnsi="Calibri"/>
          <w:sz w:val="21"/>
          <w:szCs w:val="21"/>
          <w:color w:val="auto"/>
        </w:rPr>
        <w:t>The company may set different reward methods for different awards, such as conferring honorary titles, issuing bonuses, awarding prizes, etc.</w:t>
      </w:r>
    </w:p>
    <w:p>
      <w:pPr>
        <w:spacing w:after="0" w:line="24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Disciplinary Penalties</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1.Disciplinary Offenses</w:t>
      </w:r>
    </w:p>
    <w:p>
      <w:pPr>
        <w:spacing w:after="0" w:line="368"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Disciplinary offenses by employees refer to actions that violate laws and regulations, company management systems, work discipline, operating procedures, and behavioral norms, which may or have already caused damage to the company. The company classifies disciplinary offenses into three levels based on their nature, severity, impact, and consequences: Level One disciplinary offenses, Level Two disciplinary offenses, and Level Three disciplinary offenses (serious violations of company regulations).</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(1)Level One disciplinary offenses include but are not limited to:</w:t>
      </w:r>
    </w:p>
    <w:p>
      <w:pPr>
        <w:spacing w:after="0" w:line="368"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Leaving the post without permission or engaging in activities unrelated to work during working hours (such as chatting, sleeping, playing games, reading materials unrelated to work, handling personal affairs, etc.);</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Using company facilities and equipment (including company telephones, vehicles) for purposes unrelated to work;</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Engaging in uncivilized behaviors such as littering, spitting, mistreating office area animals, smoking in no-smoking areas, etc.;</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Entering restricted areas without permission or bringing non-employees into the company or relevant workplaces without authorization;</w:t>
      </w:r>
    </w:p>
    <w:p>
      <w:pPr>
        <w:spacing w:after="0" w:line="269" w:lineRule="exact"/>
        <w:rPr>
          <w:sz w:val="20"/>
          <w:szCs w:val="20"/>
          <w:color w:val="auto"/>
        </w:rPr>
      </w:pPr>
    </w:p>
    <w:p>
      <w:pPr>
        <w:jc w:val="center"/>
        <w:ind w:right="6"/>
        <w:spacing w:after="0"/>
        <w:rPr>
          <w:sz w:val="20"/>
          <w:szCs w:val="20"/>
          <w:color w:val="auto"/>
        </w:rPr>
      </w:pPr>
      <w:r>
        <w:rPr>
          <w:rFonts w:ascii="Calibri" w:cs="Calibri" w:eastAsia="Calibri" w:hAnsi="Calibri"/>
          <w:sz w:val="21"/>
          <w:szCs w:val="21"/>
          <w:color w:val="auto"/>
        </w:rPr>
        <w:t>Failing to complete tasks assigned by the company within 24 hours after the deadline (except for</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15</w:t>
      </w:r>
    </w:p>
    <w:p>
      <w:pPr>
        <w:sectPr>
          <w:pgSz w:w="11900" w:h="16838" w:orient="portrait"/>
          <w:cols w:equalWidth="0" w:num="1">
            <w:col w:w="9026"/>
          </w:cols>
          <w:pgMar w:left="1440" w:top="1440" w:right="1440" w:bottom="447" w:gutter="0" w:footer="0" w:header="0"/>
          <w:type w:val="continuous"/>
        </w:sectPr>
      </w:pPr>
    </w:p>
    <w:bookmarkStart w:id="15" w:name="page16"/>
    <w:bookmarkEnd w:id="15"/>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uncontrollable factors);</w:t>
      </w:r>
    </w:p>
    <w:p>
      <w:pPr>
        <w:spacing w:after="0" w:line="368"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Providing incorrect data or information to the company one or more times (excluding non-human factors), or submitting information without review and approval;</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Violating departmental or job operating procedures, work requirements, or disobeying management or work arrangements;</w:t>
      </w:r>
    </w:p>
    <w:p>
      <w:pPr>
        <w:spacing w:after="0" w:line="269"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Engaging in behaviors that may lead to the leakage of company information (including but not limited to: forgetting company materials, files, and carriers such as notebook computers recording such materials and files in public places, taxis, and other places where they should not be stored; discussing company information that is not allowed to be disclosed in public places, etc.), or inquiring about confidential information not within one's job responsibilities (such as others' salaries, etc.);</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Sending personal express packages in the company;</w:t>
      </w:r>
    </w:p>
    <w:p>
      <w:pPr>
        <w:spacing w:after="0" w:line="36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(2)Level Two disciplinary offenses include but are not limited to:</w:t>
      </w:r>
    </w:p>
    <w:p>
      <w:pPr>
        <w:spacing w:after="0" w:line="368"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Failing to properly keep company materials or information (including employee information, various original records, bills, receipts, or documents), including but not limited to unauthorized copying, destruction, abuse, etc.;</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Spreading rumors, undermining unity, maliciously attacking or slandering colleagues, or causing disputes;</w:t>
      </w:r>
    </w:p>
    <w:p>
      <w:pPr>
        <w:spacing w:after="0" w:line="269"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Using company resources (including but not limited to: facilities, equipment, materials, information, customer or potential customer resources, social relations, business reputation, etc.) for personal gain (for oneself or others);</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Privately duplicating or lending access cards or other company identification documents, accounts to unauthorized personnel;</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Engaging in, advising, or investing in businesses or companies that are the same as, similar to, or in competition with the company, regardless of whether income or benefits are obtained;</w:t>
      </w:r>
    </w:p>
    <w:p>
      <w:pPr>
        <w:spacing w:after="0" w:line="269"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Representing the company in public activities without permission, or conducting examinations, negotiations, signings, bidding, auctions, etc., or making written or oral commitments to customers and business-related units, or providing guarantees, proofs, or engaging in business activities beyond one's job and authority;</w:t>
      </w:r>
    </w:p>
    <w:p>
      <w:pPr>
        <w:spacing w:after="0" w:line="287"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Having relatives or in-laws working in the company without disclosing to the Human Resources Center in the first instance; in principle, relatives or in-laws are not allowed to work in the same team.</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16</w:t>
      </w:r>
    </w:p>
    <w:p>
      <w:pPr>
        <w:sectPr>
          <w:pgSz w:w="11900" w:h="16838" w:orient="portrait"/>
          <w:cols w:equalWidth="0" w:num="1">
            <w:col w:w="9026"/>
          </w:cols>
          <w:pgMar w:left="1440" w:top="1440" w:right="1440" w:bottom="447" w:gutter="0" w:footer="0" w:header="0"/>
          <w:type w:val="continuous"/>
        </w:sectPr>
      </w:pPr>
    </w:p>
    <w:bookmarkStart w:id="16" w:name="page17"/>
    <w:bookmarkEnd w:id="16"/>
    <w:p>
      <w:pPr>
        <w:spacing w:after="0" w:line="32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Clocking in at non-work locations once.</w:t>
      </w:r>
    </w:p>
    <w:p>
      <w:pPr>
        <w:spacing w:after="0" w:line="368"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(3)Level Three disciplinary offenses (serious violations of company regulations) include but are not limited to:</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Being continuously late or leaving early three times in a month, or a cumulative total of ten times or more in twelve months;</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Accumulating two days or two instances of absence without leave in a month, or a cumulative total of four days or four instances (inclusive) or more in twelve months;</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Causing at least one department in the company to be unable to work normally for eight hours;</w:t>
      </w:r>
    </w:p>
    <w:p>
      <w:pPr>
        <w:spacing w:after="0" w:line="368"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Leading to the termination of cooperation with customers or business partners or causing the company to be held legally liable;</w:t>
      </w:r>
    </w:p>
    <w:p>
      <w:pPr>
        <w:spacing w:after="0" w:line="269"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Except for fulfilling work duties and for the benefit of the company, making, using, or lending company blank contracts, papers or documents stamped with the company seal or bearing the company logo without authorization;</w:t>
      </w:r>
    </w:p>
    <w:p>
      <w:pPr>
        <w:spacing w:after="0" w:line="2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Affecting the normal management order of the company (such as causing panic among employees);</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Causing negative impacts on the company's reputation, industry status, technical capabilities, social evaluation, and other intangible assets.</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Engaging in theft, fraud, embezzlement, bribery, corruption, commercial bribery, infringement, dereliction of duty, and other illegal activities;</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Employees profiting from their positions (regardless of the amount);</w:t>
      </w:r>
    </w:p>
    <w:p>
      <w:pPr>
        <w:spacing w:after="0" w:line="36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Working part-time for a third-party entity without permission;</w:t>
      </w:r>
    </w:p>
    <w:p>
      <w:pPr>
        <w:spacing w:after="0" w:line="368"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Deceiving the company (including but not limited to submitting false leave applications or supporting documents; falsifying attendance, assessments, expense reimbursements; submitting false job application materials or personal information; concealing accident situations or potential hazards; submitting company data and reports that are intentionally inaccurate; concealing the fact of having a non-compete obligation with other competing entities, etc.), or engaging in dishonest behaviors such as forging or stealing company seals or documents;</w:t>
      </w:r>
    </w:p>
    <w:p>
      <w:pPr>
        <w:spacing w:after="0" w:line="287"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Employees leaving their posts without submitting a resignation application, or leaving without approval after submitting a resignation application, or leaving before completing the offboarding procedures.</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17</w:t>
      </w:r>
    </w:p>
    <w:p>
      <w:pPr>
        <w:sectPr>
          <w:pgSz w:w="11900" w:h="16838" w:orient="portrait"/>
          <w:cols w:equalWidth="0" w:num="1">
            <w:col w:w="9026"/>
          </w:cols>
          <w:pgMar w:left="1440" w:top="1440" w:right="1440" w:bottom="447" w:gutter="0" w:footer="0" w:header="0"/>
          <w:type w:val="continuous"/>
        </w:sectPr>
      </w:pPr>
    </w:p>
    <w:bookmarkStart w:id="17" w:name="page18"/>
    <w:bookmarkEnd w:id="17"/>
    <w:p>
      <w:pPr>
        <w:spacing w:after="0" w:line="32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2.Penalty Methods</w:t>
      </w:r>
    </w:p>
    <w:p>
      <w:pPr>
        <w:spacing w:after="0" w:line="368"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The company may impose different punitive measures based on the impact of the disciplinary offense, including verbal warnings, written warnings, financial penalties, and termination of the labor contract.</w:t>
      </w:r>
    </w:p>
    <w:p>
      <w:pPr>
        <w:spacing w:after="0" w:line="246" w:lineRule="exact"/>
        <w:rPr>
          <w:sz w:val="20"/>
          <w:szCs w:val="20"/>
          <w:color w:val="auto"/>
        </w:rPr>
      </w:pPr>
    </w:p>
    <w:tbl>
      <w:tblPr>
        <w:tblLayout w:type="fixed"/>
        <w:tblInd w:w="350" w:type="dxa"/>
        <w:tblCellMar>
          <w:top w:w="0" w:type="dxa"/>
          <w:left w:w="0" w:type="dxa"/>
          <w:bottom w:w="0" w:type="dxa"/>
          <w:right w:w="0" w:type="dxa"/>
        </w:tblCellMar>
      </w:tblPr>
      <w:tr>
        <w:trPr>
          <w:trHeight w:val="303"/>
        </w:trPr>
        <w:tc>
          <w:tcPr>
            <w:tcW w:w="1300" w:type="dxa"/>
            <w:vAlign w:val="bottom"/>
            <w:tcBorders>
              <w:top w:val="single" w:sz="8" w:color="auto"/>
              <w:left w:val="single" w:sz="8" w:color="auto"/>
              <w:right w:val="single" w:sz="8" w:color="auto"/>
            </w:tcBorders>
          </w:tcPr>
          <w:p>
            <w:pPr>
              <w:jc w:val="center"/>
              <w:spacing w:after="0"/>
              <w:rPr>
                <w:sz w:val="20"/>
                <w:szCs w:val="20"/>
                <w:color w:val="auto"/>
              </w:rPr>
            </w:pPr>
            <w:r>
              <w:rPr>
                <w:rFonts w:ascii="Calibri" w:cs="Calibri" w:eastAsia="Calibri" w:hAnsi="Calibri"/>
                <w:sz w:val="21"/>
                <w:szCs w:val="21"/>
                <w:color w:val="auto"/>
                <w:w w:val="99"/>
              </w:rPr>
              <w:t>Disciplinary</w:t>
            </w:r>
          </w:p>
        </w:tc>
        <w:tc>
          <w:tcPr>
            <w:tcW w:w="26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8"/>
              </w:rPr>
              <w:t>First Occurrence</w:t>
            </w:r>
          </w:p>
        </w:tc>
        <w:tc>
          <w:tcPr>
            <w:tcW w:w="268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Second Occurrence</w:t>
            </w:r>
          </w:p>
        </w:tc>
        <w:tc>
          <w:tcPr>
            <w:tcW w:w="18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Third Occurrence</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6"/>
              </w:rPr>
              <w:t>Type</w:t>
            </w:r>
          </w:p>
        </w:tc>
        <w:tc>
          <w:tcPr>
            <w:tcW w:w="2660" w:type="dxa"/>
            <w:vAlign w:val="bottom"/>
            <w:tcBorders>
              <w:right w:val="single" w:sz="8" w:color="auto"/>
            </w:tcBorders>
            <w:vMerge w:val="continue"/>
          </w:tcPr>
          <w:p>
            <w:pPr>
              <w:spacing w:after="0"/>
              <w:rPr>
                <w:sz w:val="13"/>
                <w:szCs w:val="13"/>
                <w:color w:val="auto"/>
              </w:rPr>
            </w:pPr>
          </w:p>
        </w:tc>
        <w:tc>
          <w:tcPr>
            <w:tcW w:w="268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continue"/>
          </w:tcPr>
          <w:p>
            <w:pPr>
              <w:spacing w:after="0"/>
              <w:rPr>
                <w:sz w:val="13"/>
                <w:szCs w:val="13"/>
                <w:color w:val="auto"/>
              </w:rPr>
            </w:pPr>
          </w:p>
        </w:tc>
        <w:tc>
          <w:tcPr>
            <w:tcW w:w="2660" w:type="dxa"/>
            <w:vAlign w:val="bottom"/>
            <w:tcBorders>
              <w:right w:val="single" w:sz="8" w:color="auto"/>
            </w:tcBorders>
          </w:tcPr>
          <w:p>
            <w:pPr>
              <w:spacing w:after="0"/>
              <w:rPr>
                <w:sz w:val="13"/>
                <w:szCs w:val="13"/>
                <w:color w:val="auto"/>
              </w:rPr>
            </w:pPr>
          </w:p>
        </w:tc>
        <w:tc>
          <w:tcPr>
            <w:tcW w:w="2680" w:type="dxa"/>
            <w:vAlign w:val="bottom"/>
            <w:tcBorders>
              <w:right w:val="single" w:sz="8" w:color="auto"/>
            </w:tcBorders>
          </w:tcPr>
          <w:p>
            <w:pPr>
              <w:spacing w:after="0"/>
              <w:rPr>
                <w:sz w:val="13"/>
                <w:szCs w:val="13"/>
                <w:color w:val="auto"/>
              </w:rPr>
            </w:pPr>
          </w:p>
        </w:tc>
        <w:tc>
          <w:tcPr>
            <w:tcW w:w="18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331"/>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68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130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Level One</w:t>
            </w:r>
          </w:p>
        </w:tc>
        <w:tc>
          <w:tcPr>
            <w:tcW w:w="266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8"/>
              </w:rPr>
              <w:t>Verbal communication and</w:t>
            </w:r>
          </w:p>
        </w:tc>
        <w:tc>
          <w:tcPr>
            <w:tcW w:w="268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8"/>
              </w:rPr>
              <w:t>Written warning letter</w:t>
            </w:r>
          </w:p>
        </w:tc>
        <w:tc>
          <w:tcPr>
            <w:tcW w:w="180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rPr>
              <w:t>5% of monthly</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continue"/>
          </w:tcPr>
          <w:p>
            <w:pPr>
              <w:spacing w:after="0"/>
              <w:rPr>
                <w:sz w:val="13"/>
                <w:szCs w:val="13"/>
                <w:color w:val="auto"/>
              </w:rPr>
            </w:pPr>
          </w:p>
        </w:tc>
        <w:tc>
          <w:tcPr>
            <w:tcW w:w="26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written/email warning by</w:t>
            </w:r>
          </w:p>
        </w:tc>
        <w:tc>
          <w:tcPr>
            <w:tcW w:w="26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issued by the Human</w:t>
            </w:r>
          </w:p>
        </w:tc>
        <w:tc>
          <w:tcPr>
            <w:tcW w:w="18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salary per</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Disciplinary</w:t>
            </w:r>
          </w:p>
        </w:tc>
        <w:tc>
          <w:tcPr>
            <w:tcW w:w="2660" w:type="dxa"/>
            <w:vAlign w:val="bottom"/>
            <w:tcBorders>
              <w:right w:val="single" w:sz="8" w:color="auto"/>
            </w:tcBorders>
            <w:vMerge w:val="continue"/>
          </w:tcPr>
          <w:p>
            <w:pPr>
              <w:spacing w:after="0"/>
              <w:rPr>
                <w:sz w:val="13"/>
                <w:szCs w:val="13"/>
                <w:color w:val="auto"/>
              </w:rPr>
            </w:pPr>
          </w:p>
        </w:tc>
        <w:tc>
          <w:tcPr>
            <w:tcW w:w="268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continue"/>
          </w:tcPr>
          <w:p>
            <w:pPr>
              <w:spacing w:after="0"/>
              <w:rPr>
                <w:sz w:val="13"/>
                <w:szCs w:val="13"/>
                <w:color w:val="auto"/>
              </w:rPr>
            </w:pPr>
          </w:p>
        </w:tc>
        <w:tc>
          <w:tcPr>
            <w:tcW w:w="26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the direct supervisor</w:t>
            </w:r>
          </w:p>
        </w:tc>
        <w:tc>
          <w:tcPr>
            <w:tcW w:w="26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Resources Center</w:t>
            </w:r>
          </w:p>
        </w:tc>
        <w:tc>
          <w:tcPr>
            <w:tcW w:w="18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occurrence</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tcPr>
          <w:p>
            <w:pPr>
              <w:spacing w:after="0"/>
              <w:rPr>
                <w:sz w:val="13"/>
                <w:szCs w:val="13"/>
                <w:color w:val="auto"/>
              </w:rPr>
            </w:pPr>
          </w:p>
        </w:tc>
        <w:tc>
          <w:tcPr>
            <w:tcW w:w="2660" w:type="dxa"/>
            <w:vAlign w:val="bottom"/>
            <w:tcBorders>
              <w:right w:val="single" w:sz="8" w:color="auto"/>
            </w:tcBorders>
            <w:vMerge w:val="continue"/>
          </w:tcPr>
          <w:p>
            <w:pPr>
              <w:spacing w:after="0"/>
              <w:rPr>
                <w:sz w:val="13"/>
                <w:szCs w:val="13"/>
                <w:color w:val="auto"/>
              </w:rPr>
            </w:pPr>
          </w:p>
        </w:tc>
        <w:tc>
          <w:tcPr>
            <w:tcW w:w="268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32"/>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68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130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Two</w:t>
            </w:r>
          </w:p>
        </w:tc>
        <w:tc>
          <w:tcPr>
            <w:tcW w:w="266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8"/>
              </w:rPr>
              <w:t>Verbal communication and</w:t>
            </w:r>
          </w:p>
        </w:tc>
        <w:tc>
          <w:tcPr>
            <w:tcW w:w="268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8"/>
              </w:rPr>
              <w:t>Written warning letter</w:t>
            </w:r>
          </w:p>
        </w:tc>
        <w:tc>
          <w:tcPr>
            <w:tcW w:w="180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9"/>
              </w:rPr>
              <w:t>10% of monthly</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continue"/>
          </w:tcPr>
          <w:p>
            <w:pPr>
              <w:spacing w:after="0"/>
              <w:rPr>
                <w:sz w:val="13"/>
                <w:szCs w:val="13"/>
                <w:color w:val="auto"/>
              </w:rPr>
            </w:pPr>
          </w:p>
        </w:tc>
        <w:tc>
          <w:tcPr>
            <w:tcW w:w="26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written/email warning by</w:t>
            </w:r>
          </w:p>
        </w:tc>
        <w:tc>
          <w:tcPr>
            <w:tcW w:w="26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issued by the Human</w:t>
            </w:r>
          </w:p>
        </w:tc>
        <w:tc>
          <w:tcPr>
            <w:tcW w:w="18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salary per</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Disciplinary</w:t>
            </w:r>
          </w:p>
        </w:tc>
        <w:tc>
          <w:tcPr>
            <w:tcW w:w="2660" w:type="dxa"/>
            <w:vAlign w:val="bottom"/>
            <w:tcBorders>
              <w:right w:val="single" w:sz="8" w:color="auto"/>
            </w:tcBorders>
            <w:vMerge w:val="continue"/>
          </w:tcPr>
          <w:p>
            <w:pPr>
              <w:spacing w:after="0"/>
              <w:rPr>
                <w:sz w:val="13"/>
                <w:szCs w:val="13"/>
                <w:color w:val="auto"/>
              </w:rPr>
            </w:pPr>
          </w:p>
        </w:tc>
        <w:tc>
          <w:tcPr>
            <w:tcW w:w="268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vMerge w:val="continue"/>
          </w:tcPr>
          <w:p>
            <w:pPr>
              <w:spacing w:after="0"/>
              <w:rPr>
                <w:sz w:val="13"/>
                <w:szCs w:val="13"/>
                <w:color w:val="auto"/>
              </w:rPr>
            </w:pPr>
          </w:p>
        </w:tc>
        <w:tc>
          <w:tcPr>
            <w:tcW w:w="26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the direct supervisor</w:t>
            </w:r>
          </w:p>
        </w:tc>
        <w:tc>
          <w:tcPr>
            <w:tcW w:w="26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w w:val="99"/>
              </w:rPr>
              <w:t>Resources Center</w:t>
            </w:r>
          </w:p>
        </w:tc>
        <w:tc>
          <w:tcPr>
            <w:tcW w:w="18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1"/>
                <w:szCs w:val="21"/>
                <w:color w:val="auto"/>
              </w:rPr>
              <w:t>occurrence</w:t>
            </w:r>
          </w:p>
        </w:tc>
        <w:tc>
          <w:tcPr>
            <w:tcW w:w="0" w:type="dxa"/>
            <w:vAlign w:val="bottom"/>
          </w:tcPr>
          <w:p>
            <w:pPr>
              <w:spacing w:after="0"/>
              <w:rPr>
                <w:sz w:val="1"/>
                <w:szCs w:val="1"/>
                <w:color w:val="auto"/>
              </w:rPr>
            </w:pPr>
          </w:p>
        </w:tc>
      </w:tr>
      <w:tr>
        <w:trPr>
          <w:trHeight w:val="156"/>
        </w:trPr>
        <w:tc>
          <w:tcPr>
            <w:tcW w:w="1300" w:type="dxa"/>
            <w:vAlign w:val="bottom"/>
            <w:tcBorders>
              <w:left w:val="single" w:sz="8" w:color="auto"/>
              <w:right w:val="single" w:sz="8" w:color="auto"/>
            </w:tcBorders>
          </w:tcPr>
          <w:p>
            <w:pPr>
              <w:spacing w:after="0"/>
              <w:rPr>
                <w:sz w:val="13"/>
                <w:szCs w:val="13"/>
                <w:color w:val="auto"/>
              </w:rPr>
            </w:pPr>
          </w:p>
        </w:tc>
        <w:tc>
          <w:tcPr>
            <w:tcW w:w="2660" w:type="dxa"/>
            <w:vAlign w:val="bottom"/>
            <w:tcBorders>
              <w:right w:val="single" w:sz="8" w:color="auto"/>
            </w:tcBorders>
            <w:vMerge w:val="continue"/>
          </w:tcPr>
          <w:p>
            <w:pPr>
              <w:spacing w:after="0"/>
              <w:rPr>
                <w:sz w:val="13"/>
                <w:szCs w:val="13"/>
                <w:color w:val="auto"/>
              </w:rPr>
            </w:pPr>
          </w:p>
        </w:tc>
        <w:tc>
          <w:tcPr>
            <w:tcW w:w="268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32"/>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68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1"/>
                <w:szCs w:val="21"/>
                <w:color w:val="auto"/>
                <w:w w:val="97"/>
              </w:rPr>
              <w:t>Level Three</w:t>
            </w:r>
          </w:p>
        </w:tc>
        <w:tc>
          <w:tcPr>
            <w:tcW w:w="266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9"/>
              </w:rPr>
              <w:t>Direct termination without</w:t>
            </w:r>
          </w:p>
        </w:tc>
        <w:tc>
          <w:tcPr>
            <w:tcW w:w="268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13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1"/>
                <w:szCs w:val="21"/>
                <w:color w:val="auto"/>
                <w:w w:val="99"/>
              </w:rPr>
              <w:t>Disciplinary</w:t>
            </w:r>
          </w:p>
        </w:tc>
        <w:tc>
          <w:tcPr>
            <w:tcW w:w="2660" w:type="dxa"/>
            <w:vAlign w:val="bottom"/>
            <w:tcBorders>
              <w:right w:val="single" w:sz="8" w:color="auto"/>
            </w:tcBorders>
          </w:tcPr>
          <w:p>
            <w:pPr>
              <w:jc w:val="center"/>
              <w:spacing w:after="0"/>
              <w:rPr>
                <w:sz w:val="20"/>
                <w:szCs w:val="20"/>
                <w:color w:val="auto"/>
              </w:rPr>
            </w:pPr>
            <w:r>
              <w:rPr>
                <w:rFonts w:ascii="Calibri" w:cs="Calibri" w:eastAsia="Calibri" w:hAnsi="Calibri"/>
                <w:sz w:val="21"/>
                <w:szCs w:val="21"/>
                <w:color w:val="auto"/>
                <w:w w:val="99"/>
              </w:rPr>
              <w:t>economic compensation</w:t>
            </w:r>
          </w:p>
        </w:tc>
        <w:tc>
          <w:tcPr>
            <w:tcW w:w="2680" w:type="dxa"/>
            <w:vAlign w:val="bottom"/>
            <w:tcBorders>
              <w:right w:val="single" w:sz="8" w:color="auto"/>
            </w:tcBorders>
          </w:tcPr>
          <w:p>
            <w:pPr>
              <w:jc w:val="center"/>
              <w:spacing w:after="0" w:line="251" w:lineRule="exact"/>
              <w:rPr>
                <w:sz w:val="20"/>
                <w:szCs w:val="20"/>
                <w:color w:val="auto"/>
              </w:rPr>
            </w:pPr>
            <w:r>
              <w:rPr>
                <w:rFonts w:ascii="SimSun" w:cs="SimSun" w:eastAsia="SimSun" w:hAnsi="SimSun"/>
                <w:sz w:val="22"/>
                <w:szCs w:val="22"/>
                <w:color w:val="auto"/>
              </w:rPr>
              <w:t>-</w:t>
            </w:r>
          </w:p>
        </w:tc>
        <w:tc>
          <w:tcPr>
            <w:tcW w:w="1800" w:type="dxa"/>
            <w:vAlign w:val="bottom"/>
            <w:tcBorders>
              <w:right w:val="single" w:sz="8" w:color="auto"/>
            </w:tcBorders>
          </w:tcPr>
          <w:p>
            <w:pPr>
              <w:jc w:val="center"/>
              <w:spacing w:after="0" w:line="251" w:lineRule="exact"/>
              <w:rPr>
                <w:sz w:val="20"/>
                <w:szCs w:val="20"/>
                <w:color w:val="auto"/>
              </w:rPr>
            </w:pPr>
            <w:r>
              <w:rPr>
                <w:rFonts w:ascii="SimSun" w:cs="SimSun" w:eastAsia="SimSun" w:hAnsi="SimSun"/>
                <w:sz w:val="22"/>
                <w:szCs w:val="22"/>
                <w:color w:val="auto"/>
              </w:rPr>
              <w:t>-</w:t>
            </w:r>
          </w:p>
        </w:tc>
        <w:tc>
          <w:tcPr>
            <w:tcW w:w="0" w:type="dxa"/>
            <w:vAlign w:val="bottom"/>
          </w:tcPr>
          <w:p>
            <w:pPr>
              <w:spacing w:after="0"/>
              <w:rPr>
                <w:sz w:val="1"/>
                <w:szCs w:val="1"/>
                <w:color w:val="auto"/>
              </w:rPr>
            </w:pPr>
          </w:p>
        </w:tc>
      </w:tr>
      <w:tr>
        <w:trPr>
          <w:trHeight w:val="333"/>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68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(1)For Level One disciplinary offenses, Level Two disciplinary offenses, and Level Three disciplinary offenses, the first occurrence will result in verbal communication and a written/email warning from the direct supervisor. The second occurrence will result in a written warning letter issued by the Human Resources Center (without the need for management authorization). The third occurrence will result in a financial penalty of 5% or 10% of the monthly salary, depending on the severity of the situation.</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(2)The person responsible for a Level One disciplinary offense will bear the penalty for that offense; the person responsible for a Level Two disciplinary offense or a Level Three serious disciplinary offense will bear the corresponding penalty, and their superior will bear corresponding management liability based on the actual situation.</w:t>
      </w:r>
    </w:p>
    <w:p>
      <w:pPr>
        <w:jc w:val="both"/>
        <w:ind w:left="360" w:right="366"/>
        <w:spacing w:after="0" w:line="292" w:lineRule="auto"/>
        <w:rPr>
          <w:sz w:val="20"/>
          <w:szCs w:val="20"/>
          <w:color w:val="auto"/>
        </w:rPr>
      </w:pPr>
      <w:r>
        <w:rPr>
          <w:rFonts w:ascii="Calibri" w:cs="Calibri" w:eastAsia="Calibri" w:hAnsi="Calibri"/>
          <w:sz w:val="21"/>
          <w:szCs w:val="21"/>
          <w:color w:val="auto"/>
        </w:rPr>
        <w:t>(3)If an employee's disciplinary offense causes economic or reputational damage to the company, the employee shall compensate the company for the losses. The employee will bear 40% of the loss amount, and the direct supervisor and department will bear 60% of the loss amount. The company has the right to directly deduct the corresponding compensation from the employee's labor remuneration or other payments due to the employee. The penalty can be calculated monthly based on the severity of the employee's disciplinary offense, with a maximum deduction of half of the monthly salary each time.</w:t>
      </w:r>
    </w:p>
    <w:p>
      <w:pPr>
        <w:spacing w:after="0" w:line="1"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(4)If the company fails to penalize an employee for a disciplinary offense in a timely manner, it does not mean that the company has waived its right to penalize. The company may exercise its penalty rights at any time in accordance with this method.</w:t>
      </w:r>
    </w:p>
    <w:p>
      <w:pPr>
        <w:jc w:val="center"/>
        <w:ind w:right="6"/>
        <w:spacing w:after="0"/>
        <w:rPr>
          <w:sz w:val="20"/>
          <w:szCs w:val="20"/>
          <w:color w:val="auto"/>
        </w:rPr>
      </w:pPr>
      <w:r>
        <w:rPr>
          <w:rFonts w:ascii="Calibri" w:cs="Calibri" w:eastAsia="Calibri" w:hAnsi="Calibri"/>
          <w:sz w:val="21"/>
          <w:szCs w:val="21"/>
          <w:color w:val="auto"/>
        </w:rPr>
        <w:t>(5)For the above financial penalties, if an employee is unable to bear them in the short term,</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39"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18</w:t>
      </w:r>
    </w:p>
    <w:p>
      <w:pPr>
        <w:sectPr>
          <w:pgSz w:w="11900" w:h="16838" w:orient="portrait"/>
          <w:cols w:equalWidth="0" w:num="1">
            <w:col w:w="9026"/>
          </w:cols>
          <w:pgMar w:left="1440" w:top="1440" w:right="1440" w:bottom="447" w:gutter="0" w:footer="0" w:header="0"/>
          <w:type w:val="continuous"/>
        </w:sectPr>
      </w:pPr>
    </w:p>
    <w:bookmarkStart w:id="18" w:name="page19"/>
    <w:bookmarkEnd w:id="18"/>
    <w:p>
      <w:pPr>
        <w:spacing w:after="0" w:line="15"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they may apply to the Human Resources Department for policy exemption. The application will be reviewed based on specific circumstances, and additional work responsibilities may be used as an alternative form of compensation.</w:t>
      </w:r>
    </w:p>
    <w:p>
      <w:pPr>
        <w:spacing w:after="0" w:line="383"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8 Employee Code of Conduct</w:t>
      </w:r>
    </w:p>
    <w:p>
      <w:pPr>
        <w:spacing w:after="0" w:line="200" w:lineRule="exact"/>
        <w:rPr>
          <w:sz w:val="20"/>
          <w:szCs w:val="20"/>
          <w:color w:val="auto"/>
        </w:rPr>
      </w:pPr>
    </w:p>
    <w:p>
      <w:pPr>
        <w:spacing w:after="0" w:line="266"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Daily Etiquette</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1.Dress Code</w:t>
      </w:r>
    </w:p>
    <w:p>
      <w:pPr>
        <w:spacing w:after="0" w:line="56" w:lineRule="exact"/>
        <w:rPr>
          <w:sz w:val="20"/>
          <w:szCs w:val="20"/>
          <w:color w:val="auto"/>
        </w:rPr>
      </w:pPr>
    </w:p>
    <w:p>
      <w:pPr>
        <w:jc w:val="both"/>
        <w:ind w:left="360" w:right="366"/>
        <w:spacing w:after="0" w:line="296" w:lineRule="auto"/>
        <w:rPr>
          <w:sz w:val="20"/>
          <w:szCs w:val="20"/>
          <w:color w:val="auto"/>
        </w:rPr>
      </w:pPr>
      <w:r>
        <w:rPr>
          <w:rFonts w:ascii="Calibri" w:cs="Calibri" w:eastAsia="Calibri" w:hAnsi="Calibri"/>
          <w:sz w:val="21"/>
          <w:szCs w:val="21"/>
          <w:color w:val="auto"/>
        </w:rPr>
        <w:t>Employees should wear appropriate attire in suitable occasions, especially during internal and external activities, and follow the dress code requirements of the event. To maintain a professional office image, all employees should pay attention to the coordination of their attire. Employees' clothing should be neat, beautiful, dignified, and elegant. Wearing clothing that damages the office image, such as spaghetti straps, shorts, mini-skirts, flip-flops, etc., is prohibited.</w:t>
      </w:r>
    </w:p>
    <w:p>
      <w:pPr>
        <w:spacing w:after="0" w:line="287"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2.Interpersonal Relations</w:t>
      </w:r>
    </w:p>
    <w:p>
      <w:pPr>
        <w:spacing w:after="0" w:line="56"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Front desk and other service positions should be patient when receiving customers and answering inquiries, and follow basic reception etiquette.</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3.Elevator Use</w:t>
      </w:r>
    </w:p>
    <w:p>
      <w:pPr>
        <w:spacing w:after="0" w:line="56"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When the elevator is crowded, priority should be given to external customers for the use of the passenger elevator; transporting garbage and cleaning items is prohibited in the passenger elevator.</w:t>
      </w:r>
    </w:p>
    <w:p>
      <w:pPr>
        <w:spacing w:after="0" w:line="280"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4.Office Environment</w:t>
      </w:r>
    </w:p>
    <w:p>
      <w:pPr>
        <w:spacing w:after="0" w:line="56"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Maintain a clean and tidy daily office desk and office environment. Establish an energy-saving awareness and use air conditioning reasonably. Each employee has the responsibility and obligation to ensure that personal computers, screens, and other electrical devices are turned off when leaving the office.</w:t>
      </w:r>
    </w:p>
    <w:p>
      <w:pPr>
        <w:spacing w:after="0" w:line="261"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Confidentiality Requirements</w:t>
      </w:r>
    </w:p>
    <w:p>
      <w:pPr>
        <w:spacing w:after="0" w:line="356" w:lineRule="exact"/>
        <w:rPr>
          <w:sz w:val="20"/>
          <w:szCs w:val="20"/>
          <w:color w:val="auto"/>
        </w:rPr>
      </w:pPr>
    </w:p>
    <w:p>
      <w:pPr>
        <w:jc w:val="both"/>
        <w:ind w:left="360" w:right="366"/>
        <w:spacing w:after="0" w:line="306" w:lineRule="exact"/>
        <w:rPr>
          <w:sz w:val="20"/>
          <w:szCs w:val="20"/>
          <w:color w:val="auto"/>
        </w:rPr>
      </w:pPr>
      <w:r>
        <w:rPr>
          <w:rFonts w:ascii="Calibri" w:cs="Calibri" w:eastAsia="Calibri" w:hAnsi="Calibri"/>
          <w:sz w:val="21"/>
          <w:szCs w:val="21"/>
          <w:color w:val="auto"/>
        </w:rPr>
        <w:t>During the employment period, employees should minimize contact with the company's confidential information unless it is necessary for the performance of their duties. Employees have the responsibility to keep the company's confidential information and strictly</w:t>
      </w:r>
      <w:r>
        <w:rPr>
          <w:rFonts w:ascii="SimSun" w:cs="SimSun" w:eastAsia="SimSun" w:hAnsi="SimSun"/>
          <w:sz w:val="21"/>
          <w:szCs w:val="21"/>
          <w:color w:val="auto"/>
        </w:rPr>
        <w:t xml:space="preserve"> 遵守</w:t>
      </w:r>
      <w:r>
        <w:rPr>
          <w:rFonts w:ascii="Calibri" w:cs="Calibri" w:eastAsia="Calibri" w:hAnsi="Calibri"/>
          <w:sz w:val="21"/>
          <w:szCs w:val="21"/>
          <w:color w:val="auto"/>
        </w:rPr>
        <w:t xml:space="preserve"> the company's confidentiality regulations and systems. For situations not explicitly stipulated, employees should act with caution and honesty and take necessary and reasonable measures to maintain the confidentiality of the information.</w:t>
      </w:r>
    </w:p>
    <w:p>
      <w:pPr>
        <w:spacing w:after="0" w:line="40"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Unless it is for the performance of duties or as required by law, employees shall not disclose, inform, publish, transfer, or otherwise make the company's confidential information known to third parties, or use the company's confidential information for purposes other than the performance of their duties.</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11"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19</w:t>
      </w:r>
    </w:p>
    <w:p>
      <w:pPr>
        <w:sectPr>
          <w:pgSz w:w="11900" w:h="16838" w:orient="portrait"/>
          <w:cols w:equalWidth="0" w:num="1">
            <w:col w:w="9026"/>
          </w:cols>
          <w:pgMar w:left="1440" w:top="1440" w:right="1440" w:bottom="447" w:gutter="0" w:footer="0" w:header="0"/>
          <w:type w:val="continuous"/>
        </w:sectPr>
      </w:pPr>
    </w:p>
    <w:bookmarkStart w:id="19" w:name="page20"/>
    <w:bookmarkEnd w:id="19"/>
    <w:p>
      <w:pPr>
        <w:spacing w:after="0" w:line="15" w:lineRule="exact"/>
        <w:rPr>
          <w:sz w:val="20"/>
          <w:szCs w:val="20"/>
          <w:color w:val="auto"/>
        </w:rPr>
      </w:pPr>
    </w:p>
    <w:p>
      <w:pPr>
        <w:jc w:val="both"/>
        <w:ind w:left="360" w:right="366"/>
        <w:spacing w:after="0" w:line="295" w:lineRule="auto"/>
        <w:rPr>
          <w:sz w:val="20"/>
          <w:szCs w:val="20"/>
          <w:color w:val="auto"/>
        </w:rPr>
      </w:pPr>
      <w:r>
        <w:rPr>
          <w:rFonts w:ascii="Calibri" w:cs="Calibri" w:eastAsia="Calibri" w:hAnsi="Calibri"/>
          <w:sz w:val="21"/>
          <w:szCs w:val="21"/>
          <w:color w:val="auto"/>
        </w:rPr>
        <w:t>The obligation of confidentiality starts from the day the employee joins and continues to be effective after the termination of the labor relationship. After the termination of the labor relationship, employees must return all documents and materials (including copies) containing or involving the company's confidential information to the company. Any confidential information held by the employee in any form (such as tapes and computer disks) should also be returned or completely erased. For confidentiality upon leaving: The company reserves the right to pursue any financial losses caused by the leakage of information such as company procurement prices, profit margins, quotations, and schemes.</w:t>
      </w:r>
    </w:p>
    <w:p>
      <w:pPr>
        <w:spacing w:after="0" w:line="390" w:lineRule="exact"/>
        <w:rPr>
          <w:sz w:val="20"/>
          <w:szCs w:val="20"/>
          <w:color w:val="auto"/>
        </w:rPr>
      </w:pPr>
    </w:p>
    <w:p>
      <w:pPr>
        <w:jc w:val="center"/>
        <w:ind w:right="-13"/>
        <w:spacing w:after="0"/>
        <w:tabs>
          <w:tab w:leader="none" w:pos="260" w:val="left"/>
        </w:tabs>
        <w:rPr>
          <w:sz w:val="20"/>
          <w:szCs w:val="20"/>
          <w:color w:val="auto"/>
        </w:rPr>
      </w:pPr>
      <w:r>
        <w:rPr>
          <w:rFonts w:ascii="Calibri" w:cs="Calibri" w:eastAsia="Calibri" w:hAnsi="Calibri"/>
          <w:sz w:val="28"/>
          <w:szCs w:val="28"/>
          <w:b w:val="1"/>
          <w:bCs w:val="1"/>
          <w:color w:val="auto"/>
        </w:rPr>
        <w:t>Chapter 9</w:t>
        <w:tab/>
        <w:t>Other</w:t>
      </w:r>
    </w:p>
    <w:p>
      <w:pPr>
        <w:spacing w:after="0" w:line="15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Expense Reimbursement</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1.Application Method</w:t>
      </w:r>
    </w:p>
    <w:p>
      <w:pPr>
        <w:spacing w:after="0" w:line="56" w:lineRule="exact"/>
        <w:rPr>
          <w:sz w:val="20"/>
          <w:szCs w:val="20"/>
          <w:color w:val="auto"/>
        </w:rPr>
      </w:pPr>
    </w:p>
    <w:p>
      <w:pPr>
        <w:ind w:left="360" w:right="366"/>
        <w:spacing w:after="0" w:line="292" w:lineRule="auto"/>
        <w:tabs>
          <w:tab w:leader="none" w:pos="653" w:val="left"/>
        </w:tabs>
        <w:numPr>
          <w:ilvl w:val="0"/>
          <w:numId w:val="10"/>
        </w:numPr>
        <w:rPr>
          <w:rFonts w:ascii="Calibri" w:cs="Calibri" w:eastAsia="Calibri" w:hAnsi="Calibri"/>
          <w:sz w:val="21"/>
          <w:szCs w:val="21"/>
          <w:color w:val="auto"/>
        </w:rPr>
      </w:pPr>
      <w:r>
        <w:rPr>
          <w:rFonts w:ascii="Calibri" w:cs="Calibri" w:eastAsia="Calibri" w:hAnsi="Calibri"/>
          <w:sz w:val="21"/>
          <w:szCs w:val="21"/>
          <w:color w:val="auto"/>
        </w:rPr>
        <w:t>Expenses related to Pengming should be submitted for approval on Red Circle, and expenses related to Jinshang should be submitted for approval on DingTalk.</w:t>
      </w:r>
    </w:p>
    <w:p>
      <w:pPr>
        <w:ind w:left="360" w:right="366"/>
        <w:spacing w:after="0" w:line="312" w:lineRule="auto"/>
        <w:tabs>
          <w:tab w:leader="none" w:pos="658" w:val="left"/>
        </w:tabs>
        <w:numPr>
          <w:ilvl w:val="0"/>
          <w:numId w:val="10"/>
        </w:numPr>
        <w:rPr>
          <w:rFonts w:ascii="Calibri" w:cs="Calibri" w:eastAsia="Calibri" w:hAnsi="Calibri"/>
          <w:sz w:val="21"/>
          <w:szCs w:val="21"/>
          <w:color w:val="auto"/>
        </w:rPr>
      </w:pPr>
      <w:r>
        <w:rPr>
          <w:rFonts w:ascii="Calibri" w:cs="Calibri" w:eastAsia="Calibri" w:hAnsi="Calibri"/>
          <w:sz w:val="21"/>
          <w:szCs w:val="21"/>
          <w:color w:val="auto"/>
        </w:rPr>
        <w:t>After approval, please submit the paper invoices to the financial management personnel for review, and upload electronic invoices in the application process.</w:t>
      </w:r>
    </w:p>
    <w:p>
      <w:pPr>
        <w:spacing w:after="0" w:line="200" w:lineRule="exact"/>
        <w:rPr>
          <w:sz w:val="20"/>
          <w:szCs w:val="20"/>
          <w:color w:val="auto"/>
        </w:rPr>
      </w:pPr>
    </w:p>
    <w:p>
      <w:pPr>
        <w:spacing w:after="0" w:line="381"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2.Reimbursement Requirements</w:t>
      </w:r>
    </w:p>
    <w:p>
      <w:pPr>
        <w:spacing w:after="0" w:line="56" w:lineRule="exact"/>
        <w:rPr>
          <w:sz w:val="20"/>
          <w:szCs w:val="20"/>
          <w:color w:val="auto"/>
        </w:rPr>
      </w:pPr>
    </w:p>
    <w:p>
      <w:pPr>
        <w:jc w:val="both"/>
        <w:ind w:left="360" w:right="366"/>
        <w:spacing w:after="0" w:line="292" w:lineRule="auto"/>
        <w:tabs>
          <w:tab w:leader="none" w:pos="665"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For overtime meal expense reimbursement, please indicate the date and time of overtime, provide a receipt or payment voucher, and an invoice. The reimbursement standard is a maximum of fifty yuan per meal per person, and the actual payment amount will be reimbursed within the standard based on the receipt.</w:t>
      </w:r>
    </w:p>
    <w:p>
      <w:pPr>
        <w:ind w:left="360" w:right="366"/>
        <w:spacing w:after="0" w:line="292" w:lineRule="auto"/>
        <w:tabs>
          <w:tab w:leader="none" w:pos="686"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For taxi fare reimbursement, a trip sheet (with time, location, and destination) must be provided, marked with the reason, and an invoice must be attached.</w:t>
      </w:r>
    </w:p>
    <w:p>
      <w:pPr>
        <w:jc w:val="both"/>
        <w:ind w:left="360" w:right="366"/>
        <w:spacing w:after="0" w:line="292" w:lineRule="auto"/>
        <w:tabs>
          <w:tab w:leader="none" w:pos="727"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For miscellaneous project expenses, it is advisable not to go through the monthly reimbursement process. Instead, a general expense application should be made at the time of occurrence, with an invoice and payment voucher provided.</w:t>
      </w:r>
    </w:p>
    <w:p>
      <w:pPr>
        <w:ind w:left="360" w:right="366"/>
        <w:spacing w:after="0" w:line="292" w:lineRule="auto"/>
        <w:tabs>
          <w:tab w:leader="none" w:pos="708"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For communication expense reimbursement (standards are attached later), submit the corresponding month's communication expenses as notified by finance.</w:t>
      </w:r>
    </w:p>
    <w:p>
      <w:pPr>
        <w:ind w:left="360" w:right="366"/>
        <w:spacing w:after="0" w:line="292" w:lineRule="auto"/>
        <w:tabs>
          <w:tab w:leader="none" w:pos="650"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All reimbursements have a maximum deadline of six months. Expenses exceeding six months will not be reimbursed.</w:t>
      </w:r>
    </w:p>
    <w:p>
      <w:pPr>
        <w:jc w:val="both"/>
        <w:ind w:left="360" w:right="366"/>
        <w:spacing w:after="0" w:line="292" w:lineRule="auto"/>
        <w:tabs>
          <w:tab w:leader="none" w:pos="655"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Business trip expenses (see detailed business trip expense reimbursement standards) should be submitted within one week of returning to the company and do not need to follow the monthly reimbursement cycle. If there is a loan, it should be noted in the reimbursement form.</w:t>
      </w:r>
    </w:p>
    <w:p>
      <w:pPr>
        <w:ind w:left="360" w:right="366"/>
        <w:spacing w:after="0" w:line="312" w:lineRule="auto"/>
        <w:tabs>
          <w:tab w:leader="none" w:pos="742" w:val="left"/>
        </w:tabs>
        <w:numPr>
          <w:ilvl w:val="0"/>
          <w:numId w:val="11"/>
        </w:numPr>
        <w:rPr>
          <w:rFonts w:ascii="Calibri" w:cs="Calibri" w:eastAsia="Calibri" w:hAnsi="Calibri"/>
          <w:sz w:val="21"/>
          <w:szCs w:val="21"/>
          <w:color w:val="auto"/>
        </w:rPr>
      </w:pPr>
      <w:r>
        <w:rPr>
          <w:rFonts w:ascii="Calibri" w:cs="Calibri" w:eastAsia="Calibri" w:hAnsi="Calibri"/>
          <w:sz w:val="21"/>
          <w:szCs w:val="21"/>
          <w:color w:val="auto"/>
        </w:rPr>
        <w:t>Please submit applications within the reimbursement deadline notified by finance. Applications submitted after the deadline will be postponed to the next period.</w:t>
      </w:r>
    </w:p>
    <w:p>
      <w:pPr>
        <w:spacing w:after="0" w:line="24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Library Borrowing</w:t>
      </w:r>
    </w:p>
    <w:p>
      <w:pPr>
        <w:spacing w:after="0" w:line="356" w:lineRule="exact"/>
        <w:rPr>
          <w:sz w:val="20"/>
          <w:szCs w:val="20"/>
          <w:color w:val="auto"/>
        </w:rPr>
      </w:pPr>
    </w:p>
    <w:p>
      <w:pPr>
        <w:ind w:left="360" w:right="366"/>
        <w:spacing w:after="0" w:line="312" w:lineRule="auto"/>
        <w:rPr>
          <w:sz w:val="20"/>
          <w:szCs w:val="20"/>
          <w:color w:val="auto"/>
        </w:rPr>
      </w:pPr>
      <w:r>
        <w:rPr>
          <w:rFonts w:ascii="Calibri" w:cs="Calibri" w:eastAsia="Calibri" w:hAnsi="Calibri"/>
          <w:sz w:val="21"/>
          <w:szCs w:val="21"/>
          <w:color w:val="auto"/>
        </w:rPr>
        <w:t>The company has a book corner with open-shelf self-service borrowing. Employees can apply for book borrowing through Enterprise WeChat.</w:t>
      </w:r>
    </w:p>
    <w:p>
      <w:pPr>
        <w:sectPr>
          <w:pgSz w:w="11900" w:h="16838" w:orient="portrait"/>
          <w:cols w:equalWidth="0" w:num="1">
            <w:col w:w="9026"/>
          </w:cols>
          <w:pgMar w:left="1440" w:top="1440" w:right="1440" w:bottom="447" w:gutter="0" w:footer="0" w:header="0"/>
        </w:sectPr>
      </w:pPr>
    </w:p>
    <w:p>
      <w:pPr>
        <w:spacing w:after="0" w:line="39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20</w:t>
      </w:r>
    </w:p>
    <w:p>
      <w:pPr>
        <w:sectPr>
          <w:pgSz w:w="11900" w:h="16838" w:orient="portrait"/>
          <w:cols w:equalWidth="0" w:num="1">
            <w:col w:w="9026"/>
          </w:cols>
          <w:pgMar w:left="1440" w:top="1440" w:right="1440" w:bottom="447" w:gutter="0" w:footer="0" w:header="0"/>
          <w:type w:val="continuous"/>
        </w:sectPr>
      </w:pPr>
    </w:p>
    <w:bookmarkStart w:id="20" w:name="page21"/>
    <w:bookmarkEnd w:id="20"/>
    <w:p>
      <w:pPr>
        <w:spacing w:after="0" w:line="15" w:lineRule="exact"/>
        <w:rPr>
          <w:sz w:val="20"/>
          <w:szCs w:val="20"/>
          <w:color w:val="auto"/>
        </w:rPr>
      </w:pPr>
    </w:p>
    <w:p>
      <w:pPr>
        <w:ind w:left="360" w:right="366"/>
        <w:spacing w:after="0" w:line="292" w:lineRule="auto"/>
        <w:rPr>
          <w:sz w:val="20"/>
          <w:szCs w:val="20"/>
          <w:color w:val="auto"/>
        </w:rPr>
      </w:pPr>
      <w:r>
        <w:rPr>
          <w:rFonts w:ascii="Calibri" w:cs="Calibri" w:eastAsia="Calibri" w:hAnsi="Calibri"/>
          <w:sz w:val="21"/>
          <w:szCs w:val="21"/>
          <w:color w:val="auto"/>
        </w:rPr>
        <w:t>Each employee can borrow two books per month, and the borrowing period is 30 days, with one renewal allowed for an additional 15 days.</w:t>
      </w:r>
    </w:p>
    <w:p>
      <w:pPr>
        <w:ind w:left="360" w:right="366"/>
        <w:spacing w:after="0" w:line="312" w:lineRule="auto"/>
        <w:rPr>
          <w:sz w:val="20"/>
          <w:szCs w:val="20"/>
          <w:color w:val="auto"/>
        </w:rPr>
      </w:pPr>
      <w:r>
        <w:rPr>
          <w:rFonts w:ascii="Calibri" w:cs="Calibri" w:eastAsia="Calibri" w:hAnsi="Calibri"/>
          <w:sz w:val="21"/>
          <w:szCs w:val="21"/>
          <w:color w:val="auto"/>
        </w:rPr>
        <w:t>All borrowed books should not be folded, marked, circled, torn, or dirtied. In case of serious damage or loss of books, compensation at the original price of the book is required.</w:t>
      </w:r>
    </w:p>
    <w:p>
      <w:pPr>
        <w:spacing w:after="0" w:line="244"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Capsule Apartment</w:t>
      </w:r>
    </w:p>
    <w:p>
      <w:pPr>
        <w:spacing w:after="0" w:line="356" w:lineRule="exact"/>
        <w:rPr>
          <w:sz w:val="20"/>
          <w:szCs w:val="20"/>
          <w:color w:val="auto"/>
        </w:rPr>
      </w:pPr>
    </w:p>
    <w:p>
      <w:pPr>
        <w:ind w:left="360" w:right="366"/>
        <w:spacing w:after="0" w:line="292" w:lineRule="auto"/>
        <w:rPr>
          <w:sz w:val="20"/>
          <w:szCs w:val="20"/>
          <w:color w:val="auto"/>
        </w:rPr>
      </w:pPr>
      <w:r>
        <w:rPr>
          <w:rFonts w:ascii="Calibri" w:cs="Calibri" w:eastAsia="Calibri" w:hAnsi="Calibri"/>
          <w:sz w:val="21"/>
          <w:szCs w:val="21"/>
          <w:color w:val="auto"/>
        </w:rPr>
        <w:t>For employees who need to stay due to overtime, physical discomfort, or other special circumstances, the company provides a capsule apartment for free temporary accommodation. During working hours, employees can apply to stay in the capsule apartment for a rest period of up to 45 minutes on the same day, but they cannot apply for overtime on the same day. Employees can submit an application through Enterprise WeChat and collect the accommodation card from the front desk before 6:00 PM on the day of stay.</w:t>
      </w:r>
    </w:p>
    <w:p>
      <w:pPr>
        <w:spacing w:after="0" w:line="1" w:lineRule="exact"/>
        <w:rPr>
          <w:sz w:val="20"/>
          <w:szCs w:val="20"/>
          <w:color w:val="auto"/>
        </w:rPr>
      </w:pPr>
    </w:p>
    <w:p>
      <w:pPr>
        <w:jc w:val="both"/>
        <w:ind w:left="360" w:right="366"/>
        <w:spacing w:after="0" w:line="298" w:lineRule="auto"/>
        <w:rPr>
          <w:sz w:val="20"/>
          <w:szCs w:val="20"/>
          <w:color w:val="auto"/>
        </w:rPr>
      </w:pPr>
      <w:r>
        <w:rPr>
          <w:rFonts w:ascii="Calibri" w:cs="Calibri" w:eastAsia="Calibri" w:hAnsi="Calibri"/>
          <w:sz w:val="21"/>
          <w:szCs w:val="21"/>
          <w:color w:val="auto"/>
        </w:rPr>
        <w:t>In case of special circumstances where an application is not made in advance, or the accommodation card is not collected before 6:00 PM, employees can go to the exhibition board in Office Area 209 to collect the accommodation card. Since there is only one accommodation card to avoid resource shortage, please try to apply in advance.</w:t>
      </w:r>
    </w:p>
    <w:p>
      <w:pPr>
        <w:spacing w:after="0" w:line="261"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Parcel Delivery and Collection</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1.Sending Parcels</w:t>
      </w:r>
    </w:p>
    <w:p>
      <w:pPr>
        <w:spacing w:after="0" w:line="56" w:lineRule="exact"/>
        <w:rPr>
          <w:sz w:val="20"/>
          <w:szCs w:val="20"/>
          <w:color w:val="auto"/>
        </w:rPr>
      </w:pPr>
    </w:p>
    <w:p>
      <w:pPr>
        <w:ind w:left="360" w:right="366"/>
        <w:spacing w:after="0" w:line="292" w:lineRule="auto"/>
        <w:tabs>
          <w:tab w:leader="none" w:pos="725" w:val="left"/>
        </w:tabs>
        <w:numPr>
          <w:ilvl w:val="0"/>
          <w:numId w:val="12"/>
        </w:numPr>
        <w:rPr>
          <w:rFonts w:ascii="Calibri" w:cs="Calibri" w:eastAsia="Calibri" w:hAnsi="Calibri"/>
          <w:sz w:val="21"/>
          <w:szCs w:val="21"/>
          <w:color w:val="auto"/>
        </w:rPr>
      </w:pPr>
      <w:r>
        <w:rPr>
          <w:rFonts w:ascii="Calibri" w:cs="Calibri" w:eastAsia="Calibri" w:hAnsi="Calibri"/>
          <w:sz w:val="21"/>
          <w:szCs w:val="21"/>
          <w:color w:val="auto"/>
        </w:rPr>
        <w:t>For official parcel sending, obtain a monthly settlement slip from the procurement department, complete the order, and contact the courier to pick up the parcel.</w:t>
      </w:r>
    </w:p>
    <w:p>
      <w:pPr>
        <w:ind w:left="360" w:right="366"/>
        <w:spacing w:after="0" w:line="292" w:lineRule="auto"/>
        <w:tabs>
          <w:tab w:leader="none" w:pos="696" w:val="left"/>
        </w:tabs>
        <w:numPr>
          <w:ilvl w:val="0"/>
          <w:numId w:val="12"/>
        </w:numPr>
        <w:rPr>
          <w:rFonts w:ascii="Calibri" w:cs="Calibri" w:eastAsia="Calibri" w:hAnsi="Calibri"/>
          <w:sz w:val="21"/>
          <w:szCs w:val="21"/>
          <w:color w:val="auto"/>
        </w:rPr>
      </w:pPr>
      <w:r>
        <w:rPr>
          <w:rFonts w:ascii="Calibri" w:cs="Calibri" w:eastAsia="Calibri" w:hAnsi="Calibri"/>
          <w:sz w:val="21"/>
          <w:szCs w:val="21"/>
          <w:color w:val="auto"/>
        </w:rPr>
        <w:t>The company's monthly settlement couriers are SF Express and JD Logistics. Except for sending valuable items or in urgent situations, JD Logistics should be the preferred choice.</w:t>
      </w:r>
    </w:p>
    <w:p>
      <w:pPr>
        <w:ind w:left="360" w:right="366"/>
        <w:spacing w:after="0" w:line="292" w:lineRule="auto"/>
        <w:tabs>
          <w:tab w:leader="none" w:pos="658" w:val="left"/>
        </w:tabs>
        <w:numPr>
          <w:ilvl w:val="0"/>
          <w:numId w:val="12"/>
        </w:numPr>
        <w:rPr>
          <w:rFonts w:ascii="Calibri" w:cs="Calibri" w:eastAsia="Calibri" w:hAnsi="Calibri"/>
          <w:sz w:val="21"/>
          <w:szCs w:val="21"/>
          <w:color w:val="auto"/>
        </w:rPr>
      </w:pPr>
      <w:r>
        <w:rPr>
          <w:rFonts w:ascii="Calibri" w:cs="Calibri" w:eastAsia="Calibri" w:hAnsi="Calibri"/>
          <w:sz w:val="21"/>
          <w:szCs w:val="21"/>
          <w:color w:val="auto"/>
        </w:rPr>
        <w:t>When placing an order, please fill in the complete sender's information for regular company audits.</w:t>
      </w:r>
    </w:p>
    <w:p>
      <w:pPr>
        <w:ind w:left="360" w:right="366"/>
        <w:spacing w:after="0" w:line="292" w:lineRule="auto"/>
        <w:tabs>
          <w:tab w:leader="none" w:pos="641" w:val="left"/>
        </w:tabs>
        <w:numPr>
          <w:ilvl w:val="0"/>
          <w:numId w:val="12"/>
        </w:numPr>
        <w:rPr>
          <w:rFonts w:ascii="Calibri" w:cs="Calibri" w:eastAsia="Calibri" w:hAnsi="Calibri"/>
          <w:sz w:val="21"/>
          <w:szCs w:val="21"/>
          <w:color w:val="auto"/>
        </w:rPr>
      </w:pPr>
      <w:r>
        <w:rPr>
          <w:rFonts w:ascii="Calibri" w:cs="Calibri" w:eastAsia="Calibri" w:hAnsi="Calibri"/>
          <w:sz w:val="21"/>
          <w:szCs w:val="21"/>
          <w:color w:val="auto"/>
        </w:rPr>
        <w:t>For non-cooperative courier companies, the to-pay fees must be prepaid and then reimbursed according to the "Monthly Reimbursement System."</w:t>
      </w:r>
    </w:p>
    <w:p>
      <w:pPr>
        <w:ind w:left="640" w:hanging="280"/>
        <w:spacing w:after="0"/>
        <w:tabs>
          <w:tab w:leader="none" w:pos="640" w:val="left"/>
        </w:tabs>
        <w:numPr>
          <w:ilvl w:val="0"/>
          <w:numId w:val="12"/>
        </w:numPr>
        <w:rPr>
          <w:rFonts w:ascii="Calibri" w:cs="Calibri" w:eastAsia="Calibri" w:hAnsi="Calibri"/>
          <w:sz w:val="21"/>
          <w:szCs w:val="21"/>
          <w:color w:val="auto"/>
        </w:rPr>
      </w:pPr>
      <w:r>
        <w:rPr>
          <w:rFonts w:ascii="Calibri" w:cs="Calibri" w:eastAsia="Calibri" w:hAnsi="Calibri"/>
          <w:sz w:val="21"/>
          <w:szCs w:val="21"/>
          <w:color w:val="auto"/>
        </w:rPr>
        <w:t>Sending personal parcels in the company is prohibited.</w:t>
      </w:r>
    </w:p>
    <w:p>
      <w:pPr>
        <w:spacing w:after="0" w:line="36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2.Receiving Parcels</w:t>
      </w:r>
    </w:p>
    <w:p>
      <w:pPr>
        <w:spacing w:after="0" w:line="56" w:lineRule="exact"/>
        <w:rPr>
          <w:sz w:val="20"/>
          <w:szCs w:val="20"/>
          <w:color w:val="auto"/>
        </w:rPr>
      </w:pPr>
    </w:p>
    <w:p>
      <w:pPr>
        <w:ind w:left="360" w:right="366"/>
        <w:spacing w:after="0" w:line="292" w:lineRule="auto"/>
        <w:tabs>
          <w:tab w:leader="none" w:pos="670" w:val="left"/>
        </w:tabs>
        <w:numPr>
          <w:ilvl w:val="0"/>
          <w:numId w:val="13"/>
        </w:numPr>
        <w:rPr>
          <w:rFonts w:ascii="Calibri" w:cs="Calibri" w:eastAsia="Calibri" w:hAnsi="Calibri"/>
          <w:sz w:val="21"/>
          <w:szCs w:val="21"/>
          <w:color w:val="auto"/>
        </w:rPr>
      </w:pPr>
      <w:r>
        <w:rPr>
          <w:rFonts w:ascii="Calibri" w:cs="Calibri" w:eastAsia="Calibri" w:hAnsi="Calibri"/>
          <w:sz w:val="21"/>
          <w:szCs w:val="21"/>
          <w:color w:val="auto"/>
        </w:rPr>
        <w:t>After receiving the courier's information, please collect the parcel in a timely manner. The company hall and front desk do not keep parcels.</w:t>
      </w:r>
    </w:p>
    <w:p>
      <w:pPr>
        <w:ind w:left="640" w:hanging="280"/>
        <w:spacing w:after="0"/>
        <w:tabs>
          <w:tab w:leader="none" w:pos="640" w:val="left"/>
        </w:tabs>
        <w:numPr>
          <w:ilvl w:val="0"/>
          <w:numId w:val="13"/>
        </w:numPr>
        <w:rPr>
          <w:rFonts w:ascii="Calibri" w:cs="Calibri" w:eastAsia="Calibri" w:hAnsi="Calibri"/>
          <w:sz w:val="21"/>
          <w:szCs w:val="21"/>
          <w:color w:val="auto"/>
        </w:rPr>
      </w:pPr>
      <w:r>
        <w:rPr>
          <w:rFonts w:ascii="Calibri" w:cs="Calibri" w:eastAsia="Calibri" w:hAnsi="Calibri"/>
          <w:sz w:val="21"/>
          <w:szCs w:val="21"/>
          <w:color w:val="auto"/>
        </w:rPr>
        <w:t>Parcels not collected in time can be picked up from the B2 level parcel rack.</w:t>
      </w:r>
    </w:p>
    <w:p>
      <w:pPr>
        <w:spacing w:after="0" w:line="342" w:lineRule="exact"/>
        <w:rPr>
          <w:sz w:val="20"/>
          <w:szCs w:val="20"/>
          <w:color w:val="auto"/>
        </w:rPr>
      </w:pPr>
    </w:p>
    <w:p>
      <w:pPr>
        <w:ind w:left="360"/>
        <w:spacing w:after="0"/>
        <w:rPr>
          <w:sz w:val="20"/>
          <w:szCs w:val="20"/>
          <w:color w:val="auto"/>
        </w:rPr>
      </w:pPr>
      <w:r>
        <w:rPr>
          <w:rFonts w:ascii="Calibri" w:cs="Calibri" w:eastAsia="Calibri" w:hAnsi="Calibri"/>
          <w:sz w:val="24"/>
          <w:szCs w:val="24"/>
          <w:b w:val="1"/>
          <w:bCs w:val="1"/>
          <w:color w:val="auto"/>
        </w:rPr>
        <w:t>Official Outings and Vehicle Use</w:t>
      </w:r>
    </w:p>
    <w:p>
      <w:pPr>
        <w:spacing w:after="0" w:line="356" w:lineRule="exact"/>
        <w:rPr>
          <w:sz w:val="20"/>
          <w:szCs w:val="20"/>
          <w:color w:val="auto"/>
        </w:rPr>
      </w:pPr>
    </w:p>
    <w:p>
      <w:pPr>
        <w:jc w:val="both"/>
        <w:ind w:left="360" w:right="366"/>
        <w:spacing w:after="0" w:line="292" w:lineRule="auto"/>
        <w:rPr>
          <w:sz w:val="20"/>
          <w:szCs w:val="20"/>
          <w:color w:val="auto"/>
        </w:rPr>
      </w:pPr>
      <w:r>
        <w:rPr>
          <w:rFonts w:ascii="Calibri" w:cs="Calibri" w:eastAsia="Calibri" w:hAnsi="Calibri"/>
          <w:sz w:val="21"/>
          <w:szCs w:val="21"/>
          <w:color w:val="auto"/>
        </w:rPr>
        <w:t>1.For official outings and vehicle use, an application must be submitted at least one day in advance on Enterprise WeChat. The application should indicate the departure time, number of people traveling together, whether a round trip is needed, return time, and destination address.</w:t>
      </w:r>
    </w:p>
    <w:p>
      <w:pPr>
        <w:jc w:val="both"/>
        <w:ind w:left="360" w:right="366"/>
        <w:spacing w:after="0" w:line="292" w:lineRule="auto"/>
        <w:rPr>
          <w:sz w:val="20"/>
          <w:szCs w:val="20"/>
          <w:color w:val="auto"/>
        </w:rPr>
      </w:pPr>
      <w:r>
        <w:rPr>
          <w:rFonts w:ascii="Calibri" w:cs="Calibri" w:eastAsia="Calibri" w:hAnsi="Calibri"/>
          <w:sz w:val="21"/>
          <w:szCs w:val="21"/>
          <w:color w:val="auto"/>
        </w:rPr>
        <w:t>2.Vehicle use should prioritize the company's vehicles. If they are not available, a taxi can be applied for.</w:t>
      </w:r>
    </w:p>
    <w:p>
      <w:pPr>
        <w:jc w:val="center"/>
        <w:ind w:right="6"/>
        <w:spacing w:after="0"/>
        <w:rPr>
          <w:sz w:val="20"/>
          <w:szCs w:val="20"/>
          <w:color w:val="auto"/>
        </w:rPr>
      </w:pPr>
      <w:r>
        <w:rPr>
          <w:rFonts w:ascii="Calibri" w:cs="Calibri" w:eastAsia="Calibri" w:hAnsi="Calibri"/>
          <w:sz w:val="21"/>
          <w:szCs w:val="21"/>
          <w:color w:val="auto"/>
        </w:rPr>
        <w:t>3.For taxi outings, taxis or Didi Express are preferred. The taxi fare must be prepaid, and the</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92"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21</w:t>
      </w:r>
    </w:p>
    <w:p>
      <w:pPr>
        <w:sectPr>
          <w:pgSz w:w="11900" w:h="16838" w:orient="portrait"/>
          <w:cols w:equalWidth="0" w:num="1">
            <w:col w:w="9026"/>
          </w:cols>
          <w:pgMar w:left="1440" w:top="1440" w:right="1440" w:bottom="447" w:gutter="0" w:footer="0" w:header="0"/>
          <w:type w:val="continuous"/>
        </w:sectPr>
      </w:pPr>
    </w:p>
    <w:bookmarkStart w:id="21" w:name="page22"/>
    <w:bookmarkEnd w:id="21"/>
    <w:p>
      <w:pPr>
        <w:spacing w:after="0" w:line="15"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invoice and trip sheet should be kept for reimbursement.</w:t>
      </w:r>
    </w:p>
    <w:p>
      <w:pPr>
        <w:spacing w:after="0" w:line="56" w:lineRule="exact"/>
        <w:rPr>
          <w:sz w:val="20"/>
          <w:szCs w:val="20"/>
          <w:color w:val="auto"/>
        </w:rPr>
      </w:pPr>
    </w:p>
    <w:p>
      <w:pPr>
        <w:jc w:val="both"/>
        <w:ind w:left="360" w:right="366"/>
        <w:spacing w:after="0" w:line="302" w:lineRule="auto"/>
        <w:rPr>
          <w:sz w:val="20"/>
          <w:szCs w:val="20"/>
          <w:color w:val="auto"/>
        </w:rPr>
      </w:pPr>
      <w:r>
        <w:rPr>
          <w:rFonts w:ascii="Calibri" w:cs="Calibri" w:eastAsia="Calibri" w:hAnsi="Calibri"/>
          <w:sz w:val="21"/>
          <w:szCs w:val="21"/>
          <w:color w:val="auto"/>
        </w:rPr>
        <w:t>4.Unapproved taxi fares will be borne by the individual; all taxi fares will be included in the department or project costs. Taxi fare reimbursement follows the monthly reimbursement submission process, for details, please refer to the "Monthly Reimbursement System."</w:t>
      </w:r>
    </w:p>
    <w:p>
      <w:pPr>
        <w:spacing w:after="0" w:line="383" w:lineRule="exact"/>
        <w:rPr>
          <w:sz w:val="20"/>
          <w:szCs w:val="20"/>
          <w:color w:val="auto"/>
        </w:rPr>
      </w:pPr>
    </w:p>
    <w:p>
      <w:pPr>
        <w:jc w:val="center"/>
        <w:ind w:right="6"/>
        <w:spacing w:after="0"/>
        <w:rPr>
          <w:sz w:val="20"/>
          <w:szCs w:val="20"/>
          <w:color w:val="auto"/>
        </w:rPr>
      </w:pPr>
      <w:r>
        <w:rPr>
          <w:rFonts w:ascii="Calibri" w:cs="Calibri" w:eastAsia="Calibri" w:hAnsi="Calibri"/>
          <w:sz w:val="28"/>
          <w:szCs w:val="28"/>
          <w:b w:val="1"/>
          <w:bCs w:val="1"/>
          <w:color w:val="auto"/>
        </w:rPr>
        <w:t>Chapter 10 Supplementary Provisions</w:t>
      </w:r>
    </w:p>
    <w:p>
      <w:pPr>
        <w:spacing w:after="0" w:line="180"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This "Employee Handbook" has been approved by the General Manager and applies to all employees.</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Matters not covered in this handbook shall be handled in accordance with national laws and regulations and the company's relevant provisions.</w:t>
      </w:r>
    </w:p>
    <w:p>
      <w:pPr>
        <w:spacing w:after="0" w:line="269" w:lineRule="exact"/>
        <w:rPr>
          <w:sz w:val="20"/>
          <w:szCs w:val="20"/>
          <w:color w:val="auto"/>
        </w:rPr>
      </w:pPr>
    </w:p>
    <w:p>
      <w:pPr>
        <w:jc w:val="both"/>
        <w:ind w:left="360" w:right="366"/>
        <w:spacing w:after="0" w:line="312" w:lineRule="auto"/>
        <w:rPr>
          <w:sz w:val="20"/>
          <w:szCs w:val="20"/>
          <w:color w:val="auto"/>
        </w:rPr>
      </w:pPr>
      <w:r>
        <w:rPr>
          <w:rFonts w:ascii="Calibri" w:cs="Calibri" w:eastAsia="Calibri" w:hAnsi="Calibri"/>
          <w:sz w:val="21"/>
          <w:szCs w:val="21"/>
          <w:color w:val="auto"/>
        </w:rPr>
        <w:t>The interpretation rights of this handbook belong to the Human Resources Center. For any unclear matters, please consult the Human Resources Center.</w:t>
      </w: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This handbook shall be effective from the date of issuance until the next revision.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224155</wp:posOffset>
            </wp:positionV>
            <wp:extent cx="527431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2743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I have received and fully understood the company's</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 Handbook" and its regulations and rules.</w:t>
      </w:r>
    </w:p>
    <w:p>
      <w:pPr>
        <w:spacing w:after="0" w:line="56" w:lineRule="exact"/>
        <w:rPr>
          <w:sz w:val="20"/>
          <w:szCs w:val="20"/>
          <w:color w:val="auto"/>
        </w:rPr>
      </w:pPr>
    </w:p>
    <w:p>
      <w:pPr>
        <w:jc w:val="both"/>
        <w:ind w:left="360" w:right="366"/>
        <w:spacing w:after="0" w:line="297" w:lineRule="auto"/>
        <w:rPr>
          <w:sz w:val="20"/>
          <w:szCs w:val="20"/>
          <w:color w:val="auto"/>
        </w:rPr>
      </w:pPr>
      <w:r>
        <w:rPr>
          <w:rFonts w:ascii="Calibri" w:cs="Calibri" w:eastAsia="Calibri" w:hAnsi="Calibri"/>
          <w:sz w:val="21"/>
          <w:szCs w:val="21"/>
          <w:color w:val="auto"/>
        </w:rPr>
        <w:t>I hereby commit to strictly abide by the above-mentioned rules and regulations of the company, and agree to enjoy the corresponding rights and fulfill the obligations stipulated in the above-mentioned system in accordance with the aforementioned system. In case of any violation, I agree to accept the various treatments made by the company in accordance with the relevant regulations.</w:t>
      </w:r>
    </w:p>
    <w:p>
      <w:pPr>
        <w:spacing w:after="0" w:line="200" w:lineRule="exact"/>
        <w:rPr>
          <w:sz w:val="20"/>
          <w:szCs w:val="20"/>
          <w:color w:val="auto"/>
        </w:rPr>
      </w:pPr>
    </w:p>
    <w:p>
      <w:pPr>
        <w:spacing w:after="0" w:line="39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Confirmation</w:t>
      </w:r>
    </w:p>
    <w:p>
      <w:pPr>
        <w:spacing w:after="0" w:line="36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Employee's ID Number:</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Employee's Signature:</w:t>
      </w:r>
    </w:p>
    <w:p>
      <w:pPr>
        <w:spacing w:after="0" w:line="56"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Date: January , 2025</w:t>
      </w:r>
    </w:p>
    <w:p>
      <w:pPr>
        <w:sectPr>
          <w:pgSz w:w="11900" w:h="16838" w:orient="portrait"/>
          <w:cols w:equalWidth="0" w:num="1">
            <w:col w:w="9026"/>
          </w:cols>
          <w:pgMar w:left="1440" w:top="1440" w:right="1440" w:bottom="4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ind w:right="6"/>
        <w:spacing w:after="0"/>
        <w:rPr>
          <w:sz w:val="20"/>
          <w:szCs w:val="20"/>
          <w:color w:val="auto"/>
        </w:rPr>
      </w:pPr>
      <w:r>
        <w:rPr>
          <w:rFonts w:ascii="Calibri" w:cs="Calibri" w:eastAsia="Calibri" w:hAnsi="Calibri"/>
          <w:sz w:val="17"/>
          <w:szCs w:val="17"/>
          <w:color w:val="auto"/>
        </w:rPr>
        <w:t>22</w:t>
      </w:r>
    </w:p>
    <w:sectPr>
      <w:pgSz w:w="11900" w:h="16838" w:orient="portrait"/>
      <w:cols w:equalWidth="0" w:num="1">
        <w:col w:w="9026"/>
      </w:cols>
      <w:pgMar w:left="1440" w:top="1440" w:right="1440" w:bottom="4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decimal"/>
      <w:start w:val="1"/>
    </w:lvl>
  </w:abstractNum>
  <w:abstractNum w:abstractNumId="1">
    <w:nsid w:val="79E2A9E3"/>
    <w:multiLevelType w:val="hybridMultilevel"/>
    <w:lvl w:ilvl="0">
      <w:lvlJc w:val="left"/>
      <w:lvlText w:val="(%1)"/>
      <w:numFmt w:val="decimal"/>
      <w:start w:val="1"/>
    </w:lvl>
  </w:abstractNum>
  <w:abstractNum w:abstractNumId="2">
    <w:nsid w:val="7545E146"/>
    <w:multiLevelType w:val="hybridMultilevel"/>
    <w:lvl w:ilvl="0">
      <w:lvlJc w:val="left"/>
      <w:lvlText w:val="(%1)"/>
      <w:numFmt w:val="decimal"/>
      <w:start w:val="1"/>
    </w:lvl>
  </w:abstractNum>
  <w:abstractNum w:abstractNumId="3">
    <w:nsid w:val="515F007C"/>
    <w:multiLevelType w:val="hybridMultilevel"/>
    <w:lvl w:ilvl="0">
      <w:lvlJc w:val="left"/>
      <w:lvlText w:val="(%1)"/>
      <w:numFmt w:val="decimal"/>
      <w:start w:val="1"/>
    </w:lvl>
  </w:abstractNum>
  <w:abstractNum w:abstractNumId="4">
    <w:nsid w:val="5BD062C2"/>
    <w:multiLevelType w:val="hybridMultilevel"/>
    <w:lvl w:ilvl="0">
      <w:lvlJc w:val="left"/>
      <w:lvlText w:val="(%1)"/>
      <w:numFmt w:val="decimal"/>
      <w:start w:val="1"/>
    </w:lvl>
  </w:abstractNum>
  <w:abstractNum w:abstractNumId="5">
    <w:nsid w:val="12200854"/>
    <w:multiLevelType w:val="hybridMultilevel"/>
    <w:lvl w:ilvl="0">
      <w:lvlJc w:val="left"/>
      <w:lvlText w:val="%1."/>
      <w:numFmt w:val="decimal"/>
      <w:start w:val="1"/>
    </w:lvl>
  </w:abstractNum>
  <w:abstractNum w:abstractNumId="6">
    <w:nsid w:val="4DB127F8"/>
    <w:multiLevelType w:val="hybridMultilevel"/>
    <w:lvl w:ilvl="0">
      <w:lvlJc w:val="left"/>
      <w:lvlText w:val="(%1)"/>
      <w:numFmt w:val="decimal"/>
      <w:start w:val="1"/>
    </w:lvl>
  </w:abstractNum>
  <w:abstractNum w:abstractNumId="7">
    <w:nsid w:val="216231B"/>
    <w:multiLevelType w:val="hybridMultilevel"/>
    <w:lvl w:ilvl="0">
      <w:lvlJc w:val="left"/>
      <w:lvlText w:val="(%1)"/>
      <w:numFmt w:val="decimal"/>
      <w:start w:val="1"/>
    </w:lvl>
  </w:abstractNum>
  <w:abstractNum w:abstractNumId="8">
    <w:nsid w:val="1F16E9E8"/>
    <w:multiLevelType w:val="hybridMultilevel"/>
    <w:lvl w:ilvl="0">
      <w:lvlJc w:val="left"/>
      <w:lvlText w:val="%1."/>
      <w:numFmt w:val="decimal"/>
      <w:start w:val="1"/>
    </w:lvl>
  </w:abstractNum>
  <w:abstractNum w:abstractNumId="9">
    <w:nsid w:val="1190CDE7"/>
    <w:multiLevelType w:val="hybridMultilevel"/>
    <w:lvl w:ilvl="0">
      <w:lvlJc w:val="left"/>
      <w:lvlText w:val="(%1)"/>
      <w:numFmt w:val="decimal"/>
      <w:start w:val="1"/>
    </w:lvl>
  </w:abstractNum>
  <w:abstractNum w:abstractNumId="10">
    <w:nsid w:val="66EF438D"/>
    <w:multiLevelType w:val="hybridMultilevel"/>
    <w:lvl w:ilvl="0">
      <w:lvlJc w:val="left"/>
      <w:lvlText w:val="(%1)"/>
      <w:numFmt w:val="decimal"/>
      <w:start w:val="1"/>
    </w:lvl>
  </w:abstractNum>
  <w:abstractNum w:abstractNumId="11">
    <w:nsid w:val="140E0F76"/>
    <w:multiLevelType w:val="hybridMultilevel"/>
    <w:lvl w:ilvl="0">
      <w:lvlJc w:val="left"/>
      <w:lvlText w:val="(%1)"/>
      <w:numFmt w:val="decimal"/>
      <w:start w:val="1"/>
    </w:lvl>
  </w:abstractNum>
  <w:abstractNum w:abstractNumId="12">
    <w:nsid w:val="3352255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2025-02-26T09:36:21Z</dcterms:created>
  <dcterms:modified xsi:type="dcterms:W3CDTF">2025-02-26T09:36:21Z</dcterms:modified>
</cp:coreProperties>
</file>