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FocusFlow Study Planner 信息技术解决方案文档</w:t>
      </w:r>
    </w:p>
    <w:p>
      <w:pPr>
        <w:spacing w:after="400"/>
        <w:jc w:val="center"/>
      </w:pPr>
      <w:r>
        <w:rPr>
          <w:rFonts w:ascii="SimSun" w:cs="SimSun" w:eastAsia="SimSun" w:hAnsi="SimSun"/>
          <w:sz w:val="30"/>
          <w:szCs w:val="30"/>
        </w:rPr>
        <w:t xml:space="preserve">——基于 ADHD 友好设计的低阻力学习规划 Web 应用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 技术问题分析（Analysis of the Technical Problem）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本项目要解决的技术问题并不只是如何开发一个待办列表，而是如何通过 Web 应用的交互结构帮助用户降低学习任务启动门槛，并在浏览器环境中形成从任务规划到专注执行的连续流程。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从技术层面看，相关问题主要表现为以下几点。首先，系统必须能够支持任务信息的快速录入，同时又不能让录入过程过于复杂。其次，系统必须在界面上处理任务过载的问题，需要一种能够突出少量优先事项的机制。再次，系统需要把计划功能与执行功能连接起来，让用户可以直接从某个任务进入专注模式。最后，系统还要提供一定程度的个性化设置与使用连续性，要求数据能够在浏览器端保存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 选定技术方案与备选方案（Selected and Alternative Solutions）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选定方案：React 单页 Web 应用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本项目最终选择的技术方案是基于 React 的单页 Web 应用（Single Page Application）。系统主要运行于浏览器环境，通过 React 函数组件与 Hooks 管理应用状态，并利用 LocalStorage 保存任务与设置数据。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2.2 备选方案一：原生移动应用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第一种备选方案是开发原生移动应用（Android 或 iOS）。优点在于可以更好地调用系统通知、震动提醒与移动端交互能力。然而，原生开发的技术成本、测试成本和跨平台适配成本相对更高，不利于在有限时间内完成较完整的产品原型。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2.3 备选方案二：日历/提醒型工具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第二种备选方案是将项目设计为一个以提醒、截止日期和日程展示为核心的日历型工具。该方案更适合处理何时做，而不擅长处理如何开始做，因此不适合作为本项目的最终方案。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2.4 备选方案三：复杂项目管理系统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第三种备选方案是构建带有项目分组、标签、统计、看板与多维筛选能力的综合任务管理系统。该方案会明显增加界面复杂度，与本项目强调低认知负担的定位相冲突。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3219450"/>
            <wp:effectExtent t="0" r="0" b="0" l="0"/>
            <wp:docPr id="1" name="图 1：FocusFlow 应用首页 - 低阻力任务录入界面" descr="图 1：FocusFlow 应用首页 - 低阻力任务录入界面" title="图 1：FocusFlow 应用首页 - 低阻力任务录入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18"/>
          <w:szCs w:val="18"/>
        </w:rPr>
        <w:t xml:space="preserve">图 1：FocusFlow 应用首页 - 低阻力任务录入界面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 业务流程影响评估（Business Process Impact Assessment）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本项目通过以下方式对学习流程进行重构：任务拆解阶段，要求用户填写最小下一步，把模糊的大任务转化为具体动作；任务筛选阶段，通过 Today Focus 控制可见优先级；执行阶段，通过 Start now 按钮直接进入专注模式；节奏维持阶段，在一轮专注结束后引入休息模式；个性化调节阶段，通过设置调整时长和休息行为。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该技术方案改变的不只是界面形式，而是用户处理学习任务的流程逻辑。它把传统信息管理流程转变为行为支持流程，具有明确的使用价值。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 技术方案预期收益（Perceived Benefits）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第一，帮助用户更快进入任务启动状态。通过最小下一步与专注模式，用户面对的不是抽象的大任务，而是一个更具体、更容易开始的动作。第二，降低界面导致的认知压力。Today Focus 机制减少了用户一次性看到的高优先级事项数量。第三，提升任务执行连续性。专注模式与休息模式相互衔接，使用户从开始到做一段时间再到短暂恢复形成闭环。第四，增强项目的展示性与应用性。双语界面、可运行的 Web 应用形态和较完整的功能流程，使项目既能用于课程作业，也能作为教育场景中的产品原型。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3219450"/>
            <wp:effectExtent t="0" r="0" b="0" l="0"/>
            <wp:docPr id="1" name="图 2：任务列表页面 - 今日聚焦与任务管理" descr="图 2：任务列表页面 - 今日聚焦与任务管理" title="图 2：任务列表页面 - 今日聚焦与任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18"/>
          <w:szCs w:val="18"/>
        </w:rPr>
        <w:t xml:space="preserve">图 2：任务列表页面 - 今日聚焦与任务管理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 所选方案的理由（Justification）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综合比较后，React 单页 Web 应用是最适合本项目的技术路线。第一，它能够在课程项目规模下实现完整、可运行且便于展示的产品原型。第二，它便于快速构建交互原型与迭代界面逻辑。第三，它具备良好的可访问性与可部署性，用户通过浏览器即可运行应用。第四，使用 LocalStorage 作为轻量持久化方案在教学项目语境下是合理的。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 技术方案中使用的技术（Technologies Leveraged）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本项目主要使用了以下技术：React 作为前端框架用于构建单页 Web 应用；React Hooks 用于管理组件状态和副作用逻辑；Create React App 作为项目初始化与构建环境；Custom CSS 用于实现页面布局、全屏专注模式与响应式界面；LocalStorage 用于保存任务数据和设置实现本地持久化；Browser Notification API 用于提供轻量提醒能力；Testing Library 用于对关键界面行为进行基础测试。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 设计流程与界面考虑（Design Processes and UI Considerations）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在设计流程中重点考虑了目标用户的真实使用障碍。低阻力录入方面，任务创建只保留最必要的信息。降低视觉噪音方面，主界面控制说明性文本，减少花哨装饰。强化下一步动作方面，最小下一步帮助用户把大任务变成可立即执行的小动作。专注模式沉浸化方面，进入专注模式后界面转为大号倒计时显示。双语设计方面，系统支持中文与英文切换。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3219450"/>
            <wp:effectExtent t="0" r="0" b="0" l="0"/>
            <wp:docPr id="1" name="图 3：专注模式 - 全屏倒计时与任务提示" descr="图 3：专注模式 - 全屏倒计时与任务提示" title="图 3：专注模式 - 全屏倒计时与任务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18"/>
          <w:szCs w:val="18"/>
        </w:rPr>
        <w:t xml:space="preserve">图 3：专注模式 - 全屏倒计时与任务提示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 使用参数与使用指南（Usage Guide / Schematic）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本项目的基本使用流程如下：用户打开应用主界面；点击创建任务，输入标题、课程/项目、截止日期与最小下一步；选择任务的精力级别（5 分钟启动、25 分钟专注或 45 分钟深度专注）；根据优先级决定是否将任务加入 Today Focus；在主界面查看今日聚焦任务；点击现在开始进入专注模式；在全屏倒计时界面中围绕当前任务展开学习；倒计时结束后系统进入休息模式或根据设置自动开始休息；用户可在设置中调整专注时长、休息时长与自动休息选项。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3219450"/>
            <wp:effectExtent t="0" r="0" b="0" l="0"/>
            <wp:docPr id="1" name="图 4：设置页面 - 个性化时长与休息配置" descr="图 4：设置页面 - 个性化时长与休息配置" title="图 4：设置页面 - 个性化时长与休息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18"/>
          <w:szCs w:val="18"/>
        </w:rPr>
        <w:t xml:space="preserve">图 4：设置页面 - 个性化时长与休息配置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 利益相关者分析（Stakeholders）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项目涉及的主要利益相关者包括：第一，学生用户，这是系统的直接使用者，也是最核心的利益相关者。第二，教师与导师，虽然不是直接操作系统的主要用户，但学生更有效的学习规划可以间接提升课程项目推进质量。第三，项目开发者/作者，通过本项目展示了前端开发能力、用户需求分析能力与教育技术场景中的产品思考能力。第四，教育技术应用场景中的学校支持系统，若此类工具进一步发展，可作为高校学习支持的辅助模块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 经验教训（Lessons Learned）</w:t>
      </w:r>
    </w:p>
    <w:p>
      <w:pPr>
        <w:spacing w:after="120" w:line="340"/>
        <w:ind w:firstLine="42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一，学习支持工具并不是功能越多越好。与其不断增加标签、统计和复杂筛选，不如优先解决用户最痛的一个问题——开始行动。第二，产品逻辑应服务于使用行为，而不是停留在信息管理。很多待办工具能够帮助用户写下任务，但不能帮助用户真正开始。第三，针对特定用户痛点的小而精设计，比面向所有人需求的大而全设计更容易形成明确价值。第四，课程项目中的技术选择应与目标匹配。若项目重点是交互和用户体验，那么轻量 Web 技术往往比复杂后端架构更合适。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参考文献</w:t>
      </w:r>
    </w:p>
    <w:p>
      <w:r>
        <w:rPr>
          <w:rFonts w:ascii="SimSun" w:cs="SimSun" w:eastAsia="SimSun" w:hAnsi="SimSun"/>
          <w:sz w:val="21"/>
          <w:szCs w:val="21"/>
        </w:rPr>
        <w:t xml:space="preserve">Almutairi, J. H., &amp; Ahmed, A. T. (2022). Executive tasks and cognitive flexibility and their relationship to academic achievement among university students with ADHD. Journal of Education and Health Promotion, 11, 224.</w:t>
      </w:r>
    </w:p>
    <w:p>
      <w:r>
        <w:rPr>
          <w:rFonts w:ascii="SimSun" w:cs="SimSun" w:eastAsia="SimSun" w:hAnsi="SimSun"/>
          <w:sz w:val="21"/>
          <w:szCs w:val="21"/>
        </w:rPr>
        <w:t xml:space="preserve">Centers for Disease Control and Prevention. (2024). ADHD in adults: An overview. https://www.cdc.gov/adhd/articles/adhd-across-the-lifetime.html</w:t>
      </w:r>
    </w:p>
    <w:p>
      <w:r>
        <w:rPr>
          <w:rFonts w:ascii="SimSun" w:cs="SimSun" w:eastAsia="SimSun" w:hAnsi="SimSun"/>
          <w:sz w:val="21"/>
          <w:szCs w:val="21"/>
        </w:rPr>
        <w:t xml:space="preserve">Cirillo, F. (2018). The Pomodoro technique: The life-changing time-management system. Ebury Publishing.</w:t>
      </w:r>
    </w:p>
    <w:p>
      <w:r>
        <w:rPr>
          <w:rFonts w:ascii="SimSun" w:cs="SimSun" w:eastAsia="SimSun" w:hAnsi="SimSun"/>
          <w:sz w:val="21"/>
          <w:szCs w:val="21"/>
        </w:rPr>
        <w:t xml:space="preserve">Willcutt, E. G., Doyle, A. E., Nigg, J. T., et al. (2005). Validity of the executive function theory of ADHD: A meta-analytic review. Biological Psychiatry, 57(11), 1336-1346.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17cde81a5b21f7534f4957b79d0cfacd49aea1.png"/><Relationship Id="rId8" Type="http://schemas.openxmlformats.org/officeDocument/2006/relationships/image" Target="media/1b73a4d7237e0ec18b8427407778c39729f23590.png"/><Relationship Id="rId9" Type="http://schemas.openxmlformats.org/officeDocument/2006/relationships/image" Target="media/3154fcfed5e6b98674c71fa671a26904620c4c8b.png"/><Relationship Id="rId10" Type="http://schemas.openxmlformats.org/officeDocument/2006/relationships/image" Target="media/337e77f6ccca4b8bca22816cef817ea6e4e10ee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2026-04-13T04:29:10.300Z</dcterms:created>
  <dcterms:modified xsi:type="dcterms:W3CDTF">2026-04-13T04:29:10.302Z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