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3F" w:rsidRPr="00B32CEA" w:rsidRDefault="0080383F" w:rsidP="0080383F">
      <w:pPr>
        <w:rPr>
          <w:b/>
          <w:sz w:val="24"/>
          <w:szCs w:val="24"/>
        </w:rPr>
      </w:pPr>
      <w:bookmarkStart w:id="0" w:name="_Hlk8118516"/>
      <w:r>
        <w:rPr>
          <w:sz w:val="24"/>
          <w:szCs w:val="24"/>
        </w:rPr>
        <w:t xml:space="preserve">WORDING FOR THE IMEP WEBSITE </w:t>
      </w:r>
      <w:bookmarkEnd w:id="0"/>
      <w:r>
        <w:rPr>
          <w:sz w:val="24"/>
          <w:szCs w:val="24"/>
        </w:rPr>
        <w:t xml:space="preserve">(OSP </w:t>
      </w:r>
      <w:r w:rsidR="00E63C23">
        <w:rPr>
          <w:sz w:val="24"/>
          <w:szCs w:val="24"/>
        </w:rPr>
        <w:t>&amp;</w:t>
      </w:r>
      <w:r w:rsidR="00743C7F">
        <w:rPr>
          <w:sz w:val="24"/>
          <w:szCs w:val="24"/>
        </w:rPr>
        <w:t xml:space="preserve"> KAR April</w:t>
      </w:r>
      <w:r>
        <w:rPr>
          <w:sz w:val="24"/>
          <w:szCs w:val="24"/>
        </w:rPr>
        <w:t xml:space="preserve"> 2019</w:t>
      </w:r>
      <w:r w:rsidR="00743C7F">
        <w:rPr>
          <w:sz w:val="24"/>
          <w:szCs w:val="24"/>
        </w:rPr>
        <w:t xml:space="preserve">, checked HEJ 6 May </w:t>
      </w:r>
      <w:r w:rsidR="00E63C23">
        <w:rPr>
          <w:sz w:val="24"/>
          <w:szCs w:val="24"/>
        </w:rPr>
        <w:t>2019</w:t>
      </w:r>
      <w:r>
        <w:rPr>
          <w:sz w:val="24"/>
          <w:szCs w:val="24"/>
        </w:rPr>
        <w:t>)</w:t>
      </w:r>
    </w:p>
    <w:p w:rsidR="0080383F" w:rsidRDefault="0080383F" w:rsidP="0080383F">
      <w:pPr>
        <w:rPr>
          <w:sz w:val="24"/>
          <w:szCs w:val="24"/>
        </w:rPr>
      </w:pPr>
    </w:p>
    <w:p w:rsidR="0080383F" w:rsidRPr="004C4322" w:rsidRDefault="0080383F" w:rsidP="0080383F">
      <w:pPr>
        <w:rPr>
          <w:sz w:val="24"/>
          <w:szCs w:val="24"/>
        </w:rPr>
      </w:pPr>
      <w:r w:rsidRPr="004C4322">
        <w:rPr>
          <w:sz w:val="24"/>
          <w:szCs w:val="24"/>
        </w:rPr>
        <w:t>[1] About IMEP</w:t>
      </w: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D3349">
        <w:rPr>
          <w:i/>
          <w:iCs/>
          <w:sz w:val="24"/>
          <w:szCs w:val="24"/>
        </w:rPr>
        <w:t>Index of Middle English Prose</w:t>
      </w:r>
      <w:r>
        <w:rPr>
          <w:sz w:val="24"/>
          <w:szCs w:val="24"/>
        </w:rPr>
        <w:t>, which began publication in 1984, aims to catalogue</w:t>
      </w:r>
      <w:r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all items of Middle English prose surviving in manuscript form. Its founding General Editor was A. S. G. Edwards. Twenty-three volumes have now been published, covering the contents of over seventy manuscript collections. </w:t>
      </w:r>
    </w:p>
    <w:p w:rsidR="0080383F" w:rsidRPr="008732DB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8732DB">
        <w:rPr>
          <w:sz w:val="24"/>
          <w:szCs w:val="24"/>
        </w:rPr>
        <w:t xml:space="preserve">first version of the </w:t>
      </w:r>
      <w:r w:rsidR="00573D1F" w:rsidRPr="00573D1F">
        <w:rPr>
          <w:sz w:val="24"/>
          <w:szCs w:val="24"/>
        </w:rPr>
        <w:t>IMEP</w:t>
      </w:r>
      <w:r w:rsidR="00573D1F">
        <w:rPr>
          <w:sz w:val="24"/>
          <w:szCs w:val="24"/>
        </w:rPr>
        <w:t xml:space="preserve"> </w:t>
      </w:r>
      <w:r w:rsidRPr="008732DB">
        <w:rPr>
          <w:sz w:val="24"/>
          <w:szCs w:val="24"/>
        </w:rPr>
        <w:t>website contains searchable indexes to the first twenty volumes</w:t>
      </w:r>
      <w:r w:rsidR="001725F8">
        <w:rPr>
          <w:sz w:val="24"/>
          <w:szCs w:val="24"/>
        </w:rPr>
        <w:t xml:space="preserve">, </w:t>
      </w:r>
      <w:r w:rsidR="00FD6F10">
        <w:rPr>
          <w:sz w:val="24"/>
          <w:szCs w:val="24"/>
        </w:rPr>
        <w:t xml:space="preserve">providing </w:t>
      </w:r>
      <w:r w:rsidR="00477F14">
        <w:rPr>
          <w:sz w:val="24"/>
          <w:szCs w:val="24"/>
        </w:rPr>
        <w:t>a valuable research tool for Middle English</w:t>
      </w:r>
      <w:r w:rsidR="00FD6F10">
        <w:rPr>
          <w:sz w:val="24"/>
          <w:szCs w:val="24"/>
        </w:rPr>
        <w:t xml:space="preserve"> scholars</w:t>
      </w:r>
      <w:r w:rsidR="00477F14">
        <w:rPr>
          <w:sz w:val="24"/>
          <w:szCs w:val="24"/>
        </w:rPr>
        <w:t xml:space="preserve">. </w:t>
      </w:r>
      <w:r w:rsidRPr="00625096">
        <w:rPr>
          <w:color w:val="FF0000"/>
          <w:sz w:val="24"/>
          <w:szCs w:val="24"/>
        </w:rPr>
        <w:t xml:space="preserve">Click here </w:t>
      </w:r>
      <w:r>
        <w:rPr>
          <w:sz w:val="24"/>
          <w:szCs w:val="24"/>
        </w:rPr>
        <w:t xml:space="preserve">for a full list of volumes and for summary lists of the </w:t>
      </w:r>
      <w:r w:rsidRPr="008732DB">
        <w:rPr>
          <w:sz w:val="24"/>
          <w:szCs w:val="24"/>
        </w:rPr>
        <w:t>Middle English prose contents of the first twenty.</w:t>
      </w:r>
      <w:r w:rsidR="005652B5">
        <w:rPr>
          <w:sz w:val="24"/>
          <w:szCs w:val="24"/>
        </w:rPr>
        <w:t xml:space="preserve"> </w:t>
      </w:r>
      <w:r w:rsidR="00C9359D" w:rsidRPr="00625096">
        <w:rPr>
          <w:color w:val="FF0000"/>
          <w:sz w:val="24"/>
          <w:szCs w:val="24"/>
        </w:rPr>
        <w:t>Click here</w:t>
      </w:r>
      <w:r w:rsidR="00C9359D">
        <w:rPr>
          <w:color w:val="FF0000"/>
          <w:sz w:val="24"/>
          <w:szCs w:val="24"/>
        </w:rPr>
        <w:t xml:space="preserve"> </w:t>
      </w:r>
      <w:r w:rsidR="00C9359D" w:rsidRPr="00C9359D">
        <w:rPr>
          <w:sz w:val="24"/>
          <w:szCs w:val="24"/>
        </w:rPr>
        <w:t>for</w:t>
      </w:r>
      <w:r w:rsidR="00C9359D">
        <w:rPr>
          <w:sz w:val="24"/>
          <w:szCs w:val="24"/>
        </w:rPr>
        <w:t xml:space="preserve"> a list of a</w:t>
      </w:r>
      <w:r w:rsidR="00C9359D" w:rsidRPr="00C9359D">
        <w:rPr>
          <w:sz w:val="24"/>
          <w:szCs w:val="24"/>
        </w:rPr>
        <w:t>bbreviated names of collections and their location</w:t>
      </w:r>
      <w:r w:rsidR="00C9359D">
        <w:rPr>
          <w:sz w:val="24"/>
          <w:szCs w:val="24"/>
        </w:rPr>
        <w:t>.</w:t>
      </w:r>
    </w:p>
    <w:p w:rsidR="0080383F" w:rsidRDefault="0080383F" w:rsidP="0080383F">
      <w:pPr>
        <w:rPr>
          <w:sz w:val="24"/>
          <w:szCs w:val="24"/>
        </w:rPr>
      </w:pPr>
    </w:p>
    <w:p w:rsidR="0080383F" w:rsidRPr="00C34BC7" w:rsidRDefault="0080383F" w:rsidP="0080383F">
      <w:pPr>
        <w:ind w:left="720"/>
        <w:rPr>
          <w:color w:val="00B0F0"/>
          <w:sz w:val="24"/>
          <w:szCs w:val="24"/>
        </w:rPr>
      </w:pPr>
      <w:r w:rsidRPr="00C34BC7">
        <w:rPr>
          <w:color w:val="00B0F0"/>
          <w:sz w:val="24"/>
          <w:szCs w:val="24"/>
        </w:rPr>
        <w:t>[RESULT OF FIRST CLICK</w:t>
      </w:r>
      <w:r w:rsidR="00A3149D">
        <w:rPr>
          <w:color w:val="00B0F0"/>
          <w:sz w:val="24"/>
          <w:szCs w:val="24"/>
        </w:rPr>
        <w:t xml:space="preserve"> IN SECOND PARAGRAPH</w:t>
      </w:r>
      <w:r w:rsidRPr="00C34BC7">
        <w:rPr>
          <w:color w:val="00B0F0"/>
          <w:sz w:val="24"/>
          <w:szCs w:val="24"/>
        </w:rPr>
        <w:t>]</w:t>
      </w:r>
    </w:p>
    <w:p w:rsidR="0080383F" w:rsidRDefault="0080383F" w:rsidP="008038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Published volumes </w:t>
      </w:r>
    </w:p>
    <w:p w:rsidR="0080383F" w:rsidRDefault="0080383F" w:rsidP="0080383F">
      <w:pPr>
        <w:ind w:left="720"/>
        <w:rPr>
          <w:sz w:val="24"/>
          <w:szCs w:val="24"/>
        </w:rPr>
      </w:pPr>
      <w:r>
        <w:rPr>
          <w:iCs/>
          <w:sz w:val="24"/>
          <w:szCs w:val="24"/>
        </w:rPr>
        <w:t xml:space="preserve">The </w:t>
      </w:r>
      <w:r w:rsidRPr="005F7042">
        <w:rPr>
          <w:i/>
          <w:iCs/>
          <w:sz w:val="24"/>
          <w:szCs w:val="24"/>
        </w:rPr>
        <w:t>IMEP</w:t>
      </w:r>
      <w:r>
        <w:rPr>
          <w:sz w:val="24"/>
          <w:szCs w:val="24"/>
        </w:rPr>
        <w:t xml:space="preserve"> series is published by D. S. Brewer, Cambridge. All volumes are available. Summary lists of the </w:t>
      </w:r>
      <w:r w:rsidRPr="008732DB">
        <w:rPr>
          <w:sz w:val="24"/>
          <w:szCs w:val="24"/>
        </w:rPr>
        <w:t xml:space="preserve">Middle English prose </w:t>
      </w:r>
      <w:r>
        <w:rPr>
          <w:sz w:val="24"/>
          <w:szCs w:val="24"/>
        </w:rPr>
        <w:t>contents of each volume can be consulted by following the links:</w:t>
      </w:r>
    </w:p>
    <w:p w:rsidR="0080383F" w:rsidRDefault="0080383F" w:rsidP="0080383F">
      <w:pPr>
        <w:ind w:left="720"/>
        <w:rPr>
          <w:sz w:val="24"/>
          <w:szCs w:val="24"/>
        </w:rPr>
      </w:pPr>
      <w:r w:rsidRPr="005F7042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ED4F5C">
        <w:rPr>
          <w:i/>
          <w:iCs/>
          <w:sz w:val="24"/>
          <w:szCs w:val="24"/>
        </w:rPr>
        <w:t>Manuscripts in the Henry E. Huntington Library</w:t>
      </w:r>
      <w:r w:rsidRPr="000A40CD">
        <w:rPr>
          <w:sz w:val="24"/>
          <w:szCs w:val="24"/>
        </w:rPr>
        <w:t>,</w:t>
      </w:r>
      <w:r>
        <w:rPr>
          <w:sz w:val="24"/>
          <w:szCs w:val="24"/>
        </w:rPr>
        <w:t xml:space="preserve"> compiled by Ralph Hanna. </w:t>
      </w:r>
      <w:r w:rsidRPr="005F7042">
        <w:rPr>
          <w:color w:val="FF0000"/>
          <w:sz w:val="24"/>
          <w:szCs w:val="24"/>
        </w:rPr>
        <w:t xml:space="preserve">Summary </w:t>
      </w:r>
      <w:r>
        <w:rPr>
          <w:color w:val="FF0000"/>
          <w:sz w:val="24"/>
          <w:szCs w:val="24"/>
        </w:rPr>
        <w:t xml:space="preserve">list of </w:t>
      </w:r>
      <w:r w:rsidRPr="008732DB">
        <w:rPr>
          <w:color w:val="FF0000"/>
          <w:sz w:val="24"/>
          <w:szCs w:val="24"/>
        </w:rPr>
        <w:t xml:space="preserve">ME prose </w:t>
      </w:r>
      <w:r w:rsidRPr="005F7042">
        <w:rPr>
          <w:color w:val="FF0000"/>
          <w:sz w:val="24"/>
          <w:szCs w:val="24"/>
        </w:rPr>
        <w:t>contents</w:t>
      </w:r>
      <w:r>
        <w:rPr>
          <w:sz w:val="24"/>
          <w:szCs w:val="24"/>
        </w:rPr>
        <w:t>.</w:t>
      </w:r>
    </w:p>
    <w:p w:rsidR="0080383F" w:rsidRDefault="0080383F" w:rsidP="0080383F">
      <w:pPr>
        <w:ind w:left="720"/>
        <w:rPr>
          <w:i/>
          <w:iCs/>
          <w:noProof/>
        </w:rPr>
      </w:pPr>
      <w:r>
        <w:rPr>
          <w:sz w:val="24"/>
          <w:szCs w:val="24"/>
        </w:rPr>
        <w:t xml:space="preserve">2. </w:t>
      </w:r>
      <w:r w:rsidRPr="00ED4F5C">
        <w:rPr>
          <w:i/>
          <w:iCs/>
          <w:sz w:val="24"/>
          <w:szCs w:val="24"/>
        </w:rPr>
        <w:t>Manuscripts in the John Rylands University Library of Manchester and Chetham’s Library</w:t>
      </w:r>
      <w:r w:rsidRPr="000A40CD">
        <w:rPr>
          <w:iCs/>
          <w:sz w:val="24"/>
          <w:szCs w:val="24"/>
        </w:rPr>
        <w:t>,</w:t>
      </w:r>
      <w:r w:rsidRPr="00ED4F5C">
        <w:rPr>
          <w:i/>
          <w:iCs/>
          <w:sz w:val="24"/>
          <w:szCs w:val="24"/>
        </w:rPr>
        <w:t xml:space="preserve"> Manchester</w:t>
      </w:r>
      <w:r>
        <w:rPr>
          <w:sz w:val="24"/>
          <w:szCs w:val="24"/>
        </w:rPr>
        <w:t xml:space="preserve">, compiled by G. A. Lester. </w:t>
      </w:r>
      <w:r w:rsidRPr="009642A7">
        <w:rPr>
          <w:color w:val="FF0000"/>
          <w:sz w:val="24"/>
          <w:szCs w:val="24"/>
        </w:rPr>
        <w:t xml:space="preserve">Summary list of </w:t>
      </w:r>
      <w:r w:rsidRPr="00712364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 w:rsidRPr="009855A9">
        <w:rPr>
          <w:sz w:val="24"/>
          <w:szCs w:val="24"/>
        </w:rPr>
        <w:t>3.</w:t>
      </w:r>
      <w:r w:rsidRPr="009855A9">
        <w:rPr>
          <w:i/>
          <w:iCs/>
          <w:noProof/>
          <w:sz w:val="24"/>
          <w:szCs w:val="24"/>
        </w:rPr>
        <w:t xml:space="preserve">  </w:t>
      </w:r>
      <w:r w:rsidRPr="00ED4F5C">
        <w:rPr>
          <w:i/>
          <w:iCs/>
          <w:sz w:val="24"/>
          <w:szCs w:val="24"/>
        </w:rPr>
        <w:t>Manuscripts</w:t>
      </w:r>
      <w:r w:rsidRPr="009855A9">
        <w:rPr>
          <w:i/>
          <w:iCs/>
          <w:noProof/>
          <w:sz w:val="24"/>
          <w:szCs w:val="24"/>
        </w:rPr>
        <w:t xml:space="preserve"> in the Digby Collection, Bodleian Library, Oxford</w:t>
      </w:r>
      <w:r w:rsidRPr="000A40CD">
        <w:rPr>
          <w:noProof/>
          <w:sz w:val="24"/>
          <w:szCs w:val="24"/>
        </w:rPr>
        <w:t>,</w:t>
      </w:r>
      <w:r w:rsidRPr="009855A9">
        <w:rPr>
          <w:noProof/>
          <w:sz w:val="24"/>
          <w:szCs w:val="24"/>
        </w:rPr>
        <w:t xml:space="preserve"> compiled by Patrick J. Horner.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 w:rsidRPr="009B2E4B">
        <w:rPr>
          <w:noProof/>
          <w:sz w:val="24"/>
          <w:szCs w:val="24"/>
        </w:rPr>
        <w:t xml:space="preserve">4.  </w:t>
      </w:r>
      <w:r w:rsidRPr="00ED4F5C">
        <w:rPr>
          <w:i/>
          <w:iCs/>
          <w:sz w:val="24"/>
          <w:szCs w:val="24"/>
        </w:rPr>
        <w:t>Manuscripts</w:t>
      </w:r>
      <w:r>
        <w:rPr>
          <w:i/>
          <w:iCs/>
          <w:sz w:val="24"/>
          <w:szCs w:val="24"/>
        </w:rPr>
        <w:t xml:space="preserve"> in the </w:t>
      </w:r>
      <w:r w:rsidRPr="009B2E4B">
        <w:rPr>
          <w:i/>
          <w:iCs/>
          <w:noProof/>
          <w:sz w:val="24"/>
          <w:szCs w:val="24"/>
        </w:rPr>
        <w:t xml:space="preserve">Douce </w:t>
      </w:r>
      <w:r>
        <w:rPr>
          <w:i/>
          <w:iCs/>
          <w:noProof/>
          <w:sz w:val="24"/>
          <w:szCs w:val="24"/>
        </w:rPr>
        <w:t>Collection,</w:t>
      </w:r>
      <w:r w:rsidRPr="009B2E4B">
        <w:rPr>
          <w:i/>
          <w:iCs/>
          <w:noProof/>
          <w:sz w:val="24"/>
          <w:szCs w:val="24"/>
        </w:rPr>
        <w:t xml:space="preserve"> Bodleian Library, Oxford</w:t>
      </w:r>
      <w:r w:rsidRPr="009B2E4B">
        <w:rPr>
          <w:noProof/>
          <w:sz w:val="24"/>
          <w:szCs w:val="24"/>
        </w:rPr>
        <w:t>, compiled by Laurel Braswell.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5. </w:t>
      </w:r>
      <w:r w:rsidRPr="00ED4F5C">
        <w:rPr>
          <w:i/>
          <w:iCs/>
          <w:sz w:val="24"/>
          <w:szCs w:val="24"/>
        </w:rPr>
        <w:t>Manuscripts</w:t>
      </w:r>
      <w:r w:rsidRPr="009B2E4B">
        <w:rPr>
          <w:i/>
          <w:iCs/>
          <w:noProof/>
          <w:sz w:val="24"/>
          <w:szCs w:val="24"/>
        </w:rPr>
        <w:t xml:space="preserve"> in the Additional Collection (10001-14000), British Library, London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Peter Brown and Elton J. Higgs.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6. </w:t>
      </w:r>
      <w:r w:rsidRPr="00ED4F5C">
        <w:rPr>
          <w:i/>
          <w:iCs/>
          <w:sz w:val="24"/>
          <w:szCs w:val="24"/>
        </w:rPr>
        <w:t>Manuscripts</w:t>
      </w:r>
      <w:r w:rsidRPr="009B2E4B">
        <w:rPr>
          <w:i/>
          <w:iCs/>
          <w:noProof/>
          <w:sz w:val="24"/>
          <w:szCs w:val="24"/>
        </w:rPr>
        <w:t xml:space="preserve"> in Yorkshire Libraries and Archives</w:t>
      </w:r>
      <w:r w:rsidRPr="000A40CD">
        <w:rPr>
          <w:noProof/>
          <w:sz w:val="24"/>
          <w:szCs w:val="24"/>
        </w:rPr>
        <w:t>,</w:t>
      </w:r>
      <w:r w:rsidRPr="009B2E4B">
        <w:rPr>
          <w:noProof/>
          <w:sz w:val="24"/>
          <w:szCs w:val="24"/>
        </w:rPr>
        <w:t xml:space="preserve">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O.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S. Pickering and Susan Powell.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7. </w:t>
      </w:r>
      <w:r w:rsidRPr="00ED4F5C">
        <w:rPr>
          <w:i/>
          <w:iCs/>
          <w:sz w:val="24"/>
          <w:szCs w:val="24"/>
        </w:rPr>
        <w:t>Manuscripts</w:t>
      </w:r>
      <w:r w:rsidRPr="009B2E4B">
        <w:rPr>
          <w:i/>
          <w:iCs/>
          <w:noProof/>
          <w:sz w:val="24"/>
          <w:szCs w:val="24"/>
        </w:rPr>
        <w:t xml:space="preserve"> in Parisian Libraries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James Simpson.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8. </w:t>
      </w:r>
      <w:r w:rsidRPr="00ED4F5C">
        <w:rPr>
          <w:i/>
          <w:iCs/>
          <w:sz w:val="24"/>
          <w:szCs w:val="24"/>
        </w:rPr>
        <w:t>Manuscripts</w:t>
      </w:r>
      <w:r w:rsidRPr="009B2E4B">
        <w:rPr>
          <w:i/>
          <w:iCs/>
          <w:noProof/>
          <w:sz w:val="24"/>
          <w:szCs w:val="24"/>
        </w:rPr>
        <w:t xml:space="preserve"> in Oxford College Libraries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S.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J. Ogilvie-Thomson.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i/>
          <w:i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9. </w:t>
      </w:r>
      <w:r w:rsidRPr="00ED4F5C">
        <w:rPr>
          <w:i/>
          <w:iCs/>
          <w:sz w:val="24"/>
          <w:szCs w:val="24"/>
        </w:rPr>
        <w:t>Manuscripts</w:t>
      </w:r>
      <w:r w:rsidRPr="009B2E4B">
        <w:rPr>
          <w:i/>
          <w:iCs/>
          <w:noProof/>
          <w:sz w:val="24"/>
          <w:szCs w:val="24"/>
        </w:rPr>
        <w:t xml:space="preserve"> in the Ashmole Collection, Bodleian Library, Oxford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L.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M. Eldredge.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color w:val="FF0000"/>
          <w:sz w:val="24"/>
          <w:szCs w:val="24"/>
        </w:rPr>
      </w:pPr>
      <w:r>
        <w:rPr>
          <w:iCs/>
          <w:noProof/>
          <w:sz w:val="24"/>
          <w:szCs w:val="24"/>
        </w:rPr>
        <w:t xml:space="preserve">10. </w:t>
      </w:r>
      <w:r w:rsidRPr="009B2E4B">
        <w:rPr>
          <w:i/>
          <w:iCs/>
          <w:noProof/>
          <w:sz w:val="24"/>
          <w:szCs w:val="24"/>
        </w:rPr>
        <w:t>Manuscripts in Scandinavian Collections</w:t>
      </w:r>
      <w:r w:rsidRPr="009B2E4B">
        <w:rPr>
          <w:noProof/>
          <w:sz w:val="24"/>
          <w:szCs w:val="24"/>
        </w:rPr>
        <w:t>, compiled by Irma Taavitsainen.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  <w:r>
        <w:rPr>
          <w:color w:val="FF0000"/>
          <w:sz w:val="24"/>
          <w:szCs w:val="24"/>
        </w:rPr>
        <w:t xml:space="preserve"> 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iCs/>
          <w:noProof/>
          <w:sz w:val="24"/>
          <w:szCs w:val="24"/>
        </w:rPr>
        <w:t>11.</w:t>
      </w:r>
      <w:r>
        <w:rPr>
          <w:noProof/>
          <w:sz w:val="24"/>
          <w:szCs w:val="24"/>
        </w:rPr>
        <w:t xml:space="preserve"> </w:t>
      </w:r>
      <w:r w:rsidRPr="009B2E4B">
        <w:rPr>
          <w:i/>
          <w:iCs/>
          <w:noProof/>
          <w:sz w:val="24"/>
          <w:szCs w:val="24"/>
        </w:rPr>
        <w:t>Manuscripts in the Library of Trinity College, Cambridge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Linne R. Mooney.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12. </w:t>
      </w:r>
      <w:r w:rsidRPr="009B2E4B">
        <w:rPr>
          <w:i/>
          <w:iCs/>
          <w:noProof/>
          <w:sz w:val="24"/>
          <w:szCs w:val="24"/>
        </w:rPr>
        <w:t>Manuscripts  in Smaller Bodleian Collections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Ralph Hanna</w:t>
      </w:r>
      <w:r w:rsidRPr="009B2E4B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13. </w:t>
      </w:r>
      <w:r w:rsidRPr="009B2E4B">
        <w:rPr>
          <w:i/>
          <w:iCs/>
          <w:noProof/>
          <w:sz w:val="24"/>
          <w:szCs w:val="24"/>
        </w:rPr>
        <w:t>Manuscripts in Lambeth Palace Library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O.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S. Pickering and V.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M. O’Mara.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14. </w:t>
      </w:r>
      <w:r w:rsidRPr="009B2E4B">
        <w:rPr>
          <w:i/>
          <w:iCs/>
          <w:noProof/>
          <w:sz w:val="24"/>
          <w:szCs w:val="24"/>
        </w:rPr>
        <w:t>Manuscripts in The National Library of Wales (Llyfrgell Genedlaethol Cymru), Aberystwyth</w:t>
      </w:r>
      <w:r w:rsidRPr="009B2E4B">
        <w:rPr>
          <w:noProof/>
          <w:sz w:val="24"/>
          <w:szCs w:val="24"/>
        </w:rPr>
        <w:t xml:space="preserve">, compiled by </w:t>
      </w:r>
      <w:r>
        <w:rPr>
          <w:noProof/>
          <w:sz w:val="24"/>
          <w:szCs w:val="24"/>
        </w:rPr>
        <w:t xml:space="preserve">William Marx.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15. </w:t>
      </w:r>
      <w:r w:rsidRPr="009B2E4B">
        <w:rPr>
          <w:i/>
          <w:iCs/>
          <w:noProof/>
          <w:sz w:val="24"/>
          <w:szCs w:val="24"/>
        </w:rPr>
        <w:t>Manuscripts in Midland Libraries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Valerie Edden.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16. </w:t>
      </w:r>
      <w:r w:rsidRPr="009B2E4B">
        <w:rPr>
          <w:i/>
          <w:iCs/>
          <w:noProof/>
          <w:sz w:val="24"/>
          <w:szCs w:val="24"/>
        </w:rPr>
        <w:t>Manuscripts in the Laudian Collection, Bodleian Library, Oxford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S.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J. Ogilvie-Thomson.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17. </w:t>
      </w:r>
      <w:r w:rsidRPr="009B2E4B">
        <w:rPr>
          <w:i/>
          <w:iCs/>
          <w:noProof/>
          <w:sz w:val="24"/>
          <w:szCs w:val="24"/>
        </w:rPr>
        <w:t>Manuscripts in the Library of Gonville and Caius College, Cambridge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K</w:t>
      </w:r>
      <w:r w:rsidRPr="009B2E4B">
        <w:rPr>
          <w:noProof/>
          <w:sz w:val="24"/>
          <w:szCs w:val="24"/>
        </w:rPr>
        <w:t>ari Anne Rand Schmidt.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t xml:space="preserve">18. </w:t>
      </w:r>
      <w:r w:rsidRPr="009B2E4B">
        <w:rPr>
          <w:i/>
          <w:iCs/>
          <w:noProof/>
          <w:sz w:val="24"/>
          <w:szCs w:val="24"/>
        </w:rPr>
        <w:t>Manuscripts in the Collection of Pembroke College, Cambridge, and the Fitzwilliam Museum</w:t>
      </w:r>
      <w:r w:rsidRPr="009B2E4B">
        <w:rPr>
          <w:noProof/>
          <w:sz w:val="24"/>
          <w:szCs w:val="24"/>
        </w:rPr>
        <w:t>, compiled by</w:t>
      </w:r>
      <w:r>
        <w:rPr>
          <w:noProof/>
          <w:sz w:val="24"/>
          <w:szCs w:val="24"/>
        </w:rPr>
        <w:t xml:space="preserve"> </w:t>
      </w:r>
      <w:r w:rsidRPr="009B2E4B">
        <w:rPr>
          <w:noProof/>
          <w:sz w:val="24"/>
          <w:szCs w:val="24"/>
        </w:rPr>
        <w:t>Kari Anne Rand.</w:t>
      </w:r>
      <w:r>
        <w:rPr>
          <w:noProof/>
          <w:sz w:val="24"/>
          <w:szCs w:val="24"/>
        </w:rPr>
        <w:t xml:space="preserve">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t>19.</w:t>
      </w:r>
      <w:r>
        <w:rPr>
          <w:iCs/>
          <w:noProof/>
          <w:sz w:val="24"/>
          <w:szCs w:val="24"/>
        </w:rPr>
        <w:t xml:space="preserve"> </w:t>
      </w:r>
      <w:r w:rsidRPr="000A40CD">
        <w:rPr>
          <w:i/>
          <w:iCs/>
          <w:noProof/>
          <w:sz w:val="24"/>
          <w:szCs w:val="24"/>
        </w:rPr>
        <w:t>Manuscripts in the University Library, Cambridge</w:t>
      </w:r>
      <w:r>
        <w:rPr>
          <w:iCs/>
          <w:noProof/>
          <w:sz w:val="24"/>
          <w:szCs w:val="24"/>
        </w:rPr>
        <w:t xml:space="preserve">, compiled by Margaret Connolly.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</w:p>
    <w:p w:rsidR="0080383F" w:rsidRDefault="0080383F" w:rsidP="0080383F">
      <w:pPr>
        <w:ind w:left="720"/>
        <w:rPr>
          <w:iCs/>
          <w:noProof/>
          <w:sz w:val="24"/>
          <w:szCs w:val="24"/>
        </w:rPr>
      </w:pPr>
      <w:r>
        <w:rPr>
          <w:iCs/>
          <w:noProof/>
          <w:sz w:val="24"/>
          <w:szCs w:val="24"/>
        </w:rPr>
        <w:t xml:space="preserve">20. </w:t>
      </w:r>
      <w:r>
        <w:rPr>
          <w:i/>
          <w:iCs/>
          <w:noProof/>
          <w:sz w:val="24"/>
          <w:szCs w:val="24"/>
        </w:rPr>
        <w:t>Manuscripts in the Library of Corpus Christi College, Cambridge</w:t>
      </w:r>
      <w:r>
        <w:rPr>
          <w:iCs/>
          <w:noProof/>
          <w:sz w:val="24"/>
          <w:szCs w:val="24"/>
        </w:rPr>
        <w:t xml:space="preserve">, compiled by Kari Anne Rand. </w:t>
      </w:r>
      <w:r w:rsidRPr="009642A7">
        <w:rPr>
          <w:color w:val="FF0000"/>
          <w:sz w:val="24"/>
          <w:szCs w:val="24"/>
        </w:rPr>
        <w:t xml:space="preserve">Summary list of </w:t>
      </w:r>
      <w:r w:rsidRPr="004D67B2">
        <w:rPr>
          <w:color w:val="FF0000"/>
          <w:sz w:val="24"/>
          <w:szCs w:val="24"/>
        </w:rPr>
        <w:t xml:space="preserve">ME prose </w:t>
      </w:r>
      <w:r w:rsidRPr="009642A7">
        <w:rPr>
          <w:color w:val="FF0000"/>
          <w:sz w:val="24"/>
          <w:szCs w:val="24"/>
        </w:rPr>
        <w:t>contents.</w:t>
      </w:r>
      <w:r>
        <w:rPr>
          <w:color w:val="FF0000"/>
          <w:sz w:val="24"/>
          <w:szCs w:val="24"/>
        </w:rPr>
        <w:t xml:space="preserve"> </w:t>
      </w:r>
    </w:p>
    <w:p w:rsidR="0080383F" w:rsidRDefault="0080383F" w:rsidP="0080383F">
      <w:pPr>
        <w:ind w:left="720"/>
        <w:rPr>
          <w:iCs/>
          <w:noProof/>
          <w:sz w:val="24"/>
          <w:szCs w:val="24"/>
        </w:rPr>
      </w:pPr>
      <w:r>
        <w:rPr>
          <w:iCs/>
          <w:noProof/>
          <w:sz w:val="24"/>
          <w:szCs w:val="24"/>
        </w:rPr>
        <w:t xml:space="preserve">21. </w:t>
      </w:r>
      <w:r>
        <w:rPr>
          <w:i/>
          <w:iCs/>
          <w:noProof/>
          <w:sz w:val="24"/>
          <w:szCs w:val="24"/>
        </w:rPr>
        <w:t>Manuscripts in the Hatton and e Musaeo Collections, Bodleian Library, Oxford</w:t>
      </w:r>
      <w:r>
        <w:rPr>
          <w:iCs/>
          <w:noProof/>
          <w:sz w:val="24"/>
          <w:szCs w:val="24"/>
        </w:rPr>
        <w:t>, compiled by Patrick J. Horner.</w:t>
      </w:r>
    </w:p>
    <w:p w:rsidR="0080383F" w:rsidRDefault="0080383F" w:rsidP="0080383F">
      <w:pPr>
        <w:ind w:left="720"/>
        <w:rPr>
          <w:iCs/>
          <w:noProof/>
          <w:sz w:val="24"/>
          <w:szCs w:val="24"/>
        </w:rPr>
      </w:pPr>
      <w:r>
        <w:rPr>
          <w:iCs/>
          <w:noProof/>
          <w:sz w:val="24"/>
          <w:szCs w:val="24"/>
        </w:rPr>
        <w:t xml:space="preserve">22. </w:t>
      </w:r>
      <w:r>
        <w:rPr>
          <w:i/>
          <w:iCs/>
          <w:noProof/>
          <w:sz w:val="24"/>
          <w:szCs w:val="24"/>
        </w:rPr>
        <w:t>Manuscripts in Christ’s, Emmanuel, Jesus, Selwyn and Sidney Sussex Colleges, Peterhouse and Trinity Hall, Cambridge</w:t>
      </w:r>
      <w:r>
        <w:rPr>
          <w:iCs/>
          <w:noProof/>
          <w:sz w:val="24"/>
          <w:szCs w:val="24"/>
        </w:rPr>
        <w:t>, compiled by Angela M. Lucas.</w:t>
      </w:r>
    </w:p>
    <w:p w:rsidR="0080383F" w:rsidRDefault="0080383F" w:rsidP="0080383F">
      <w:pPr>
        <w:ind w:left="720"/>
        <w:rPr>
          <w:iCs/>
          <w:noProof/>
          <w:sz w:val="24"/>
          <w:szCs w:val="24"/>
        </w:rPr>
      </w:pPr>
      <w:r>
        <w:rPr>
          <w:iCs/>
          <w:noProof/>
          <w:sz w:val="24"/>
          <w:szCs w:val="24"/>
        </w:rPr>
        <w:t xml:space="preserve">23. </w:t>
      </w:r>
      <w:r>
        <w:rPr>
          <w:i/>
          <w:iCs/>
          <w:noProof/>
          <w:sz w:val="24"/>
          <w:szCs w:val="24"/>
        </w:rPr>
        <w:t>Manuscripts in the Rawlinson Collection, Bodleian Library, Oxford</w:t>
      </w:r>
      <w:r>
        <w:rPr>
          <w:iCs/>
          <w:noProof/>
          <w:sz w:val="24"/>
          <w:szCs w:val="24"/>
        </w:rPr>
        <w:t>, compiled by S. J. Ogilvie-Thomson.</w:t>
      </w:r>
    </w:p>
    <w:p w:rsidR="0080383F" w:rsidRDefault="0080383F" w:rsidP="0080383F">
      <w:pPr>
        <w:ind w:left="1440"/>
        <w:rPr>
          <w:color w:val="00B0F0"/>
          <w:sz w:val="24"/>
          <w:szCs w:val="24"/>
        </w:rPr>
      </w:pPr>
      <w:r w:rsidRPr="005D4BB1">
        <w:rPr>
          <w:color w:val="00B0F0"/>
          <w:sz w:val="24"/>
          <w:szCs w:val="24"/>
        </w:rPr>
        <w:lastRenderedPageBreak/>
        <w:t>[</w:t>
      </w:r>
      <w:r w:rsidR="00C9359D">
        <w:rPr>
          <w:color w:val="00B0F0"/>
          <w:sz w:val="24"/>
          <w:szCs w:val="24"/>
        </w:rPr>
        <w:t>Clicks within above list should lead to s</w:t>
      </w:r>
      <w:r w:rsidRPr="005D4BB1">
        <w:rPr>
          <w:color w:val="00B0F0"/>
          <w:sz w:val="24"/>
          <w:szCs w:val="24"/>
        </w:rPr>
        <w:t xml:space="preserve">ummary lists of ME prose contents in vols 1–20 </w:t>
      </w:r>
      <w:r w:rsidR="00C9359D">
        <w:rPr>
          <w:color w:val="00B0F0"/>
          <w:sz w:val="24"/>
          <w:szCs w:val="24"/>
        </w:rPr>
        <w:t>(</w:t>
      </w:r>
      <w:r w:rsidRPr="005D4BB1">
        <w:rPr>
          <w:color w:val="00B0F0"/>
          <w:sz w:val="24"/>
          <w:szCs w:val="24"/>
        </w:rPr>
        <w:t>in separate attachment</w:t>
      </w:r>
      <w:r w:rsidR="00C9359D">
        <w:rPr>
          <w:color w:val="00B0F0"/>
          <w:sz w:val="24"/>
          <w:szCs w:val="24"/>
        </w:rPr>
        <w:t>)</w:t>
      </w:r>
      <w:r w:rsidRPr="005D4BB1">
        <w:rPr>
          <w:color w:val="00B0F0"/>
          <w:sz w:val="24"/>
          <w:szCs w:val="24"/>
        </w:rPr>
        <w:t>.</w:t>
      </w:r>
      <w:r w:rsidR="00C9359D">
        <w:rPr>
          <w:color w:val="00B0F0"/>
          <w:sz w:val="24"/>
          <w:szCs w:val="24"/>
        </w:rPr>
        <w:t xml:space="preserve"> Each list should be brought up separately when clicking on each volume</w:t>
      </w:r>
      <w:r w:rsidRPr="005D4BB1">
        <w:rPr>
          <w:color w:val="00B0F0"/>
          <w:sz w:val="24"/>
          <w:szCs w:val="24"/>
        </w:rPr>
        <w:t>]</w:t>
      </w:r>
    </w:p>
    <w:p w:rsidR="00C9359D" w:rsidRDefault="00C9359D" w:rsidP="00C9359D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</w:p>
    <w:p w:rsidR="00A3149D" w:rsidRDefault="00A3149D" w:rsidP="00A3149D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  <w:t>[RESULT OF SECOND CLICK IN SECOND PRARAGRAPH</w:t>
      </w:r>
      <w:r w:rsidRPr="00C34BC7">
        <w:rPr>
          <w:color w:val="00B0F0"/>
          <w:sz w:val="24"/>
          <w:szCs w:val="24"/>
        </w:rPr>
        <w:t>]</w:t>
      </w:r>
    </w:p>
    <w:p w:rsidR="00A3149D" w:rsidRDefault="00A3149D" w:rsidP="00A3149D">
      <w:pPr>
        <w:spacing w:after="0"/>
        <w:rPr>
          <w:rFonts w:ascii="Garamond" w:hAnsi="Garamond"/>
          <w:b/>
          <w:noProof/>
          <w:sz w:val="20"/>
          <w:szCs w:val="20"/>
        </w:rPr>
      </w:pPr>
      <w:r>
        <w:rPr>
          <w:color w:val="00B0F0"/>
          <w:sz w:val="24"/>
          <w:szCs w:val="24"/>
        </w:rPr>
        <w:tab/>
      </w:r>
      <w:bookmarkStart w:id="1" w:name="_Hlk8119292"/>
      <w:r w:rsidRPr="007038D4">
        <w:rPr>
          <w:rFonts w:ascii="Garamond" w:hAnsi="Garamond"/>
          <w:b/>
          <w:noProof/>
          <w:sz w:val="20"/>
          <w:szCs w:val="20"/>
        </w:rPr>
        <w:t>Abbreviated names of collections and their location</w:t>
      </w:r>
      <w:r>
        <w:rPr>
          <w:rFonts w:ascii="Garamond" w:hAnsi="Garamond"/>
          <w:b/>
          <w:noProof/>
          <w:sz w:val="20"/>
          <w:szCs w:val="20"/>
        </w:rPr>
        <w:t xml:space="preserve"> </w:t>
      </w:r>
      <w:bookmarkEnd w:id="1"/>
      <w:r w:rsidRPr="00A3149D">
        <w:rPr>
          <w:rFonts w:ascii="Garamond" w:hAnsi="Garamond"/>
          <w:b/>
          <w:noProof/>
          <w:color w:val="00B0F0"/>
          <w:sz w:val="20"/>
          <w:szCs w:val="20"/>
        </w:rPr>
        <w:t>[Updated 26.04.19]</w:t>
      </w:r>
    </w:p>
    <w:p w:rsidR="00A3149D" w:rsidRDefault="00A3149D" w:rsidP="00A3149D">
      <w:pPr>
        <w:spacing w:after="0"/>
        <w:rPr>
          <w:rFonts w:ascii="Garamond" w:hAnsi="Garamond"/>
          <w:b/>
          <w:noProof/>
          <w:sz w:val="20"/>
          <w:szCs w:val="20"/>
        </w:rPr>
      </w:pPr>
    </w:p>
    <w:p w:rsidR="00A3149D" w:rsidRPr="007038D4" w:rsidRDefault="00A3149D" w:rsidP="00A3149D">
      <w:pPr>
        <w:spacing w:after="0"/>
        <w:rPr>
          <w:rFonts w:ascii="Garamond" w:hAnsi="Garamond"/>
          <w:b/>
          <w:noProof/>
          <w:sz w:val="20"/>
          <w:szCs w:val="20"/>
        </w:rPr>
      </w:pPr>
      <w:r w:rsidRPr="007038D4">
        <w:rPr>
          <w:rFonts w:ascii="Garamond" w:hAnsi="Garamond"/>
          <w:b/>
          <w:noProof/>
          <w:sz w:val="20"/>
          <w:szCs w:val="20"/>
        </w:rPr>
        <w:t>Abbreviation</w:t>
      </w:r>
      <w:r w:rsidRPr="007038D4">
        <w:rPr>
          <w:rFonts w:ascii="Garamond" w:hAnsi="Garamond"/>
          <w:b/>
          <w:noProof/>
          <w:sz w:val="20"/>
          <w:szCs w:val="20"/>
        </w:rPr>
        <w:tab/>
        <w:t>Vol</w:t>
      </w:r>
      <w:r w:rsidRPr="007038D4">
        <w:rPr>
          <w:rFonts w:ascii="Garamond" w:hAnsi="Garamond"/>
          <w:b/>
          <w:noProof/>
          <w:sz w:val="20"/>
          <w:szCs w:val="20"/>
        </w:rPr>
        <w:tab/>
        <w:t>Location</w:t>
      </w:r>
    </w:p>
    <w:tbl>
      <w:tblPr>
        <w:tblW w:w="0" w:type="auto"/>
        <w:tblInd w:w="154" w:type="dxa"/>
        <w:tblLook w:val="0000" w:firstRow="0" w:lastRow="0" w:firstColumn="0" w:lastColumn="0" w:noHBand="0" w:noVBand="0"/>
      </w:tblPr>
      <w:tblGrid>
        <w:gridCol w:w="1312"/>
        <w:gridCol w:w="640"/>
        <w:gridCol w:w="5594"/>
      </w:tblGrid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Amp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Ampleforth, Ampleforth Abbey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Ashmole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9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Ashmole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Leeds, Leeds University Library, Brotherton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Bham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Birmingham, St Mary’s College, Oscott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BL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British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BMaz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Paris, Bibliothèque Mazarine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Paris, Bibliothèque Nationale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D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MS Douce 274 (pp. 13-14 in vol. 12)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EM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Eng. misc.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EP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Eng. poet.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ET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Eng. th.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L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Lyell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LT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Lat. th.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RT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Radcliffe Trust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Brogyntyn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Brogyntyn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BSteG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sz w:val="20"/>
                <w:szCs w:val="20"/>
              </w:rPr>
              <w:t>Paris, Bibliothèque Sainte Genviève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Caius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17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Gonville &amp; Caius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CCCC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20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Corpus Christi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CFM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Fitzwilliam Museum, Charles Fairfax Murray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Chetham’s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Manchester, Chetham’s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Cph NC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Copenhagen, New Royal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Cph OC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Copenhagen, Old Royal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Cph Thott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Copenhagen, Thott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CUL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19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 University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Digby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Digby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Douce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Douce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EL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San Marino, California, Henry E. Huntington Library, Bridgewater, (Ellesmere)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Fitz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Fitzwilliam Museum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Gloucester Cathedral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 DA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Gloucester Diocesan Archives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Hfd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Hereford Cathedral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HM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San Marino, California, Henry E. Huntington Library, General series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HU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San Marino, California, Henry E. Huntington Library, Huntingdon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Main Sequence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RA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Arundel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RB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Bourgchier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Chichele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RM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Morton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RS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Stafford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Laud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Laud misc.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LD DIO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Leeds, Leeds Diocesan Archives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 TH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Leicester, Town Hall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 UL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Leicester, University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 W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Leicester, Wyggeston Hospital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Lich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Lichfield Cathedral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Llanstephan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Llanstephan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McC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Fitzwilliam Museum, McClean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NLW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Not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Nottingham University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NY CRO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Northallerton, North Yorkshire County Record Office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AS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All Souls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Ba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Balliol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CCC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Corpus Christi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Ch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Christ Church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Ex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Exeter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He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Hertford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Je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Jesus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Ke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Keble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Li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Lincoln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Mg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Magdalen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Mn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Merton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NC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New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Or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Oriel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Pe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Pembroke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Qu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The Queen’s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SJ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St John’s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Tr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Trinity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Un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University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Wa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Wadham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Wo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Worcester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Pem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18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Pembroke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Peniarth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Peniarth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Ptb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Peterborough Cathedral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RCDCA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Ripon, Ripon Cathedral, Dean and Chapter Archives Ripon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(deposited Leeds University Libary)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Ripon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Ripon Cathedral Library (deposited Leeds University Libary)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Rylands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2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Manchester, John Rylands University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Schøyen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Oslo and London, Schøyen Collection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Shf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Sheffield, Sheffield Record Office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Sion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Palace, Sion College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Sotheby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Sotheby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Stockh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Stockholm, Royal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Swl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Southwell Minster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Trefeglwys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PR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14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Trefeglwys Parish Register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Trinity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11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Trinity College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Uppsala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10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Uppsala University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Wor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15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Worcester Cathedral Library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Bor</w:t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York, Borthwick Institute of Historical Research, University of York</w:t>
            </w:r>
          </w:p>
        </w:tc>
      </w:tr>
      <w:tr w:rsidR="00A3149D" w:rsidRPr="007038D4" w:rsidTr="00F90737">
        <w:trPr>
          <w:trHeight w:val="20"/>
        </w:trPr>
        <w:tc>
          <w:tcPr>
            <w:tcW w:w="1312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 Min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A3149D" w:rsidRPr="007038D4" w:rsidRDefault="00A3149D" w:rsidP="00F90737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A3149D" w:rsidRPr="007038D4" w:rsidRDefault="00A3149D" w:rsidP="00F90737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 Minster Library</w:t>
            </w:r>
            <w:bookmarkStart w:id="2" w:name="_GoBack"/>
            <w:bookmarkEnd w:id="2"/>
          </w:p>
        </w:tc>
      </w:tr>
    </w:tbl>
    <w:p w:rsidR="00A3149D" w:rsidRPr="00C34BC7" w:rsidRDefault="00A3149D" w:rsidP="00A3149D">
      <w:pPr>
        <w:ind w:left="720"/>
        <w:rPr>
          <w:color w:val="00B0F0"/>
          <w:sz w:val="24"/>
          <w:szCs w:val="24"/>
        </w:rPr>
      </w:pPr>
    </w:p>
    <w:p w:rsidR="00C9359D" w:rsidRPr="005D4BB1" w:rsidRDefault="00C9359D" w:rsidP="00C9359D">
      <w:pPr>
        <w:rPr>
          <w:color w:val="00B0F0"/>
          <w:sz w:val="24"/>
          <w:szCs w:val="24"/>
        </w:rPr>
      </w:pP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>[2] Forthcoming volumes</w:t>
      </w: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Work is currently in progress on </w:t>
      </w:r>
      <w:r w:rsidRPr="005D4BB1">
        <w:rPr>
          <w:sz w:val="24"/>
          <w:szCs w:val="24"/>
        </w:rPr>
        <w:t xml:space="preserve">a number of new volumes. The first to appear will be those for Trinity College, Dublin, and New York City libraries. Other volumes in progress are Magdalene College, Cambridge; Glasgow University Library; Bodley Collection, Bodleian </w:t>
      </w:r>
      <w:r w:rsidRPr="005D4BB1">
        <w:rPr>
          <w:sz w:val="24"/>
          <w:szCs w:val="24"/>
        </w:rPr>
        <w:lastRenderedPageBreak/>
        <w:t>Library, Oxford; British Library, Stowe and Arundel Collections; South-West England; Longleat House, Warminster; St John’s College, Cambridge; French and Belgian Collections; London (excluding the British Library</w:t>
      </w:r>
      <w:r w:rsidR="00A3149D">
        <w:rPr>
          <w:sz w:val="24"/>
          <w:szCs w:val="24"/>
        </w:rPr>
        <w:t xml:space="preserve"> and the Wellcome Library</w:t>
      </w:r>
      <w:r w:rsidRPr="005D4BB1">
        <w:rPr>
          <w:sz w:val="24"/>
          <w:szCs w:val="24"/>
        </w:rPr>
        <w:t xml:space="preserve">). </w:t>
      </w: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If you are interested in compiling or helping to compile a volume, please contact </w:t>
      </w:r>
      <w:r w:rsidRPr="00EA5CD8">
        <w:rPr>
          <w:sz w:val="24"/>
          <w:szCs w:val="24"/>
        </w:rPr>
        <w:t>the editors</w:t>
      </w:r>
      <w:r>
        <w:rPr>
          <w:sz w:val="24"/>
          <w:szCs w:val="24"/>
        </w:rPr>
        <w:t>.</w:t>
      </w:r>
      <w:r w:rsidRPr="00EA5CD8">
        <w:rPr>
          <w:sz w:val="24"/>
          <w:szCs w:val="24"/>
        </w:rPr>
        <w:t xml:space="preserve"> </w:t>
      </w:r>
    </w:p>
    <w:p w:rsidR="0080383F" w:rsidRPr="00DE7213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[3] Editors </w:t>
      </w:r>
    </w:p>
    <w:p w:rsidR="0080383F" w:rsidRDefault="0080383F" w:rsidP="0080383F">
      <w:r>
        <w:t>Professor Kari Anne Rand (General Editor, member of Advisory Committee)</w:t>
      </w:r>
    </w:p>
    <w:p w:rsidR="0080383F" w:rsidRDefault="0080383F" w:rsidP="0080383F">
      <w:r>
        <w:t>Professor Ralph Hanna (Co-Editor, member of Advisory Committee)</w:t>
      </w:r>
    </w:p>
    <w:p w:rsidR="0080383F" w:rsidRDefault="0080383F" w:rsidP="0080383F">
      <w:r>
        <w:t>Dr Oliver Pickering (Consulting Editor, member of Advisory Committee)</w:t>
      </w:r>
    </w:p>
    <w:p w:rsidR="0080383F" w:rsidRDefault="0080383F" w:rsidP="0080383F"/>
    <w:p w:rsidR="0080383F" w:rsidRPr="009740B8" w:rsidRDefault="0080383F" w:rsidP="0080383F">
      <w:pPr>
        <w:rPr>
          <w:sz w:val="24"/>
          <w:szCs w:val="24"/>
        </w:rPr>
      </w:pPr>
      <w:r w:rsidRPr="009740B8">
        <w:rPr>
          <w:sz w:val="24"/>
          <w:szCs w:val="24"/>
        </w:rPr>
        <w:t>Advisory Committee</w:t>
      </w:r>
      <w:r>
        <w:rPr>
          <w:sz w:val="24"/>
          <w:szCs w:val="24"/>
        </w:rPr>
        <w:t xml:space="preserve"> Members</w:t>
      </w:r>
    </w:p>
    <w:p w:rsidR="0080383F" w:rsidRDefault="0080383F" w:rsidP="0080383F">
      <w:r>
        <w:t>Professor Anthony Bale</w:t>
      </w:r>
    </w:p>
    <w:p w:rsidR="0080383F" w:rsidRDefault="0080383F" w:rsidP="0080383F">
      <w:r>
        <w:t>Professor Richard Beadle</w:t>
      </w:r>
    </w:p>
    <w:p w:rsidR="0080383F" w:rsidRDefault="0080383F" w:rsidP="0080383F">
      <w:r>
        <w:t>Dr Margaret Connolly (Chair)</w:t>
      </w:r>
    </w:p>
    <w:p w:rsidR="0080383F" w:rsidRDefault="0080383F" w:rsidP="0080383F">
      <w:r>
        <w:t>Professor Julia Crick</w:t>
      </w:r>
    </w:p>
    <w:p w:rsidR="0080383F" w:rsidRDefault="0080383F" w:rsidP="0080383F">
      <w:r>
        <w:t>Mr Richard Hamer</w:t>
      </w:r>
    </w:p>
    <w:p w:rsidR="0080383F" w:rsidRDefault="0080383F" w:rsidP="0080383F">
      <w:r>
        <w:t>Professor Anne Hudson</w:t>
      </w:r>
    </w:p>
    <w:p w:rsidR="0080383F" w:rsidRDefault="0080383F" w:rsidP="0080383F">
      <w:r>
        <w:t>Professor Simon Horobin</w:t>
      </w:r>
    </w:p>
    <w:p w:rsidR="0080383F" w:rsidRDefault="0080383F" w:rsidP="0080383F">
      <w:r>
        <w:t>Professor Michael Kuczynski</w:t>
      </w:r>
    </w:p>
    <w:p w:rsidR="0080383F" w:rsidRDefault="0080383F" w:rsidP="0080383F">
      <w:r>
        <w:t>Dr William Marx</w:t>
      </w:r>
    </w:p>
    <w:p w:rsidR="0080383F" w:rsidRDefault="0080383F" w:rsidP="0080383F">
      <w:r>
        <w:t>Professor Veronica O’Mara</w:t>
      </w:r>
    </w:p>
    <w:p w:rsidR="0080383F" w:rsidRDefault="0080383F" w:rsidP="0080383F">
      <w:r>
        <w:t>Professor Derek Pearsall</w:t>
      </w:r>
    </w:p>
    <w:p w:rsidR="0080383F" w:rsidRDefault="0080383F" w:rsidP="0080383F">
      <w:r>
        <w:t>Professor Susan Powell</w:t>
      </w:r>
    </w:p>
    <w:p w:rsidR="0080383F" w:rsidRDefault="0080383F" w:rsidP="0080383F">
      <w:r>
        <w:t>Professor Denis Renevey</w:t>
      </w:r>
    </w:p>
    <w:p w:rsidR="0080383F" w:rsidRDefault="0080383F" w:rsidP="0080383F">
      <w:r>
        <w:t>Ms Pamela Robinson</w:t>
      </w:r>
    </w:p>
    <w:p w:rsidR="0080383F" w:rsidRDefault="0080383F" w:rsidP="0080383F">
      <w:r>
        <w:t>Professor Sebastian Sobecki</w:t>
      </w:r>
    </w:p>
    <w:p w:rsidR="0080383F" w:rsidRDefault="0080383F" w:rsidP="0080383F">
      <w:r>
        <w:t>Dr Elizabeth Solopova</w:t>
      </w:r>
    </w:p>
    <w:p w:rsidR="0080383F" w:rsidRDefault="0080383F" w:rsidP="0080383F">
      <w:r>
        <w:t>Professor Peter Stokes</w:t>
      </w:r>
    </w:p>
    <w:p w:rsidR="0080383F" w:rsidRDefault="0080383F" w:rsidP="0080383F">
      <w:r>
        <w:t>Dr Jacob Thaisen</w:t>
      </w:r>
    </w:p>
    <w:p w:rsidR="0080383F" w:rsidRDefault="0080383F" w:rsidP="0080383F">
      <w:pPr>
        <w:rPr>
          <w:sz w:val="24"/>
          <w:szCs w:val="24"/>
        </w:rPr>
      </w:pP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Pr="00EA5CD8">
        <w:rPr>
          <w:sz w:val="24"/>
          <w:szCs w:val="24"/>
        </w:rPr>
        <w:t xml:space="preserve">Indexes on </w:t>
      </w:r>
      <w:r w:rsidR="004D0259">
        <w:rPr>
          <w:sz w:val="24"/>
          <w:szCs w:val="24"/>
        </w:rPr>
        <w:t>w</w:t>
      </w:r>
      <w:r w:rsidRPr="00EA5CD8">
        <w:rPr>
          <w:sz w:val="24"/>
          <w:szCs w:val="24"/>
        </w:rPr>
        <w:t>ebsite</w:t>
      </w:r>
    </w:p>
    <w:p w:rsidR="0080383F" w:rsidRDefault="0080383F" w:rsidP="0080383F">
      <w:pPr>
        <w:rPr>
          <w:sz w:val="24"/>
          <w:szCs w:val="24"/>
        </w:rPr>
      </w:pPr>
      <w:r w:rsidRPr="005D4BB1">
        <w:rPr>
          <w:sz w:val="24"/>
          <w:szCs w:val="24"/>
        </w:rPr>
        <w:t xml:space="preserve">Courtesy of Boydell &amp; Brewer Ltd, </w:t>
      </w:r>
      <w:r>
        <w:rPr>
          <w:sz w:val="24"/>
          <w:szCs w:val="24"/>
        </w:rPr>
        <w:t>four merged indexes to volumes 1-20 are now freely available for searching, as follows:</w:t>
      </w:r>
    </w:p>
    <w:p w:rsidR="0080383F" w:rsidRPr="00A50492" w:rsidRDefault="0080383F" w:rsidP="008038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492">
        <w:rPr>
          <w:sz w:val="24"/>
          <w:szCs w:val="24"/>
        </w:rPr>
        <w:t>Incipits (the opening words of a text)</w:t>
      </w:r>
    </w:p>
    <w:p w:rsidR="0080383F" w:rsidRPr="00A50492" w:rsidRDefault="0080383F" w:rsidP="008038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492">
        <w:rPr>
          <w:sz w:val="24"/>
          <w:szCs w:val="24"/>
        </w:rPr>
        <w:t>Reverse explicits (the closing words of a text, alphabetized according to the final word)</w:t>
      </w:r>
    </w:p>
    <w:p w:rsidR="0080383F" w:rsidRPr="00A50492" w:rsidRDefault="0080383F" w:rsidP="008038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492">
        <w:rPr>
          <w:sz w:val="24"/>
          <w:szCs w:val="24"/>
        </w:rPr>
        <w:t>Titles of and rubrics to texts</w:t>
      </w:r>
    </w:p>
    <w:p w:rsidR="0080383F" w:rsidRPr="00A50492" w:rsidRDefault="0080383F" w:rsidP="008038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0492">
        <w:rPr>
          <w:sz w:val="24"/>
          <w:szCs w:val="24"/>
        </w:rPr>
        <w:t>A general index, including subjects</w:t>
      </w:r>
      <w:r w:rsidR="00712364">
        <w:rPr>
          <w:sz w:val="24"/>
          <w:szCs w:val="24"/>
        </w:rPr>
        <w:t xml:space="preserve"> and</w:t>
      </w:r>
      <w:r w:rsidRPr="00A50492">
        <w:rPr>
          <w:sz w:val="24"/>
          <w:szCs w:val="24"/>
        </w:rPr>
        <w:t xml:space="preserve"> names</w:t>
      </w: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>Searching any of these indexes will produce a list of results sorted alphabetically. The second and third columns (the manuscript reference and the volume number) can also be sorted by clicking on their headings.</w:t>
      </w:r>
    </w:p>
    <w:p w:rsidR="0080383F" w:rsidRDefault="0080383F" w:rsidP="0080383F">
      <w:pPr>
        <w:rPr>
          <w:sz w:val="24"/>
          <w:szCs w:val="24"/>
        </w:rPr>
      </w:pPr>
      <w:r>
        <w:rPr>
          <w:sz w:val="24"/>
          <w:szCs w:val="24"/>
        </w:rPr>
        <w:t xml:space="preserve">Please be aware, however, that the indexes to the individual volumes have not been compiled to a standard pattern, with </w:t>
      </w:r>
      <w:r w:rsidRPr="005D4BB1">
        <w:rPr>
          <w:sz w:val="24"/>
          <w:szCs w:val="24"/>
        </w:rPr>
        <w:t xml:space="preserve">resulting inconsistencies. </w:t>
      </w:r>
      <w:r w:rsidR="00EB5E4C">
        <w:rPr>
          <w:sz w:val="24"/>
          <w:szCs w:val="24"/>
        </w:rPr>
        <w:t>In particular the Incipits index</w:t>
      </w:r>
      <w:r w:rsidR="00EB5E4C" w:rsidRPr="005D4BB1">
        <w:rPr>
          <w:sz w:val="24"/>
          <w:szCs w:val="24"/>
        </w:rPr>
        <w:t xml:space="preserve"> </w:t>
      </w:r>
      <w:r w:rsidR="00EB5E4C">
        <w:rPr>
          <w:sz w:val="24"/>
          <w:szCs w:val="24"/>
        </w:rPr>
        <w:t>will contain some r</w:t>
      </w:r>
      <w:r w:rsidRPr="005D4BB1">
        <w:rPr>
          <w:sz w:val="24"/>
          <w:szCs w:val="24"/>
        </w:rPr>
        <w:t>ubrics</w:t>
      </w:r>
      <w:r w:rsidR="00EB5E4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For a detailed </w:t>
      </w:r>
      <w:r w:rsidR="00EB5E4C">
        <w:rPr>
          <w:sz w:val="24"/>
          <w:szCs w:val="24"/>
        </w:rPr>
        <w:t>explanation</w:t>
      </w:r>
      <w:r>
        <w:rPr>
          <w:sz w:val="24"/>
          <w:szCs w:val="24"/>
        </w:rPr>
        <w:t xml:space="preserve">, see the Introduction to the printed </w:t>
      </w:r>
      <w:r w:rsidRPr="00815E5A">
        <w:rPr>
          <w:i/>
          <w:iCs/>
          <w:sz w:val="24"/>
          <w:szCs w:val="24"/>
        </w:rPr>
        <w:t xml:space="preserve">The Index of Middle English Prose: Index to Volumes </w:t>
      </w:r>
      <w:r w:rsidRPr="00F14403">
        <w:rPr>
          <w:i/>
          <w:iCs/>
          <w:sz w:val="24"/>
          <w:szCs w:val="24"/>
        </w:rPr>
        <w:t>I</w:t>
      </w:r>
      <w:r w:rsidRPr="00815E5A">
        <w:rPr>
          <w:i/>
          <w:iCs/>
          <w:sz w:val="24"/>
          <w:szCs w:val="24"/>
        </w:rPr>
        <w:t xml:space="preserve"> to XX</w:t>
      </w:r>
      <w:r>
        <w:rPr>
          <w:sz w:val="24"/>
          <w:szCs w:val="24"/>
        </w:rPr>
        <w:t>, compiled by Kari Anne Rand (Cambridge: Brewer, 2014).</w:t>
      </w:r>
      <w:r w:rsidR="00EB5E4C">
        <w:rPr>
          <w:sz w:val="24"/>
          <w:szCs w:val="24"/>
        </w:rPr>
        <w:t xml:space="preserve"> </w:t>
      </w:r>
    </w:p>
    <w:p w:rsidR="0080383F" w:rsidRDefault="0080383F" w:rsidP="0080383F">
      <w:pPr>
        <w:rPr>
          <w:sz w:val="24"/>
          <w:szCs w:val="24"/>
        </w:rPr>
      </w:pPr>
    </w:p>
    <w:p w:rsidR="00E54A1F" w:rsidRDefault="00477F14" w:rsidP="00E54A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4A1F">
        <w:rPr>
          <w:sz w:val="24"/>
          <w:szCs w:val="24"/>
        </w:rPr>
        <w:t>[</w:t>
      </w:r>
      <w:r>
        <w:rPr>
          <w:sz w:val="24"/>
          <w:szCs w:val="24"/>
        </w:rPr>
        <w:t>5</w:t>
      </w:r>
      <w:r w:rsidR="00E54A1F">
        <w:rPr>
          <w:sz w:val="24"/>
          <w:szCs w:val="24"/>
        </w:rPr>
        <w:t>] Future developments</w:t>
      </w:r>
    </w:p>
    <w:p w:rsidR="00477F14" w:rsidRDefault="00477F14" w:rsidP="00477F14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54A1F">
        <w:rPr>
          <w:sz w:val="24"/>
          <w:szCs w:val="24"/>
        </w:rPr>
        <w:t xml:space="preserve">he </w:t>
      </w:r>
      <w:r w:rsidR="009B52EE">
        <w:rPr>
          <w:sz w:val="24"/>
          <w:szCs w:val="24"/>
        </w:rPr>
        <w:t>website</w:t>
      </w:r>
      <w:r w:rsidR="00E54A1F">
        <w:rPr>
          <w:sz w:val="24"/>
          <w:szCs w:val="24"/>
        </w:rPr>
        <w:t xml:space="preserve"> will be expanded by the addition of the indexes to volumes 21–23</w:t>
      </w:r>
      <w:r>
        <w:rPr>
          <w:sz w:val="24"/>
          <w:szCs w:val="24"/>
        </w:rPr>
        <w:t>. I</w:t>
      </w:r>
      <w:r w:rsidR="00E54A1F">
        <w:rPr>
          <w:sz w:val="24"/>
          <w:szCs w:val="24"/>
        </w:rPr>
        <w:t xml:space="preserve">ndexes to </w:t>
      </w:r>
      <w:r w:rsidR="004D0259">
        <w:rPr>
          <w:sz w:val="24"/>
          <w:szCs w:val="24"/>
        </w:rPr>
        <w:t>forthcoming</w:t>
      </w:r>
      <w:r w:rsidR="00E54A1F">
        <w:rPr>
          <w:sz w:val="24"/>
          <w:szCs w:val="24"/>
        </w:rPr>
        <w:t xml:space="preserve"> volumes will be added as they become available.</w:t>
      </w:r>
      <w:r>
        <w:rPr>
          <w:sz w:val="24"/>
          <w:szCs w:val="24"/>
        </w:rPr>
        <w:t xml:space="preserve"> </w:t>
      </w:r>
      <w:r w:rsidR="009B52EE">
        <w:rPr>
          <w:sz w:val="24"/>
          <w:szCs w:val="24"/>
        </w:rPr>
        <w:t xml:space="preserve">Inconsistencies resulting from the editing of early volumes will be removed. </w:t>
      </w:r>
    </w:p>
    <w:p w:rsidR="00477F14" w:rsidRDefault="00477F14" w:rsidP="00E54A1F">
      <w:pPr>
        <w:rPr>
          <w:sz w:val="24"/>
          <w:szCs w:val="24"/>
        </w:rPr>
      </w:pPr>
    </w:p>
    <w:sectPr w:rsidR="00477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1CD1"/>
    <w:multiLevelType w:val="hybridMultilevel"/>
    <w:tmpl w:val="6F20A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3F"/>
    <w:rsid w:val="0006193D"/>
    <w:rsid w:val="000A635F"/>
    <w:rsid w:val="001725F8"/>
    <w:rsid w:val="002E3978"/>
    <w:rsid w:val="0034062F"/>
    <w:rsid w:val="00477F14"/>
    <w:rsid w:val="004D0259"/>
    <w:rsid w:val="005652B5"/>
    <w:rsid w:val="00573D1F"/>
    <w:rsid w:val="00575025"/>
    <w:rsid w:val="005C0A4C"/>
    <w:rsid w:val="00606F59"/>
    <w:rsid w:val="00712364"/>
    <w:rsid w:val="00743C7F"/>
    <w:rsid w:val="0080383F"/>
    <w:rsid w:val="008764E5"/>
    <w:rsid w:val="009B52EE"/>
    <w:rsid w:val="00A05F2F"/>
    <w:rsid w:val="00A3149D"/>
    <w:rsid w:val="00AA71B1"/>
    <w:rsid w:val="00B32CEA"/>
    <w:rsid w:val="00B4242C"/>
    <w:rsid w:val="00BF2086"/>
    <w:rsid w:val="00C24C0B"/>
    <w:rsid w:val="00C9359D"/>
    <w:rsid w:val="00CC531F"/>
    <w:rsid w:val="00D75E8A"/>
    <w:rsid w:val="00DB432D"/>
    <w:rsid w:val="00DD12E6"/>
    <w:rsid w:val="00DD700A"/>
    <w:rsid w:val="00DE5929"/>
    <w:rsid w:val="00E54A1F"/>
    <w:rsid w:val="00E63C23"/>
    <w:rsid w:val="00EB5E4C"/>
    <w:rsid w:val="00F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18472B-E1FE-4D0A-8C10-F1C98C8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83F"/>
    <w:pPr>
      <w:spacing w:after="200" w:line="276" w:lineRule="auto"/>
    </w:pPr>
    <w:rPr>
      <w:rFonts w:ascii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3F"/>
    <w:pPr>
      <w:ind w:left="720"/>
      <w:contextualSpacing/>
    </w:pPr>
  </w:style>
  <w:style w:type="paragraph" w:customStyle="1" w:styleId="NoSpacing1">
    <w:name w:val="No Spacing1"/>
    <w:uiPriority w:val="1"/>
    <w:qFormat/>
    <w:rsid w:val="00E54A1F"/>
    <w:rPr>
      <w:rFonts w:eastAsia="Calibri"/>
      <w:sz w:val="24"/>
      <w:szCs w:val="24"/>
      <w:lang w:eastAsia="en-US"/>
    </w:rPr>
  </w:style>
  <w:style w:type="paragraph" w:styleId="NoSpacing">
    <w:name w:val="No Spacing"/>
    <w:uiPriority w:val="1"/>
    <w:qFormat/>
    <w:rsid w:val="00E54A1F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Anne Rand</dc:creator>
  <cp:lastModifiedBy>Tuan Pham</cp:lastModifiedBy>
  <cp:revision>2</cp:revision>
  <dcterms:created xsi:type="dcterms:W3CDTF">2019-08-05T18:34:00Z</dcterms:created>
  <dcterms:modified xsi:type="dcterms:W3CDTF">2019-08-05T18:34:00Z</dcterms:modified>
</cp:coreProperties>
</file>