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1"/>
        <w:numPr>
          <w:numId w:val="2"/>
          <w:ilvl w:val="0"/>
        </w:numPr>
        <w:keepNext/>
      </w:pPr>
      <w:r>
        <w:rPr/>
        <w:t xml:space="preserve">テスト文書</w:t>
      </w:r>
    </w:p>
    <w:p w14:paraId="00000002">
      <w:pPr>
        <w:rPr/>
        <w:pStyle w:val="2"/>
        <w:numPr>
          <w:numId w:val="2"/>
          <w:ilvl w:val="1"/>
        </w:numPr>
        <w:keepNext/>
      </w:pPr>
      <w:r>
        <w:rPr/>
        <w:t xml:space="preserve">はじめに</w:t>
      </w:r>
    </w:p>
    <w:p w14:paraId="00000003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この文書はmd2docxのスタイル適用を確認するためのサンプルだ。本文は標準スタイルで表示され、見出しには自動番号が付く。</w:t>
      </w:r>
    </w:p>
    <w:p w14:paraId="00000004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日本語とEnglishが混在するテキストでの表示確認も兼ねている。REST APIといった技術用語も含む。</w:t>
      </w:r>
    </w:p>
    <w:p w14:paraId="00000005">
      <w:pPr>
        <w:rPr/>
        <w:pStyle w:val="2"/>
        <w:numPr>
          <w:numId w:val="2"/>
          <w:ilvl w:val="1"/>
        </w:numPr>
        <w:keepNext/>
      </w:pPr>
      <w:r>
        <w:rPr/>
        <w:t xml:space="preserve">システム概要</w:t>
      </w:r>
    </w:p>
    <w:p w14:paraId="00000006">
      <w:pPr>
        <w:rPr/>
        <w:pStyle w:val="3"/>
        <w:numPr>
          <w:numId w:val="2"/>
          <w:ilvl w:val="2"/>
        </w:numPr>
        <w:keepNext/>
      </w:pPr>
      <w:r>
        <w:rPr/>
        <w:t xml:space="preserve">アーキテクチャ</w:t>
      </w:r>
    </w:p>
    <w:p w14:paraId="00000007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システムはフロントエンドにReactとTypeScript、バックエンドにPythonとFlask、データベースにPostgreSQLを採用している。</w:t>
      </w:r>
    </w:p>
    <w:p w14:paraId="00000008">
      <w:pPr>
        <w:rPr/>
        <w:pStyle w:val="3"/>
        <w:numPr>
          <w:numId w:val="2"/>
          <w:ilvl w:val="2"/>
        </w:numPr>
        <w:keepNext/>
      </w:pPr>
      <w:r>
        <w:rPr/>
        <w:t xml:space="preserve">構成図</w:t>
      </w:r>
    </w:p>
    <w:p w14:paraId="00000009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システムの構成図を以下に示す。</w:t>
      </w:r>
    </w:p>
    <w:p w14:paraId="0000000a">
      <w:pPr>
        <w:rPr/>
        <w:jc w:val="center"/>
      </w:pPr>
      <w:r>
        <w:rPr/>
        <w:drawing>
          <wp:inline distT="0" distB="0" distL="0" distR="0">
            <wp:extent cx="3810000" cy="19050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>
      <w:pPr>
        <w:rPr/>
        <w:jc w:val="center"/>
      </w:pPr>
      <w:r>
        <w:rPr>
          <w:sz w:val="21"/>
          <w:szCs w:val="21"/>
          <w:rFonts w:ascii="Century" w:hAnsi="Century" w:cs="Century" w:eastAsia="游明朝"/>
        </w:rPr>
        <w:t xml:space="preserve">図</w:t>
      </w:r>
      <w:r>
        <w:rPr>
          <w:sz w:val="21"/>
          <w:szCs w:val="21"/>
          <w:rFonts w:ascii="Century" w:hAnsi="Century" w:cs="Century" w:eastAsia="游明朝"/>
        </w:rPr>
        <w:fldChar w:fldCharType="begin" w:dirty="true"/>
        <w:instrText> SEQ Figure \* ARABIC </w:instrText>
        <w:fldChar w:fldCharType="separate" w:dirty="false"/>
        <w:t xml:space="preserve">1</w:t>
        <w:fldChar w:fldCharType="end" w:dirty="false"/>
      </w:r>
      <w:r>
        <w:rPr>
          <w:sz w:val="21"/>
          <w:szCs w:val="21"/>
          <w:rFonts w:ascii="Century" w:hAnsi="Century" w:cs="Century" w:eastAsia="游明朝"/>
        </w:rPr>
        <w:t xml:space="preserve"> 構成図</w:t>
      </w:r>
    </w:p>
    <w:p w14:paraId="0000000c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この図がシステム全体の構成を表している。</w:t>
      </w:r>
    </w:p>
    <w:p w14:paraId="0000000d">
      <w:pPr>
        <w:rPr/>
        <w:pStyle w:val="2"/>
        <w:numPr>
          <w:numId w:val="2"/>
          <w:ilvl w:val="1"/>
        </w:numPr>
        <w:keepNext/>
      </w:pPr>
      <w:r>
        <w:rPr/>
        <w:t xml:space="preserve">詳細設計</w:t>
      </w:r>
    </w:p>
    <w:p w14:paraId="0000000e">
      <w:pPr>
        <w:rPr/>
        <w:pStyle w:val="3"/>
        <w:numPr>
          <w:numId w:val="2"/>
          <w:ilvl w:val="2"/>
        </w:numPr>
        <w:keepNext/>
      </w:pPr>
      <w:r>
        <w:rPr/>
        <w:t xml:space="preserve">API仕様</w:t>
      </w:r>
    </w:p>
    <w:p w14:paraId="0000000f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エンドポイントは以下の3つである。</w:t>
      </w:r>
    </w:p>
    <w:p w14:paraId="00000010">
      <w:pPr>
        <w:rPr/>
        <w:jc w:val="center"/>
      </w:pPr>
      <w:r>
        <w:rPr>
          <w:sz w:val="21"/>
          <w:szCs w:val="21"/>
          <w:b/>
          <w:bCs/>
          <w:rFonts w:ascii="Century" w:hAnsi="Century" w:cs="Century" w:eastAsia="游ゴシック"/>
        </w:rPr>
        <w:t xml:space="preserve">表</w:t>
      </w:r>
      <w:r>
        <w:rPr>
          <w:sz w:val="21"/>
          <w:szCs w:val="21"/>
          <w:b/>
          <w:bCs/>
          <w:rFonts w:ascii="Century" w:hAnsi="Century" w:cs="Century" w:eastAsia="游ゴシック"/>
        </w:rPr>
        <w:fldChar w:fldCharType="begin" w:dirty="true"/>
        <w:instrText> SEQ Table \* ARABIC </w:instrText>
        <w:fldChar w:fldCharType="separate" w:dirty="false"/>
        <w:t xml:space="preserve">1</w:t>
        <w:fldChar w:fldCharType="end" w:dirty="false"/>
      </w:r>
    </w:p>
    <w:tbl>
      <w:tblPr>
        <w:tblW w:w="0" w:type="auto"/>
        <w:jc w:val="lef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1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メソッド</w:t>
            </w:r>
          </w:p>
        </w:tc>
        <w:tc>
          <w:tcPr/>
          <w:p w14:paraId="00000012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パス</w:t>
            </w:r>
          </w:p>
        </w:tc>
        <w:tc>
          <w:tcPr/>
          <w:p w14:paraId="00000013">
            <w:pPr>
              <w:rPr>
                <w:b/>
                <w:bCs/>
                <w:rFonts w:ascii="Century" w:hAnsi="Century" w:cs="Century" w:eastAsia="游ゴシック"/>
              </w:rPr>
            </w:pPr>
            <w:r>
              <w:rPr>
                <w:sz w:val="21"/>
                <w:szCs w:val="21"/>
                <w:b/>
                <w:bCs/>
                <w:rFonts w:ascii="Century" w:hAnsi="Century" w:cs="Century" w:eastAsia="游明朝"/>
              </w:rPr>
              <w:t xml:space="preserve">説明</w:t>
            </w:r>
          </w:p>
        </w:tc>
      </w:tr>
      <w:tr>
        <w:trPr/>
        <w:tc>
          <w:tcPr/>
          <w:p w14:paraId="00000014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GET</w:t>
            </w:r>
          </w:p>
        </w:tc>
        <w:tc>
          <w:tcPr/>
          <w:p w14:paraId="00000015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</w:t>
            </w:r>
          </w:p>
        </w:tc>
        <w:tc>
          <w:tcPr/>
          <w:p w14:paraId="00000016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データセット一覧を取得する</w:t>
            </w:r>
          </w:p>
        </w:tc>
      </w:tr>
      <w:tr>
        <w:trPr/>
        <w:tc>
          <w:tcPr/>
          <w:p w14:paraId="00000017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POST</w:t>
            </w:r>
          </w:p>
        </w:tc>
        <w:tc>
          <w:tcPr/>
          <w:p w14:paraId="00000018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</w:t>
            </w:r>
          </w:p>
        </w:tc>
        <w:tc>
          <w:tcPr/>
          <w:p w14:paraId="00000019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新規データセットを登録する</w:t>
            </w:r>
          </w:p>
        </w:tc>
      </w:tr>
      <w:tr>
        <w:trPr/>
        <w:tc>
          <w:tcPr/>
          <w:p w14:paraId="0000001a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DELETE</w:t>
            </w:r>
          </w:p>
        </w:tc>
        <w:tc>
          <w:tcPr/>
          <w:p w14:paraId="0000001b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/api/v1/datasets/:id</w:t>
            </w:r>
          </w:p>
        </w:tc>
        <w:tc>
          <w:tcPr/>
          <w:p w14:paraId="0000001c">
            <w:pPr>
              <w:rPr/>
            </w:pPr>
            <w:r>
              <w:rPr>
                <w:sz w:val="21"/>
                <w:szCs w:val="21"/>
                <w:rFonts w:ascii="Century" w:hAnsi="Century" w:cs="Century" w:eastAsia="游明朝"/>
              </w:rPr>
              <w:t xml:space="preserve">指定したデータセットを削除する</w:t>
            </w:r>
          </w:p>
        </w:tc>
      </w:tr>
    </w:tbl>
    <w:p w14:paraId="0000001d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各エンドポイントの詳細は次節以降で述べる。</w:t>
      </w:r>
    </w:p>
    <w:p w14:paraId="0000001e">
      <w:pPr>
        <w:rPr/>
        <w:pStyle w:val="3"/>
        <w:numPr>
          <w:numId w:val="2"/>
          <w:ilvl w:val="2"/>
        </w:numPr>
        <w:keepNext/>
      </w:pPr>
      <w:r>
        <w:rPr/>
        <w:t xml:space="preserve">認証方式</w:t>
      </w:r>
    </w:p>
    <w:p w14:paraId="0000001f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認証にはJWTトークンを使う。Authorization: Bearer </w:t>
      </w:r>
      <w:r>
        <w:rPr>
          <w:sz w:val="21"/>
          <w:szCs w:val="21"/>
          <w:rFonts w:ascii="Century" w:hAnsi="Century" w:cs="Century" w:eastAsia="游明朝"/>
        </w:rPr>
        <w:t xml:space="preserve">ヘッダに載せて送信する。</w:t>
      </w:r>
    </w:p>
    <w:p w14:paraId="00000020">
      <w:pPr>
        <w:rPr/>
        <w:pStyle w:val="4"/>
        <w:numPr>
          <w:numId w:val="2"/>
          <w:ilvl w:val="3"/>
        </w:numPr>
        <w:keepNext/>
      </w:pPr>
      <w:r>
        <w:rPr/>
        <w:t xml:space="preserve">トークン発行フロー</w:t>
      </w:r>
    </w:p>
    <w:p w14:paraId="00000021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トークンの有効期限は30分で、リフレッシュトークンによって更新する。クライアントがログイン情報を送ると、サーバーがJWTを発行する。以降、クライアントはそのトークンをヘッダに付けてリクエストを送る。</w:t>
      </w:r>
    </w:p>
    <w:p w14:paraId="00000022">
      <w:pPr>
        <w:rPr/>
        <w:pStyle w:val="4"/>
        <w:numPr>
          <w:numId w:val="2"/>
          <w:ilvl w:val="3"/>
        </w:numPr>
        <w:keepNext/>
      </w:pPr>
      <w:r>
        <w:rPr/>
        <w:t xml:space="preserve">エラーハンドリング</w:t>
      </w:r>
    </w:p>
    <w:p w14:paraId="00000023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認証エラー時は次のJSONを返す。</w:t>
      </w:r>
    </w:p>
    <w:p w14:paraId="00000024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{</w:t>
      </w:r>
    </w:p>
    <w:p w14:paraId="00000025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  "error": "unauthorized",</w:t>
      </w:r>
    </w:p>
    <w:p w14:paraId="00000026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  "message": "Invalid or expired token"</w:t>
      </w:r>
    </w:p>
    <w:p w14:paraId="00000027">
      <w:pPr>
        <w:rPr/>
      </w:pPr>
      <w:r>
        <w:rPr>
          <w:sz w:val="18"/>
          <w:szCs w:val="18"/>
          <w:rFonts w:ascii="Courier New" w:hAnsi="Courier New" w:cs="Courier New" w:eastAsia="ＭＳ ゴシック"/>
        </w:rPr>
        <w:t xml:space="preserve">}</w:t>
      </w:r>
    </w:p>
    <w:p w14:paraId="00000028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なお本仕様は暫定版であり、セキュリティレビュー後に変更される可能性がある。</w:t>
      </w:r>
    </w:p>
    <w:p w14:paraId="00000029">
      <w:pPr>
        <w:rPr/>
        <w:pStyle w:val="13"/>
      </w:pPr>
      <w:r>
        <w:rPr>
          <w:sz w:val="21"/>
          <w:szCs w:val="21"/>
          <w:rFonts w:ascii="Century" w:hAnsi="Century" w:cs="Century" w:eastAsia="游明朝"/>
        </w:rPr>
        <w:t xml:space="preserve">以上でテスト文書を終える。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rPr/>
        <w:ind w:left="420" w:right="0" w:hanging="420"/>
      </w:pPr>
      <w:rPr/>
      <w:pStyle w:val="1"/>
    </w:lvl>
    <w:lvl w:ilvl="1">
      <w:start w:val="1"/>
      <w:numFmt w:val="decimal"/>
      <w:lvlText w:val="%1.%2."/>
      <w:lvlJc w:val="left"/>
      <w:pPr>
        <w:rPr/>
        <w:ind w:left="612" w:right="0" w:hanging="612"/>
      </w:pPr>
      <w:rPr/>
      <w:pStyle w:val="2"/>
    </w:lvl>
    <w:lvl w:ilvl="2">
      <w:start w:val="1"/>
      <w:numFmt w:val="decimal"/>
      <w:lvlText w:val="%1.%2.%3"/>
      <w:lvlJc w:val="left"/>
      <w:pPr>
        <w:rPr/>
        <w:ind w:left="783" w:right="0" w:hanging="783"/>
      </w:pPr>
      <w:rPr/>
      <w:pStyle w:val="3"/>
    </w:lvl>
    <w:lvl w:ilvl="3">
      <w:start w:val="1"/>
      <w:numFmt w:val="decimal"/>
      <w:lvlText w:val="（%4）"/>
      <w:lvlJc w:val="left"/>
      <w:pPr>
        <w:rPr/>
        <w:ind w:left="709" w:right="0" w:hanging="709"/>
      </w:pPr>
      <w:rPr/>
      <w:pStyle w:val="4"/>
    </w:lvl>
    <w:lvl w:ilvl="4">
      <w:start w:val="1"/>
      <w:numFmt w:val="decimalEnclosedCircle"/>
      <w:lvlText w:val="%5"/>
      <w:lvlJc w:val="left"/>
      <w:pPr>
        <w:rPr/>
        <w:ind w:left="2100" w:right="0" w:hanging="420"/>
      </w:pPr>
      <w:rPr/>
      <w:pStyle w:val="5"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aiueoFullWidth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9">
    <w:lvl w:ilvl="0">
      <w:start w:val="1"/>
      <w:numFmt w:val="bullet"/>
      <w:lvlText w:val="●"/>
      <w:lvlJc w:val="left"/>
      <w:pPr>
        <w:rPr/>
        <w:ind w:left="360" w:right="0" w:hanging="360"/>
      </w:pPr>
      <w:rPr/>
    </w:lvl>
    <w:lvl w:ilvl="1">
      <w:start w:val="1"/>
      <w:numFmt w:val="bullet"/>
      <w:lvlText w:val="■"/>
      <w:lvlJc w:val="left"/>
      <w:pPr>
        <w:rPr/>
        <w:ind w:left="720" w:right="0" w:hanging="360"/>
      </w:pPr>
      <w:rPr/>
    </w:lvl>
    <w:lvl w:ilvl="2">
      <w:start w:val="1"/>
      <w:numFmt w:val="bullet"/>
      <w:lvlText w:val="▲"/>
      <w:lvlJc w:val="left"/>
      <w:pPr>
        <w:rPr/>
        <w:ind w:left="1080" w:right="0" w:hanging="360"/>
      </w:pPr>
      <w:rPr/>
    </w:lvl>
  </w:abstractNum>
  <w:num w:numId="1">
    <w:abstractNumId w:val="1"/>
  </w:num>
  <w:num w:numId="2">
    <w:abstractNumId w:val="8"/>
  </w:num>
  <w:num w:numId="3">
    <w:abstractNumId w:val="9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entury" w:hAnsi="Century" w:cs="Century" w:eastAsia="游明朝"/>
      </w:rPr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Normal">
    <w:name w:val="Normal"/>
    <w:rPr>
      <w:sz w:val="21"/>
      <w:szCs w:val="21"/>
      <w:rFonts w:ascii="Century" w:hAnsi="Century" w:cs="Century" w:eastAsia="游明朝"/>
    </w:rPr>
    <w:pPr>
      <w:rPr/>
      <w:jc w:val="both"/>
    </w:pPr>
    <w:qFormat/>
  </w:style>
  <w:style w:type="paragraph" w:styleId="13">
    <w:name w:val="本文ｰ見出し"/>
    <w:rPr/>
    <w:pPr>
      <w:rPr/>
      <w:ind w:left="210" w:right="210" w:leftChars="100" w:firstLine="210"/>
    </w:pPr>
    <w:qFormat/>
    <w:basedOn w:val="Normal"/>
  </w:style>
  <w:style w:type="paragraph" w:styleId="1">
    <w:name w:val="heading 1"/>
    <w:rPr>
      <w:sz w:val="28"/>
      <w:szCs w:val="28"/>
      <w:b/>
      <w:bCs/>
      <w:rFonts w:ascii="Century" w:hAnsi="Century" w:cs="Century" w:eastAsia="游ゴシック"/>
    </w:rPr>
    <w:pPr>
      <w:rPr/>
      <w:numPr>
        <w:numId w:val="2"/>
      </w:numPr>
      <w:outlineLvl w:val="0"/>
    </w:pPr>
    <w:next w:val="Normal"/>
    <w:qFormat/>
    <w:basedOn w:val="Normal"/>
  </w:style>
  <w:style w:type="paragraph" w:styleId="2">
    <w:name w:val="heading 2"/>
    <w:rPr>
      <w:sz w:val="24"/>
      <w:szCs w:val="24"/>
    </w:rPr>
    <w:pPr>
      <w:rPr/>
      <w:numPr>
        <w:ilvl w:val="1"/>
      </w:numPr>
      <w:outlineLvl w:val="1"/>
    </w:pPr>
    <w:next w:val="Normal"/>
    <w:qFormat/>
    <w:basedOn w:val="1"/>
  </w:style>
  <w:style w:type="paragraph" w:styleId="3">
    <w:name w:val="heading 3"/>
    <w:rPr>
      <w:sz w:val="22"/>
      <w:szCs w:val="22"/>
      <w:b/>
      <w:bCs/>
      <w:rFonts w:ascii="Century" w:hAnsi="Century" w:cs="Century" w:eastAsia="游ゴシック"/>
    </w:rPr>
    <w:pPr>
      <w:rPr/>
      <w:numPr>
        <w:numId w:val="2"/>
        <w:ilvl w:val="2"/>
      </w:numPr>
      <w:outlineLvl w:val="2"/>
    </w:pPr>
    <w:next w:val="Normal"/>
    <w:qFormat/>
    <w:basedOn w:val="Normal"/>
  </w:style>
  <w:style w:type="paragraph" w:styleId="4">
    <w:name w:val="heading 4"/>
    <w:rPr>
      <w:sz w:val="22"/>
      <w:szCs w:val="22"/>
      <w:b/>
      <w:bCs/>
      <w:rFonts w:eastAsia="游ゴシック"/>
    </w:rPr>
    <w:pPr>
      <w:rPr/>
      <w:numPr>
        <w:numId w:val="2"/>
        <w:ilvl w:val="3"/>
      </w:numPr>
      <w:ind w:left="709" w:right="0" w:hanging="709"/>
      <w:outlineLvl w:val="3"/>
    </w:pPr>
    <w:next w:val="Normal"/>
    <w:qFormat/>
    <w:basedOn w:val="Normal"/>
  </w:style>
  <w:style w:type="paragraph" w:styleId="5">
    <w:name w:val="heading 5"/>
    <w:rPr>
      <w:sz w:val="21"/>
      <w:szCs w:val="21"/>
      <w:b/>
      <w:bCs/>
      <w:rFonts w:eastAsia="游ゴシック"/>
    </w:rPr>
    <w:pPr>
      <w:rPr/>
      <w:numPr>
        <w:numId w:val="2"/>
        <w:ilvl w:val="4"/>
      </w:numPr>
      <w:outlineLvl w:val="4"/>
    </w:pPr>
    <w:next w:val="Normal"/>
    <w:qFormat/>
    <w:basedOn w:val="Normal"/>
  </w:style>
  <w:style w:type="paragraph" w:styleId="BulletList">
    <w:name w:val="Bullet List"/>
    <w:rPr/>
    <w:pPr>
      <w:rPr/>
    </w:pPr>
    <w:qFormat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Image1" Type="http://schemas.openxmlformats.org/officeDocument/2006/relationships/image" Target="media/rId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