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DockitFixtureHeading"/>
      </w:pPr>
      <w:r>
        <w:t>Real mixed width table</w:t>
      </w:r>
    </w:p>
    <w:tbl>
      <w:tblPr>
        <w:tblW w:w="5000" w:type="pct"/>
        <w:tblBorders>
          <w:top w:val="single" w:sz="8" w:space="0" w:color="4B5563"/>
          <w:left w:val="single" w:sz="8" w:space="0" w:color="4B5563"/>
          <w:bottom w:val="single" w:sz="8" w:space="0" w:color="4B5563"/>
          <w:right w:val="single" w:sz="8" w:space="0" w:color="4B5563"/>
          <w:insideH w:val="single" w:sz="8" w:space="0" w:color="4B5563"/>
          <w:insideV w:val="single" w:sz="8" w:space="0" w:color="4B5563"/>
        </w:tblBorders>
      </w:tblPr>
      <w:tblGrid>
        <w:gridCol w:w="1440"/>
        <w:gridCol w:w="2160"/>
        <w:gridCol w:w="3600"/>
      </w:tblGrid>
      <w:tr>
        <w:tc>
          <w:tcPr>
            <w:tcW w:w="1440" w:type="dxa"/>
            <w:shd w:val="clear" w:fill="F8FAFC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Fixed dxa</w:t>
            </w:r>
          </w:p>
        </w:tc>
        <w:tc>
          <w:tcPr>
            <w:tcW w:w="2500" w:type="pct"/>
            <w:shd w:val="clear" w:fill="EEF2FF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Percent width</w:t>
            </w:r>
          </w:p>
        </w:tc>
        <w:tc>
          <w:tcPr>
            <w:tcW w:w="0" w:type="auto"/>
            <w:shd w:val="clear" w:fill="F0FDF4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Auto width</w:t>
            </w:r>
          </w:p>
        </w:tc>
      </w:tr>
    </w:tbl>
    <w:tbl>
      <w:tblPr>
        <w:tblW w:w="0" w:type="auto"/>
        <w:tblBorders>
          <w:top w:val="single" w:sz="8" w:space="0" w:color="4B5563"/>
          <w:left w:val="single" w:sz="8" w:space="0" w:color="4B5563"/>
          <w:bottom w:val="single" w:sz="8" w:space="0" w:color="4B5563"/>
          <w:right w:val="single" w:sz="8" w:space="0" w:color="4B5563"/>
          <w:insideH w:val="single" w:sz="8" w:space="0" w:color="4B5563"/>
          <w:insideV w:val="single" w:sz="8" w:space="0" w:color="4B5563"/>
        </w:tblBorders>
      </w:tblPr>
      <w:tr>
        <w:tc>
          <w:tcPr>
            <w:tcW w:w="1440" w:type="dxa"/>
            <w:shd w:val="clear" w:fill="F8FAFC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Fixed no grid</w:t>
            </w:r>
          </w:p>
        </w:tc>
        <w:tc>
          <w:tcPr>
            <w:tcW w:w="2500" w:type="pct"/>
            <w:shd w:val="clear" w:fill="EEF2FF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Percent no grid</w:t>
            </w:r>
          </w:p>
        </w:tc>
        <w:tc>
          <w:tcPr>
            <w:tcW w:w="0" w:type="auto"/>
            <w:shd w:val="clear" w:fill="F0FDF4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Auto no grid</w:t>
            </w:r>
          </w:p>
        </w:tc>
      </w:tr>
    </w:tbl>
    <w:sectPr>
      <w:pgSz w:w="11906" w:h="16838"/>
      <w:pgMar w:top="1134" w:right="1417" w:bottom="1134" w:left="1417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lvlText w:val="%1."/>
      <w:pPr>
        <w:ind w:left="720" w:hanging="360"/>
      </w:pPr>
    </w:lvl>
  </w:abstractNum>
  <w:abstractNum w:abstractNumId="2">
    <w:multiLevelType w:val="singleLevel"/>
    <w:lvl w:ilvl="0">
      <w:start w:val="1"/>
      <w:numFmt w:val="bullet"/>
      <w:lvlText w:val="•"/>
      <w:pPr>
        <w:ind w:left="720" w:hanging="360"/>
      </w:pPr>
      <w:rPr>
        <w:rFonts w:ascii="Symbol" w:hAnsi="Symbol"/>
      </w:rPr>
    </w:lvl>
  </w:abstractNum>
  <w:num w:numId="11">
    <w:abstractNumId w:val="1"/>
    <w:lvlOverride w:ilvl="0">
      <w:startOverride w:val="4"/>
    </w:lvlOverride>
  </w:num>
  <w:num w:numId="12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Normal">
    <w:name w:val="Normal"/>
  </w:style>
  <w:style w:type="paragraph" w:styleId="DockitFixtureHeading">
    <w:name w:val="heading 2"/>
    <w:basedOn w:val="Normal"/>
    <w:pPr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