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A8094" w14:textId="05510B67" w:rsidR="007A513A" w:rsidRDefault="007A513A" w:rsidP="007A513A">
      <w:pPr>
        <w:pStyle w:val="Heading1"/>
      </w:pPr>
      <w:r>
        <w:t>Dataset</w:t>
      </w:r>
    </w:p>
    <w:p w14:paraId="57FD8252" w14:textId="76BC4BD8" w:rsidR="007A513A" w:rsidRDefault="007A513A" w:rsidP="007A513A">
      <w:r>
        <w:t>Name: Macular degeneration and dermal fibroblast response to sublethal oxidative stress.</w:t>
      </w:r>
    </w:p>
    <w:p w14:paraId="183BA910" w14:textId="004EFF27" w:rsidR="007A513A" w:rsidRDefault="007A513A" w:rsidP="007A513A">
      <w:r>
        <w:t xml:space="preserve">GEO accession number: </w:t>
      </w:r>
      <w:r w:rsidRPr="007A513A">
        <w:t>GDS963</w:t>
      </w:r>
    </w:p>
    <w:p w14:paraId="5FCD3794" w14:textId="2B4B4522" w:rsidR="007A513A" w:rsidRDefault="007A513A" w:rsidP="007A513A">
      <w:pPr>
        <w:rPr>
          <w:rStyle w:val="Strong"/>
          <w:rFonts w:eastAsiaTheme="minorEastAsia"/>
          <w:b w:val="0"/>
          <w:bCs w:val="0"/>
        </w:rPr>
      </w:pPr>
      <w:r>
        <w:t xml:space="preserve">Size: </w:t>
      </w:r>
      <m:oMath>
        <m:r>
          <w:rPr>
            <w:rFonts w:ascii="Cambria Math" w:hAnsi="Cambria Math"/>
          </w:rPr>
          <m:t>36×</m:t>
        </m:r>
        <m:r>
          <m:rPr>
            <m:sty m:val="p"/>
          </m:rPr>
          <w:rPr>
            <w:rStyle w:val="Strong"/>
            <w:rFonts w:ascii="Cambria Math" w:hAnsi="Cambria Math"/>
          </w:rPr>
          <m:t>12625</m:t>
        </m:r>
      </m:oMath>
    </w:p>
    <w:p w14:paraId="23F712D7" w14:textId="104D3DC2" w:rsidR="007A513A" w:rsidRDefault="007A513A" w:rsidP="007A513A">
      <w:pPr>
        <w:pStyle w:val="Heading1"/>
      </w:pPr>
      <w:r>
        <w:t>Approaches</w:t>
      </w:r>
    </w:p>
    <w:p w14:paraId="02A2F44F" w14:textId="36CF7719" w:rsidR="007A513A" w:rsidRDefault="007A513A" w:rsidP="007A513A">
      <w:r>
        <w:t xml:space="preserve">The primary challenges posed by this dataset </w:t>
      </w:r>
      <w:r w:rsidR="005216C4">
        <w:t xml:space="preserve">(and many biological datasets) </w:t>
      </w:r>
      <w:r>
        <w:t xml:space="preserve">are the low number of data points and the high dimensionality. One </w:t>
      </w:r>
      <w:r w:rsidR="005216C4">
        <w:t>way we could “pitch” this project would be to try a wide variety of methods to combat these challenges and see which ones work the best.</w:t>
      </w:r>
      <w:r w:rsidR="002C0AF2">
        <w:t xml:space="preserve"> We could treat it as sort of “a survey of strategies used to boost performance on biological datasets” or something similar.</w:t>
      </w:r>
      <w:r w:rsidR="00B52F27">
        <w:t xml:space="preserve"> I think we should try the following algorithms and see which strategy helps the performance of each one:</w:t>
      </w:r>
    </w:p>
    <w:p w14:paraId="249C8F5B" w14:textId="6B20F8E9" w:rsidR="004547A4" w:rsidRDefault="004547A4" w:rsidP="00B52F27">
      <w:pPr>
        <w:pStyle w:val="ListParagraph"/>
        <w:numPr>
          <w:ilvl w:val="0"/>
          <w:numId w:val="1"/>
        </w:numPr>
      </w:pPr>
      <w:r>
        <w:t>Decision Tree (DT)</w:t>
      </w:r>
    </w:p>
    <w:p w14:paraId="2EEC64C8" w14:textId="7DACC634" w:rsidR="004547A4" w:rsidRDefault="004547A4" w:rsidP="00B52F27">
      <w:pPr>
        <w:pStyle w:val="ListParagraph"/>
        <w:numPr>
          <w:ilvl w:val="0"/>
          <w:numId w:val="1"/>
        </w:numPr>
      </w:pPr>
      <w:r>
        <w:t>Random Forest (RF)</w:t>
      </w:r>
    </w:p>
    <w:p w14:paraId="45EEBBE5" w14:textId="5AE92C1E" w:rsidR="00B52F27" w:rsidRDefault="00B52F27" w:rsidP="00B52F27">
      <w:pPr>
        <w:pStyle w:val="ListParagraph"/>
        <w:numPr>
          <w:ilvl w:val="0"/>
          <w:numId w:val="1"/>
        </w:numPr>
      </w:pPr>
      <w:r>
        <w:t>Naïve Bayes Classifier</w:t>
      </w:r>
      <w:r w:rsidR="004547A4">
        <w:t xml:space="preserve"> (NBC)</w:t>
      </w:r>
    </w:p>
    <w:p w14:paraId="72AB1DC6" w14:textId="25CA855A" w:rsidR="00B52F27" w:rsidRDefault="00B52F27" w:rsidP="00B52F27">
      <w:pPr>
        <w:pStyle w:val="ListParagraph"/>
        <w:numPr>
          <w:ilvl w:val="0"/>
          <w:numId w:val="1"/>
        </w:numPr>
      </w:pPr>
      <w:r>
        <w:t>Support Vector Machine</w:t>
      </w:r>
      <w:r w:rsidR="004547A4">
        <w:t xml:space="preserve"> (SVM)</w:t>
      </w:r>
    </w:p>
    <w:p w14:paraId="43B4093C" w14:textId="214220EB" w:rsidR="002C0AF2" w:rsidRPr="00AF4D9E" w:rsidRDefault="00B52F27" w:rsidP="00553F54">
      <w:pPr>
        <w:pStyle w:val="ListParagraph"/>
        <w:numPr>
          <w:ilvl w:val="0"/>
          <w:numId w:val="1"/>
        </w:numPr>
      </w:pPr>
      <m:oMath>
        <m:r>
          <w:rPr>
            <w:rFonts w:ascii="Cambria Math" w:hAnsi="Cambria Math"/>
          </w:rPr>
          <m:t>k</m:t>
        </m:r>
      </m:oMath>
      <w:r w:rsidRPr="00B52F27">
        <w:rPr>
          <w:rFonts w:eastAsiaTheme="minorEastAsia"/>
        </w:rPr>
        <w:t>-Nearest Neighbours</w:t>
      </w:r>
      <w:r w:rsidR="004547A4">
        <w:rPr>
          <w:rFonts w:eastAsiaTheme="minorEastAsia"/>
        </w:rPr>
        <w:t xml:space="preserve"> (</w:t>
      </w:r>
      <m:oMath>
        <m:r>
          <w:rPr>
            <w:rFonts w:ascii="Cambria Math" w:eastAsiaTheme="minorEastAsia" w:hAnsi="Cambria Math"/>
          </w:rPr>
          <m:t>k</m:t>
        </m:r>
      </m:oMath>
      <w:r w:rsidR="004547A4">
        <w:rPr>
          <w:rFonts w:eastAsiaTheme="minorEastAsia"/>
        </w:rPr>
        <w:t>-NN)</w:t>
      </w:r>
    </w:p>
    <w:p w14:paraId="59F021D2" w14:textId="2ABDA798" w:rsidR="00AF4D9E" w:rsidRDefault="00AF4D9E" w:rsidP="00AF4D9E">
      <w:pPr>
        <w:pStyle w:val="Heading2"/>
      </w:pPr>
      <w:r>
        <w:t>Strategies to Combat High Dimensionality</w:t>
      </w:r>
    </w:p>
    <w:p w14:paraId="73FA3841" w14:textId="2E8DEFEB" w:rsidR="00AF4D9E" w:rsidRPr="00AF4D9E" w:rsidRDefault="00AF4D9E" w:rsidP="00AF4D9E">
      <w:r>
        <w:t xml:space="preserve">The high dimensionality of the dataset poses numerous problems (the “curse of dimensionality”) especially given how </w:t>
      </w:r>
      <w:r w:rsidR="002C0AF2">
        <w:t>few data points we have.</w:t>
      </w:r>
    </w:p>
    <w:p w14:paraId="67134895" w14:textId="77BA043C" w:rsidR="005216C4" w:rsidRDefault="005216C4" w:rsidP="002C0AF2">
      <w:pPr>
        <w:pStyle w:val="Heading3"/>
      </w:pPr>
      <w:r>
        <w:t>Strategy 1: Do nothing</w:t>
      </w:r>
    </w:p>
    <w:p w14:paraId="4DEB0923" w14:textId="07E4D05B" w:rsidR="004547A4" w:rsidRPr="004547A4" w:rsidRDefault="005216C4" w:rsidP="002C0AF2">
      <w:r>
        <w:t>One way of dealing with any problem</w:t>
      </w:r>
      <w:r w:rsidR="00B52F27">
        <w:t xml:space="preserve"> to just </w:t>
      </w:r>
      <w:r>
        <w:t>ignor</w:t>
      </w:r>
      <w:r w:rsidR="00B52F27">
        <w:t>e</w:t>
      </w:r>
      <w:r>
        <w:t xml:space="preserve"> it.</w:t>
      </w:r>
      <w:r w:rsidR="004547A4">
        <w:t xml:space="preserve"> This could provide us with a good base point to compare performance with.</w:t>
      </w:r>
      <w:r w:rsidR="002C0AF2">
        <w:t xml:space="preserve"> </w:t>
      </w:r>
      <w:r w:rsidR="004547A4">
        <w:t xml:space="preserve">We should anticipate that the results will be pretty bad, and this would give us an opportunity to discuss the issues with using the dataset as-is. While the DT and RF may not be as affected by the high dimension, </w:t>
      </w:r>
      <w:r w:rsidR="002C0AF2">
        <w:t>t</w:t>
      </w:r>
      <w:r w:rsidR="004547A4">
        <w:t xml:space="preserve">he NBC, SVM, </w:t>
      </w:r>
      <m:oMath>
        <m:r>
          <w:rPr>
            <w:rFonts w:ascii="Cambria Math" w:hAnsi="Cambria Math"/>
          </w:rPr>
          <m:t>k</m:t>
        </m:r>
      </m:oMath>
      <w:r w:rsidR="004547A4">
        <w:rPr>
          <w:rFonts w:eastAsiaTheme="minorEastAsia"/>
        </w:rPr>
        <w:t>-NN</w:t>
      </w:r>
      <w:r w:rsidR="002C0AF2">
        <w:rPr>
          <w:rFonts w:eastAsiaTheme="minorEastAsia"/>
        </w:rPr>
        <w:t>, and GP</w:t>
      </w:r>
      <w:r w:rsidR="004547A4">
        <w:rPr>
          <w:rFonts w:eastAsiaTheme="minorEastAsia"/>
        </w:rPr>
        <w:t xml:space="preserve"> will likely all suffer from the high dimension</w:t>
      </w:r>
      <w:r w:rsidR="002C0AF2">
        <w:rPr>
          <w:rFonts w:eastAsiaTheme="minorEastAsia"/>
        </w:rPr>
        <w:t>.</w:t>
      </w:r>
    </w:p>
    <w:p w14:paraId="5DFFB595" w14:textId="62961807" w:rsidR="002C0AF2" w:rsidRDefault="002C0AF2" w:rsidP="002C0AF2">
      <w:pPr>
        <w:pStyle w:val="Heading3"/>
      </w:pPr>
      <w:r>
        <w:t>Strategy 2: Data Grouping</w:t>
      </w:r>
    </w:p>
    <w:p w14:paraId="03818BD7" w14:textId="2F3D4EAB" w:rsidR="005216C4" w:rsidRPr="005216C4" w:rsidRDefault="005216C4" w:rsidP="005216C4">
      <w:r>
        <w:t xml:space="preserve">Since we’re working in a biological system, we could group related genes together using </w:t>
      </w:r>
      <w:r>
        <w:rPr>
          <w:i/>
          <w:iCs/>
        </w:rPr>
        <w:t>a priori</w:t>
      </w:r>
      <w:r>
        <w:t xml:space="preserve"> biological knowledge (i.e. GO categories, which are provided in the SOFT file for the dataset).</w:t>
      </w:r>
      <w:r w:rsidR="004547A4">
        <w:t xml:space="preserve"> This would reduce our dimension from expression of individual genes to average expression of gene sets/pathways. We could see how the algorithms perform on the reduced dimension of the dataset.</w:t>
      </w:r>
    </w:p>
    <w:p w14:paraId="6D7171BA" w14:textId="61C20301" w:rsidR="005216C4" w:rsidRDefault="005216C4" w:rsidP="002C0AF2">
      <w:pPr>
        <w:pStyle w:val="Heading3"/>
      </w:pPr>
      <w:r>
        <w:lastRenderedPageBreak/>
        <w:t xml:space="preserve">Strategy </w:t>
      </w:r>
      <w:r w:rsidR="00AF4D9E">
        <w:t>3</w:t>
      </w:r>
      <w:r>
        <w:t>: Dimensionality Reduction</w:t>
      </w:r>
    </w:p>
    <w:p w14:paraId="69169A40" w14:textId="0C162709" w:rsidR="004547A4" w:rsidRDefault="004547A4" w:rsidP="004547A4">
      <w:r>
        <w:t xml:space="preserve">Another strategy to combat the absurdly high dimension is to use Principle Component Analysis (PCA) to </w:t>
      </w:r>
      <w:r w:rsidR="00AF4D9E">
        <w:t>reduce the number of dimensions to something more manageable, then train the algorithms on the dataset in the subspace.</w:t>
      </w:r>
    </w:p>
    <w:p w14:paraId="75277879" w14:textId="0640F6D9" w:rsidR="00AF4D9E" w:rsidRDefault="00AF4D9E" w:rsidP="002C0AF2">
      <w:pPr>
        <w:pStyle w:val="Heading3"/>
      </w:pPr>
      <w:r>
        <w:t>Strategy 4: Data Encoding</w:t>
      </w:r>
    </w:p>
    <w:p w14:paraId="1B4F7109" w14:textId="1B53257F" w:rsidR="00AF4D9E" w:rsidRDefault="00AF4D9E" w:rsidP="00AF4D9E">
      <w:r>
        <w:t>We could use the Variational Auto-Encoder (VAE) to encode the data to a lower-dimensional space in a generalizable but nonlinear way that preserves more information.</w:t>
      </w:r>
    </w:p>
    <w:p w14:paraId="21567DB5" w14:textId="3F9D9915" w:rsidR="002C0AF2" w:rsidRDefault="002C0AF2" w:rsidP="002C0AF2">
      <w:pPr>
        <w:pStyle w:val="Heading3"/>
      </w:pPr>
      <w:r>
        <w:t>Strategy 5: Cheat</w:t>
      </w:r>
    </w:p>
    <w:p w14:paraId="442429A3" w14:textId="64E6FDEE" w:rsidR="002C0AF2" w:rsidRPr="002C0AF2" w:rsidRDefault="002C0AF2" w:rsidP="002C0AF2">
      <w:r>
        <w:t xml:space="preserve">There are preexisting models on gene expression data (see some of the models trained on </w:t>
      </w:r>
      <w:hyperlink r:id="rId5" w:history="1">
        <w:r w:rsidRPr="00617FC5">
          <w:rPr>
            <w:rStyle w:val="Hyperlink"/>
          </w:rPr>
          <w:t>https://huggingface.co/datasets/tahoebio/Tahoe-100M</w:t>
        </w:r>
      </w:hyperlink>
      <w:r>
        <w:t>), so we could also try using the embeddings/representations from a preexisting model and running our algorithms on the data in that preexisting representation space.</w:t>
      </w:r>
    </w:p>
    <w:p w14:paraId="07BF5EC1" w14:textId="48D3368E" w:rsidR="002C0AF2" w:rsidRDefault="002C0AF2" w:rsidP="002C0AF2">
      <w:pPr>
        <w:pStyle w:val="Heading2"/>
      </w:pPr>
      <w:r>
        <w:t>Strategies to Combat Low Number of Data Points</w:t>
      </w:r>
    </w:p>
    <w:p w14:paraId="66A0C013" w14:textId="6C39659B" w:rsidR="002C0AF2" w:rsidRDefault="002C0AF2" w:rsidP="002C0AF2">
      <w:r>
        <w:t>The low number of data points poses a major problem for many algorithms and for evaluating the models, but there are a few strategies we could use to combat this issue.</w:t>
      </w:r>
    </w:p>
    <w:p w14:paraId="066AED1C" w14:textId="14185D27" w:rsidR="002C0AF2" w:rsidRPr="002C0AF2" w:rsidRDefault="002C0AF2" w:rsidP="002C0AF2">
      <w:pPr>
        <w:pStyle w:val="Heading3"/>
      </w:pPr>
      <w:r>
        <w:t>Strategy a: Do Nothing</w:t>
      </w:r>
    </w:p>
    <w:p w14:paraId="145CE0BB" w14:textId="3B7E926E" w:rsidR="002C0AF2" w:rsidRDefault="002C0AF2" w:rsidP="002C0AF2">
      <w:r>
        <w:t>Again, we could try not doing anything, which could provide us with a good base point to compare performance with. We should again anticipate that the results will be pretty bad, and this would give us an opportunity to discuss the issues with using the dataset as-is.</w:t>
      </w:r>
    </w:p>
    <w:p w14:paraId="65FDC8BF" w14:textId="64938A6D" w:rsidR="002C0AF2" w:rsidRDefault="002C0AF2" w:rsidP="002C0AF2">
      <w:r>
        <w:t xml:space="preserve">We </w:t>
      </w:r>
      <w:r w:rsidR="00934CB0">
        <w:t>could discuss the impracticality of doing an 80-20 split, since we’d then only be training on 28 data points and validating on 8. A validation/test set of 8 is very uninformative, since you can only assess accuracy in 12.5% intervals.</w:t>
      </w:r>
    </w:p>
    <w:p w14:paraId="29EB87FE" w14:textId="425915BB" w:rsidR="00934CB0" w:rsidRDefault="00934CB0" w:rsidP="002C0AF2">
      <w:r>
        <w:t>So, we’d go with leave-one-out validation. However, this poses a problem for methods like the DT and RF, since, without a validation set, we’d need to just prune the tree at some prespecified depth, which is difficult to prescribe ahead of time.</w:t>
      </w:r>
    </w:p>
    <w:p w14:paraId="0EF51B9C" w14:textId="29FB5505" w:rsidR="00934CB0" w:rsidRDefault="00934CB0" w:rsidP="00934CB0">
      <w:pPr>
        <w:pStyle w:val="Heading3"/>
      </w:pPr>
      <w:r>
        <w:t>Strategy b: Bootstrapping</w:t>
      </w:r>
    </w:p>
    <w:p w14:paraId="6250B74C" w14:textId="0ADBA1BF" w:rsidR="00934CB0" w:rsidRDefault="00934CB0" w:rsidP="00934CB0">
      <w:r>
        <w:t>We could augment the dataset by bootstrapping</w:t>
      </w:r>
      <w:r w:rsidR="00A25AE4">
        <w:t>, forming a committee for each model on a very large (bootstrapped) dataset.</w:t>
      </w:r>
    </w:p>
    <w:p w14:paraId="252C1F7E" w14:textId="3C05C311" w:rsidR="00A25AE4" w:rsidRDefault="00A25AE4" w:rsidP="00A25AE4">
      <w:pPr>
        <w:pStyle w:val="Heading3"/>
      </w:pPr>
      <w:r>
        <w:lastRenderedPageBreak/>
        <w:t>Strategy c: Simulated Data</w:t>
      </w:r>
    </w:p>
    <w:p w14:paraId="170A36D8" w14:textId="203E27EE" w:rsidR="00A25AE4" w:rsidRDefault="00A25AE4" w:rsidP="00A25AE4">
      <w:r>
        <w:t>We could generate new data points by sampling random points from the VAE</w:t>
      </w:r>
      <w:r w:rsidR="00587DFD">
        <w:t>. Because the VAE encodes points in a generalizable way, sampling from the representation space and decoding back to the data space should give us data points similar to the points in the original dataset.</w:t>
      </w:r>
      <w:r>
        <w:t xml:space="preserve"> </w:t>
      </w:r>
      <w:r w:rsidR="00587DFD">
        <w:t>We can then</w:t>
      </w:r>
      <w:r>
        <w:t xml:space="preserve"> train on th</w:t>
      </w:r>
      <w:r w:rsidR="00587DFD">
        <w:t>is</w:t>
      </w:r>
      <w:r>
        <w:t xml:space="preserve"> augmented dataset. In this case, maybe we could reserve the original dataset for testing/validation (I’m not sure how sensible that would be, since we’re using the dataset to generate the encoding in the first place)?</w:t>
      </w:r>
    </w:p>
    <w:p w14:paraId="5070C379" w14:textId="4B8E9EE2" w:rsidR="00A25AE4" w:rsidRDefault="003F3DD7" w:rsidP="00A25AE4">
      <w:pPr>
        <w:pStyle w:val="Heading1"/>
      </w:pPr>
      <w:r>
        <w:t>Expected</w:t>
      </w:r>
      <w:r w:rsidR="00A25AE4">
        <w:t xml:space="preserve"> Results</w:t>
      </w:r>
    </w:p>
    <w:p w14:paraId="332EB2F3" w14:textId="1C4C008B" w:rsidR="00A25AE4" w:rsidRDefault="00A25AE4" w:rsidP="00A25AE4">
      <w:pPr>
        <w:rPr>
          <w:rFonts w:eastAsiaTheme="minorEastAsia"/>
        </w:rPr>
      </w:pPr>
      <w:r>
        <w:t>So, in the end, we would have a lot of data to talk about and discuss</w:t>
      </w:r>
      <w:r w:rsidR="004F3B4A">
        <w:t xml:space="preserve"> in the paper</w:t>
      </w:r>
      <w:r>
        <w:t xml:space="preserve">. We’re going to be </w:t>
      </w:r>
      <w:r w:rsidR="00DD3DC0">
        <w:t xml:space="preserve">comparing </w:t>
      </w:r>
      <w:r>
        <w:t xml:space="preserve">5 different strategies for combatting the high dimensionality and 3 strategies for combatting the low number of data points, resulting in </w:t>
      </w:r>
      <m:oMath>
        <m:r>
          <w:rPr>
            <w:rFonts w:ascii="Cambria Math" w:hAnsi="Cambria Math"/>
          </w:rPr>
          <m:t>5×3=15</m:t>
        </m:r>
      </m:oMath>
      <w:r>
        <w:rPr>
          <w:rFonts w:eastAsiaTheme="minorEastAsia"/>
        </w:rPr>
        <w:t xml:space="preserve"> different </w:t>
      </w:r>
      <w:r w:rsidR="00DD3DC0">
        <w:rPr>
          <w:rFonts w:eastAsiaTheme="minorEastAsia"/>
        </w:rPr>
        <w:t>combinations. For each combination, we’d be testing all 6 models.</w:t>
      </w:r>
      <w:r w:rsidR="00316202">
        <w:rPr>
          <w:rFonts w:eastAsiaTheme="minorEastAsia"/>
        </w:rPr>
        <w:t xml:space="preserve"> </w:t>
      </w:r>
    </w:p>
    <w:tbl>
      <w:tblPr>
        <w:tblStyle w:val="TableGrid"/>
        <w:tblW w:w="5000" w:type="pct"/>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140"/>
        <w:gridCol w:w="808"/>
        <w:gridCol w:w="882"/>
        <w:gridCol w:w="882"/>
        <w:gridCol w:w="882"/>
        <w:gridCol w:w="882"/>
        <w:gridCol w:w="884"/>
      </w:tblGrid>
      <w:tr w:rsidR="004F3B4A" w14:paraId="649F2687" w14:textId="77777777" w:rsidTr="004F3B4A">
        <w:tc>
          <w:tcPr>
            <w:tcW w:w="2643" w:type="pct"/>
            <w:gridSpan w:val="2"/>
            <w:vMerge w:val="restart"/>
            <w:tcBorders>
              <w:top w:val="nil"/>
              <w:right w:val="double" w:sz="4" w:space="0" w:color="auto"/>
            </w:tcBorders>
          </w:tcPr>
          <w:p w14:paraId="5EA56E75" w14:textId="71050BA6" w:rsidR="004F3B4A" w:rsidRDefault="004F3B4A" w:rsidP="00316202">
            <w:pPr>
              <w:pStyle w:val="NoSpacing"/>
              <w:jc w:val="right"/>
            </w:pPr>
          </w:p>
        </w:tc>
        <w:tc>
          <w:tcPr>
            <w:tcW w:w="2357" w:type="pct"/>
            <w:gridSpan w:val="5"/>
            <w:tcBorders>
              <w:top w:val="nil"/>
              <w:left w:val="double" w:sz="4" w:space="0" w:color="auto"/>
              <w:bottom w:val="nil"/>
            </w:tcBorders>
            <w:vAlign w:val="bottom"/>
          </w:tcPr>
          <w:p w14:paraId="313BF7D3" w14:textId="23CF12F8" w:rsidR="004F3B4A" w:rsidRPr="004F3B4A" w:rsidRDefault="004F3B4A" w:rsidP="00316202">
            <w:pPr>
              <w:pStyle w:val="NoSpacing"/>
              <w:jc w:val="center"/>
              <w:rPr>
                <w:b/>
                <w:bCs/>
              </w:rPr>
            </w:pPr>
            <w:r w:rsidRPr="004F3B4A">
              <w:rPr>
                <w:b/>
                <w:bCs/>
              </w:rPr>
              <w:t>Strategy to Combat High Dimensionality</w:t>
            </w:r>
          </w:p>
        </w:tc>
      </w:tr>
      <w:tr w:rsidR="004F3B4A" w14:paraId="6F4B6D0B" w14:textId="77777777" w:rsidTr="004F3B4A">
        <w:tc>
          <w:tcPr>
            <w:tcW w:w="2643" w:type="pct"/>
            <w:gridSpan w:val="2"/>
            <w:vMerge/>
            <w:tcBorders>
              <w:bottom w:val="double" w:sz="4" w:space="0" w:color="auto"/>
              <w:right w:val="double" w:sz="4" w:space="0" w:color="auto"/>
            </w:tcBorders>
            <w:vAlign w:val="bottom"/>
          </w:tcPr>
          <w:p w14:paraId="4895F0D2" w14:textId="2827B499" w:rsidR="004F3B4A" w:rsidRPr="004F3B4A" w:rsidRDefault="004F3B4A" w:rsidP="00316202">
            <w:pPr>
              <w:pStyle w:val="NoSpacing"/>
              <w:jc w:val="right"/>
              <w:rPr>
                <w:b/>
                <w:bCs/>
              </w:rPr>
            </w:pPr>
          </w:p>
        </w:tc>
        <w:tc>
          <w:tcPr>
            <w:tcW w:w="471" w:type="pct"/>
            <w:tcBorders>
              <w:top w:val="nil"/>
              <w:left w:val="double" w:sz="4" w:space="0" w:color="auto"/>
              <w:bottom w:val="double" w:sz="4" w:space="0" w:color="auto"/>
            </w:tcBorders>
            <w:vAlign w:val="bottom"/>
          </w:tcPr>
          <w:p w14:paraId="3B4471B8" w14:textId="5A176B64" w:rsidR="004F3B4A" w:rsidRPr="004F3B4A" w:rsidRDefault="004F3B4A" w:rsidP="004F3B4A">
            <w:pPr>
              <w:pStyle w:val="NoSpacing"/>
              <w:jc w:val="center"/>
              <w:rPr>
                <w:b/>
                <w:bCs/>
              </w:rPr>
            </w:pPr>
            <w:r w:rsidRPr="004F3B4A">
              <w:rPr>
                <w:b/>
                <w:bCs/>
              </w:rPr>
              <w:t>1</w:t>
            </w:r>
          </w:p>
        </w:tc>
        <w:tc>
          <w:tcPr>
            <w:tcW w:w="471" w:type="pct"/>
            <w:tcBorders>
              <w:top w:val="nil"/>
              <w:bottom w:val="double" w:sz="4" w:space="0" w:color="auto"/>
            </w:tcBorders>
            <w:vAlign w:val="bottom"/>
          </w:tcPr>
          <w:p w14:paraId="4BCB79FB" w14:textId="4F7FB71D" w:rsidR="004F3B4A" w:rsidRPr="004F3B4A" w:rsidRDefault="004F3B4A" w:rsidP="004F3B4A">
            <w:pPr>
              <w:pStyle w:val="NoSpacing"/>
              <w:jc w:val="center"/>
              <w:rPr>
                <w:b/>
                <w:bCs/>
              </w:rPr>
            </w:pPr>
            <w:r w:rsidRPr="004F3B4A">
              <w:rPr>
                <w:b/>
                <w:bCs/>
              </w:rPr>
              <w:t>2</w:t>
            </w:r>
          </w:p>
        </w:tc>
        <w:tc>
          <w:tcPr>
            <w:tcW w:w="471" w:type="pct"/>
            <w:tcBorders>
              <w:top w:val="nil"/>
              <w:bottom w:val="double" w:sz="4" w:space="0" w:color="auto"/>
            </w:tcBorders>
            <w:vAlign w:val="bottom"/>
          </w:tcPr>
          <w:p w14:paraId="58137FBA" w14:textId="71A0C0EE" w:rsidR="004F3B4A" w:rsidRPr="004F3B4A" w:rsidRDefault="004F3B4A" w:rsidP="004F3B4A">
            <w:pPr>
              <w:pStyle w:val="NoSpacing"/>
              <w:jc w:val="center"/>
              <w:rPr>
                <w:b/>
                <w:bCs/>
              </w:rPr>
            </w:pPr>
            <w:r w:rsidRPr="004F3B4A">
              <w:rPr>
                <w:b/>
                <w:bCs/>
              </w:rPr>
              <w:t>3</w:t>
            </w:r>
          </w:p>
        </w:tc>
        <w:tc>
          <w:tcPr>
            <w:tcW w:w="471" w:type="pct"/>
            <w:tcBorders>
              <w:top w:val="nil"/>
              <w:bottom w:val="double" w:sz="4" w:space="0" w:color="auto"/>
            </w:tcBorders>
            <w:vAlign w:val="bottom"/>
          </w:tcPr>
          <w:p w14:paraId="7F17F1D6" w14:textId="3F164BCB" w:rsidR="004F3B4A" w:rsidRPr="004F3B4A" w:rsidRDefault="004F3B4A" w:rsidP="004F3B4A">
            <w:pPr>
              <w:pStyle w:val="NoSpacing"/>
              <w:jc w:val="center"/>
              <w:rPr>
                <w:b/>
                <w:bCs/>
              </w:rPr>
            </w:pPr>
            <w:r w:rsidRPr="004F3B4A">
              <w:rPr>
                <w:b/>
                <w:bCs/>
              </w:rPr>
              <w:t>4</w:t>
            </w:r>
          </w:p>
        </w:tc>
        <w:tc>
          <w:tcPr>
            <w:tcW w:w="472" w:type="pct"/>
            <w:tcBorders>
              <w:top w:val="nil"/>
              <w:bottom w:val="double" w:sz="4" w:space="0" w:color="auto"/>
            </w:tcBorders>
            <w:vAlign w:val="bottom"/>
          </w:tcPr>
          <w:p w14:paraId="54A594D4" w14:textId="556682C9" w:rsidR="004F3B4A" w:rsidRPr="004F3B4A" w:rsidRDefault="004F3B4A" w:rsidP="004F3B4A">
            <w:pPr>
              <w:pStyle w:val="NoSpacing"/>
              <w:jc w:val="center"/>
              <w:rPr>
                <w:b/>
                <w:bCs/>
              </w:rPr>
            </w:pPr>
            <w:r w:rsidRPr="004F3B4A">
              <w:rPr>
                <w:b/>
                <w:bCs/>
              </w:rPr>
              <w:t>5</w:t>
            </w:r>
          </w:p>
        </w:tc>
      </w:tr>
      <w:tr w:rsidR="004F3B4A" w14:paraId="36D9E222" w14:textId="77777777" w:rsidTr="004F3B4A">
        <w:tc>
          <w:tcPr>
            <w:tcW w:w="2212" w:type="pct"/>
            <w:vMerge w:val="restart"/>
            <w:tcBorders>
              <w:top w:val="double" w:sz="4" w:space="0" w:color="auto"/>
              <w:right w:val="nil"/>
            </w:tcBorders>
            <w:vAlign w:val="center"/>
          </w:tcPr>
          <w:p w14:paraId="76AFD2CF" w14:textId="23E1779F" w:rsidR="004F3B4A" w:rsidRDefault="004F3B4A" w:rsidP="004F3B4A">
            <w:pPr>
              <w:pStyle w:val="NoSpacing"/>
              <w:jc w:val="right"/>
            </w:pPr>
            <w:r w:rsidRPr="004F3B4A">
              <w:rPr>
                <w:b/>
                <w:bCs/>
              </w:rPr>
              <w:t>Strategy to Combat Low Number of Data Points</w:t>
            </w:r>
          </w:p>
        </w:tc>
        <w:tc>
          <w:tcPr>
            <w:tcW w:w="432" w:type="pct"/>
            <w:tcBorders>
              <w:top w:val="double" w:sz="4" w:space="0" w:color="auto"/>
              <w:left w:val="nil"/>
              <w:bottom w:val="single" w:sz="4" w:space="0" w:color="auto"/>
              <w:right w:val="double" w:sz="4" w:space="0" w:color="auto"/>
            </w:tcBorders>
            <w:vAlign w:val="center"/>
          </w:tcPr>
          <w:p w14:paraId="3BA32BA5" w14:textId="3E558515" w:rsidR="004F3B4A" w:rsidRPr="004F3B4A" w:rsidRDefault="004F3B4A" w:rsidP="004F3B4A">
            <w:pPr>
              <w:pStyle w:val="NoSpacing"/>
              <w:jc w:val="right"/>
              <w:rPr>
                <w:b/>
                <w:bCs/>
              </w:rPr>
            </w:pPr>
            <w:r w:rsidRPr="004F3B4A">
              <w:rPr>
                <w:b/>
                <w:bCs/>
              </w:rPr>
              <w:t>a</w:t>
            </w:r>
          </w:p>
        </w:tc>
        <w:tc>
          <w:tcPr>
            <w:tcW w:w="471" w:type="pct"/>
            <w:tcBorders>
              <w:top w:val="double" w:sz="4" w:space="0" w:color="auto"/>
              <w:left w:val="double" w:sz="4" w:space="0" w:color="auto"/>
            </w:tcBorders>
            <w:vAlign w:val="center"/>
          </w:tcPr>
          <w:p w14:paraId="7DCE1B1A" w14:textId="0E72D090" w:rsidR="004F3B4A" w:rsidRDefault="004F3B4A" w:rsidP="004F3B4A">
            <w:pPr>
              <w:pStyle w:val="NoSpacing"/>
              <w:jc w:val="center"/>
            </w:pPr>
            <w:r>
              <w:t>1a</w:t>
            </w:r>
          </w:p>
        </w:tc>
        <w:tc>
          <w:tcPr>
            <w:tcW w:w="471" w:type="pct"/>
            <w:tcBorders>
              <w:top w:val="double" w:sz="4" w:space="0" w:color="auto"/>
            </w:tcBorders>
            <w:vAlign w:val="center"/>
          </w:tcPr>
          <w:p w14:paraId="66F29D31" w14:textId="69DE4148" w:rsidR="004F3B4A" w:rsidRDefault="004F3B4A" w:rsidP="004F3B4A">
            <w:pPr>
              <w:pStyle w:val="NoSpacing"/>
              <w:jc w:val="center"/>
            </w:pPr>
            <w:r>
              <w:t>2a</w:t>
            </w:r>
          </w:p>
        </w:tc>
        <w:tc>
          <w:tcPr>
            <w:tcW w:w="471" w:type="pct"/>
            <w:tcBorders>
              <w:top w:val="double" w:sz="4" w:space="0" w:color="auto"/>
            </w:tcBorders>
            <w:vAlign w:val="center"/>
          </w:tcPr>
          <w:p w14:paraId="04855E9C" w14:textId="1B0B6A8B" w:rsidR="004F3B4A" w:rsidRDefault="004F3B4A" w:rsidP="004F3B4A">
            <w:pPr>
              <w:pStyle w:val="NoSpacing"/>
              <w:jc w:val="center"/>
            </w:pPr>
            <w:r>
              <w:t>3a</w:t>
            </w:r>
          </w:p>
        </w:tc>
        <w:tc>
          <w:tcPr>
            <w:tcW w:w="471" w:type="pct"/>
            <w:tcBorders>
              <w:top w:val="double" w:sz="4" w:space="0" w:color="auto"/>
            </w:tcBorders>
            <w:vAlign w:val="center"/>
          </w:tcPr>
          <w:p w14:paraId="0B8B392D" w14:textId="705645B8" w:rsidR="004F3B4A" w:rsidRDefault="004F3B4A" w:rsidP="004F3B4A">
            <w:pPr>
              <w:pStyle w:val="NoSpacing"/>
              <w:jc w:val="center"/>
            </w:pPr>
            <w:r>
              <w:t>4a</w:t>
            </w:r>
          </w:p>
        </w:tc>
        <w:tc>
          <w:tcPr>
            <w:tcW w:w="472" w:type="pct"/>
            <w:tcBorders>
              <w:top w:val="double" w:sz="4" w:space="0" w:color="auto"/>
            </w:tcBorders>
            <w:vAlign w:val="center"/>
          </w:tcPr>
          <w:p w14:paraId="771D3728" w14:textId="46C330BC" w:rsidR="004F3B4A" w:rsidRDefault="004F3B4A" w:rsidP="004F3B4A">
            <w:pPr>
              <w:pStyle w:val="NoSpacing"/>
              <w:jc w:val="center"/>
            </w:pPr>
            <w:r>
              <w:t>5a</w:t>
            </w:r>
          </w:p>
        </w:tc>
      </w:tr>
      <w:tr w:rsidR="004F3B4A" w14:paraId="3B98E70D" w14:textId="77777777" w:rsidTr="004F3B4A">
        <w:tc>
          <w:tcPr>
            <w:tcW w:w="2212" w:type="pct"/>
            <w:vMerge/>
            <w:tcBorders>
              <w:right w:val="nil"/>
            </w:tcBorders>
            <w:vAlign w:val="center"/>
          </w:tcPr>
          <w:p w14:paraId="5CE0C086" w14:textId="77777777" w:rsidR="004F3B4A" w:rsidRDefault="004F3B4A" w:rsidP="00316202">
            <w:pPr>
              <w:pStyle w:val="NoSpacing"/>
              <w:jc w:val="right"/>
            </w:pPr>
          </w:p>
        </w:tc>
        <w:tc>
          <w:tcPr>
            <w:tcW w:w="432" w:type="pct"/>
            <w:tcBorders>
              <w:top w:val="single" w:sz="4" w:space="0" w:color="auto"/>
              <w:left w:val="nil"/>
              <w:bottom w:val="single" w:sz="4" w:space="0" w:color="auto"/>
              <w:right w:val="double" w:sz="4" w:space="0" w:color="auto"/>
            </w:tcBorders>
            <w:vAlign w:val="center"/>
          </w:tcPr>
          <w:p w14:paraId="5FC4FBB4" w14:textId="20FEE7AC" w:rsidR="004F3B4A" w:rsidRPr="004F3B4A" w:rsidRDefault="004F3B4A" w:rsidP="00316202">
            <w:pPr>
              <w:pStyle w:val="NoSpacing"/>
              <w:jc w:val="right"/>
              <w:rPr>
                <w:b/>
                <w:bCs/>
              </w:rPr>
            </w:pPr>
            <w:r w:rsidRPr="004F3B4A">
              <w:rPr>
                <w:b/>
                <w:bCs/>
              </w:rPr>
              <w:t>b</w:t>
            </w:r>
          </w:p>
        </w:tc>
        <w:tc>
          <w:tcPr>
            <w:tcW w:w="471" w:type="pct"/>
            <w:tcBorders>
              <w:left w:val="double" w:sz="4" w:space="0" w:color="auto"/>
            </w:tcBorders>
            <w:vAlign w:val="center"/>
          </w:tcPr>
          <w:p w14:paraId="22F921ED" w14:textId="5A09249A" w:rsidR="004F3B4A" w:rsidRDefault="004F3B4A" w:rsidP="004F3B4A">
            <w:pPr>
              <w:pStyle w:val="NoSpacing"/>
              <w:jc w:val="center"/>
            </w:pPr>
            <w:r>
              <w:t>1b</w:t>
            </w:r>
          </w:p>
        </w:tc>
        <w:tc>
          <w:tcPr>
            <w:tcW w:w="471" w:type="pct"/>
            <w:vAlign w:val="center"/>
          </w:tcPr>
          <w:p w14:paraId="4A974C66" w14:textId="2AFA76FB" w:rsidR="004F3B4A" w:rsidRDefault="004F3B4A" w:rsidP="004F3B4A">
            <w:pPr>
              <w:pStyle w:val="NoSpacing"/>
              <w:jc w:val="center"/>
            </w:pPr>
            <w:r>
              <w:t>2b</w:t>
            </w:r>
          </w:p>
        </w:tc>
        <w:tc>
          <w:tcPr>
            <w:tcW w:w="471" w:type="pct"/>
            <w:vAlign w:val="center"/>
          </w:tcPr>
          <w:p w14:paraId="295AD3F3" w14:textId="33CFB705" w:rsidR="004F3B4A" w:rsidRDefault="004F3B4A" w:rsidP="004F3B4A">
            <w:pPr>
              <w:pStyle w:val="NoSpacing"/>
              <w:jc w:val="center"/>
            </w:pPr>
            <w:r>
              <w:t>3b</w:t>
            </w:r>
          </w:p>
        </w:tc>
        <w:tc>
          <w:tcPr>
            <w:tcW w:w="471" w:type="pct"/>
            <w:vAlign w:val="center"/>
          </w:tcPr>
          <w:p w14:paraId="1C81E486" w14:textId="5A8B1D4D" w:rsidR="004F3B4A" w:rsidRDefault="004F3B4A" w:rsidP="004F3B4A">
            <w:pPr>
              <w:pStyle w:val="NoSpacing"/>
              <w:jc w:val="center"/>
            </w:pPr>
            <w:r>
              <w:t>4b</w:t>
            </w:r>
          </w:p>
        </w:tc>
        <w:tc>
          <w:tcPr>
            <w:tcW w:w="472" w:type="pct"/>
            <w:vAlign w:val="center"/>
          </w:tcPr>
          <w:p w14:paraId="3E28BAF4" w14:textId="07774672" w:rsidR="004F3B4A" w:rsidRDefault="004F3B4A" w:rsidP="004F3B4A">
            <w:pPr>
              <w:pStyle w:val="NoSpacing"/>
              <w:jc w:val="center"/>
            </w:pPr>
            <w:r>
              <w:t>5b</w:t>
            </w:r>
          </w:p>
        </w:tc>
      </w:tr>
      <w:tr w:rsidR="004F3B4A" w14:paraId="0F047FDC" w14:textId="77777777" w:rsidTr="004F3B4A">
        <w:tc>
          <w:tcPr>
            <w:tcW w:w="2212" w:type="pct"/>
            <w:vMerge/>
            <w:tcBorders>
              <w:right w:val="nil"/>
            </w:tcBorders>
            <w:vAlign w:val="center"/>
          </w:tcPr>
          <w:p w14:paraId="0B4A65AE" w14:textId="77777777" w:rsidR="004F3B4A" w:rsidRDefault="004F3B4A" w:rsidP="00316202">
            <w:pPr>
              <w:pStyle w:val="NoSpacing"/>
              <w:jc w:val="right"/>
            </w:pPr>
          </w:p>
        </w:tc>
        <w:tc>
          <w:tcPr>
            <w:tcW w:w="432" w:type="pct"/>
            <w:tcBorders>
              <w:top w:val="single" w:sz="4" w:space="0" w:color="auto"/>
              <w:left w:val="nil"/>
              <w:bottom w:val="nil"/>
              <w:right w:val="double" w:sz="4" w:space="0" w:color="auto"/>
            </w:tcBorders>
            <w:vAlign w:val="center"/>
          </w:tcPr>
          <w:p w14:paraId="73E4B157" w14:textId="1F33EDE9" w:rsidR="004F3B4A" w:rsidRPr="004F3B4A" w:rsidRDefault="004F3B4A" w:rsidP="00316202">
            <w:pPr>
              <w:pStyle w:val="NoSpacing"/>
              <w:jc w:val="right"/>
              <w:rPr>
                <w:b/>
                <w:bCs/>
              </w:rPr>
            </w:pPr>
            <w:r w:rsidRPr="004F3B4A">
              <w:rPr>
                <w:b/>
                <w:bCs/>
              </w:rPr>
              <w:t>c</w:t>
            </w:r>
          </w:p>
        </w:tc>
        <w:tc>
          <w:tcPr>
            <w:tcW w:w="471" w:type="pct"/>
            <w:tcBorders>
              <w:left w:val="double" w:sz="4" w:space="0" w:color="auto"/>
            </w:tcBorders>
            <w:vAlign w:val="center"/>
          </w:tcPr>
          <w:p w14:paraId="27744BB8" w14:textId="1DD8D7A3" w:rsidR="004F3B4A" w:rsidRDefault="004F3B4A" w:rsidP="004F3B4A">
            <w:pPr>
              <w:pStyle w:val="NoSpacing"/>
              <w:jc w:val="center"/>
            </w:pPr>
            <w:r>
              <w:t>1c</w:t>
            </w:r>
          </w:p>
        </w:tc>
        <w:tc>
          <w:tcPr>
            <w:tcW w:w="471" w:type="pct"/>
            <w:vAlign w:val="center"/>
          </w:tcPr>
          <w:p w14:paraId="3389A816" w14:textId="297BB3C1" w:rsidR="004F3B4A" w:rsidRDefault="004F3B4A" w:rsidP="004F3B4A">
            <w:pPr>
              <w:pStyle w:val="NoSpacing"/>
              <w:jc w:val="center"/>
            </w:pPr>
            <w:r>
              <w:t>2c</w:t>
            </w:r>
          </w:p>
        </w:tc>
        <w:tc>
          <w:tcPr>
            <w:tcW w:w="471" w:type="pct"/>
            <w:vAlign w:val="center"/>
          </w:tcPr>
          <w:p w14:paraId="43023074" w14:textId="052680E5" w:rsidR="004F3B4A" w:rsidRDefault="004F3B4A" w:rsidP="004F3B4A">
            <w:pPr>
              <w:pStyle w:val="NoSpacing"/>
              <w:jc w:val="center"/>
            </w:pPr>
            <w:r>
              <w:t>3c</w:t>
            </w:r>
          </w:p>
        </w:tc>
        <w:tc>
          <w:tcPr>
            <w:tcW w:w="471" w:type="pct"/>
            <w:vAlign w:val="center"/>
          </w:tcPr>
          <w:p w14:paraId="4609B186" w14:textId="00A49601" w:rsidR="004F3B4A" w:rsidRDefault="004F3B4A" w:rsidP="004F3B4A">
            <w:pPr>
              <w:pStyle w:val="NoSpacing"/>
              <w:jc w:val="center"/>
            </w:pPr>
            <w:r>
              <w:t>4c</w:t>
            </w:r>
          </w:p>
        </w:tc>
        <w:tc>
          <w:tcPr>
            <w:tcW w:w="472" w:type="pct"/>
            <w:vAlign w:val="center"/>
          </w:tcPr>
          <w:p w14:paraId="7CEC4448" w14:textId="07656AD0" w:rsidR="004F3B4A" w:rsidRDefault="004F3B4A" w:rsidP="004F3B4A">
            <w:pPr>
              <w:pStyle w:val="NoSpacing"/>
              <w:jc w:val="center"/>
            </w:pPr>
            <w:r>
              <w:t>5c</w:t>
            </w:r>
          </w:p>
        </w:tc>
      </w:tr>
    </w:tbl>
    <w:p w14:paraId="4E940115" w14:textId="68D661BE" w:rsidR="00F62889" w:rsidRDefault="00DD3DC0" w:rsidP="00A25AE4">
      <w:pPr>
        <w:rPr>
          <w:rFonts w:eastAsiaTheme="minorEastAsia"/>
        </w:rPr>
      </w:pPr>
      <w:r>
        <w:rPr>
          <w:rFonts w:eastAsiaTheme="minorEastAsia"/>
        </w:rPr>
        <w:br/>
      </w:r>
      <w:r w:rsidR="00F62889">
        <w:rPr>
          <w:rFonts w:eastAsiaTheme="minorEastAsia"/>
        </w:rPr>
        <w:t>So, each cell of this table corresponds to a different, modified dataset that has been transformed/augmented in some way with some combination of strategies to combat the high dimensionality and low number of data points. For each of these strategy combinations</w:t>
      </w:r>
      <w:r>
        <w:rPr>
          <w:rFonts w:eastAsiaTheme="minorEastAsia"/>
        </w:rPr>
        <w:t>, we’d train</w:t>
      </w:r>
      <w:r w:rsidR="00F62889">
        <w:rPr>
          <w:rFonts w:eastAsiaTheme="minorEastAsia"/>
        </w:rPr>
        <w:t xml:space="preserve"> and evaluate</w:t>
      </w:r>
      <w:r>
        <w:rPr>
          <w:rFonts w:eastAsiaTheme="minorEastAsia"/>
        </w:rPr>
        <w:t xml:space="preserve"> all </w:t>
      </w:r>
      <w:r w:rsidR="00553F54">
        <w:rPr>
          <w:rFonts w:eastAsiaTheme="minorEastAsia"/>
        </w:rPr>
        <w:t>5</w:t>
      </w:r>
      <w:r>
        <w:rPr>
          <w:rFonts w:eastAsiaTheme="minorEastAsia"/>
        </w:rPr>
        <w:t xml:space="preserve"> models.</w:t>
      </w:r>
    </w:p>
    <w:p w14:paraId="6C4CC881" w14:textId="300A3D32" w:rsidR="00A25AE4" w:rsidRDefault="00F62889" w:rsidP="00A25AE4">
      <w:pPr>
        <w:rPr>
          <w:rFonts w:eastAsiaTheme="minorEastAsia"/>
        </w:rPr>
      </w:pPr>
      <w:r>
        <w:rPr>
          <w:rFonts w:eastAsiaTheme="minorEastAsia"/>
        </w:rPr>
        <w:t>This means</w:t>
      </w:r>
      <w:r w:rsidR="00DD3DC0">
        <w:rPr>
          <w:rFonts w:eastAsiaTheme="minorEastAsia"/>
        </w:rPr>
        <w:t xml:space="preserve"> we’ll train and evaluate the DT, RF, NBC, SVM,</w:t>
      </w:r>
      <w:r w:rsidR="00553F54">
        <w:rPr>
          <w:rFonts w:eastAsiaTheme="minorEastAsia"/>
        </w:rPr>
        <w:t xml:space="preserve"> and</w:t>
      </w:r>
      <w:r w:rsidR="00DD3DC0">
        <w:rPr>
          <w:rFonts w:eastAsiaTheme="minorEastAsia"/>
        </w:rPr>
        <w:t xml:space="preserve"> </w:t>
      </w:r>
      <m:oMath>
        <m:r>
          <w:rPr>
            <w:rFonts w:ascii="Cambria Math" w:eastAsiaTheme="minorEastAsia" w:hAnsi="Cambria Math"/>
          </w:rPr>
          <m:t>k</m:t>
        </m:r>
      </m:oMath>
      <w:r w:rsidR="00DD3DC0">
        <w:rPr>
          <w:rFonts w:eastAsiaTheme="minorEastAsia"/>
        </w:rPr>
        <w:t>-NN with 1a, then we’d do it again with 1b, and so on.</w:t>
      </w:r>
      <w:r>
        <w:rPr>
          <w:rFonts w:eastAsiaTheme="minorEastAsia"/>
        </w:rPr>
        <w:t xml:space="preserve"> We’d be training and evaluating </w:t>
      </w:r>
      <m:oMath>
        <m:r>
          <w:rPr>
            <w:rFonts w:ascii="Cambria Math" w:eastAsiaTheme="minorEastAsia" w:hAnsi="Cambria Math"/>
          </w:rPr>
          <m:t>5</m:t>
        </m:r>
        <m:r>
          <w:rPr>
            <w:rFonts w:ascii="Cambria Math" w:eastAsiaTheme="minorEastAsia" w:hAnsi="Cambria Math"/>
          </w:rPr>
          <m:t>×15=</m:t>
        </m:r>
        <m:r>
          <w:rPr>
            <w:rFonts w:ascii="Cambria Math" w:eastAsiaTheme="minorEastAsia" w:hAnsi="Cambria Math"/>
          </w:rPr>
          <m:t>75</m:t>
        </m:r>
      </m:oMath>
      <w:r>
        <w:rPr>
          <w:rFonts w:eastAsiaTheme="minorEastAsia"/>
        </w:rPr>
        <w:t xml:space="preserve"> models.</w:t>
      </w:r>
    </w:p>
    <w:p w14:paraId="6CBA3658" w14:textId="3EC3AF27" w:rsidR="003F3DD7" w:rsidRDefault="003F3DD7" w:rsidP="003F3DD7">
      <w:pPr>
        <w:pStyle w:val="Heading2"/>
        <w:rPr>
          <w:rFonts w:eastAsiaTheme="minorEastAsia"/>
        </w:rPr>
      </w:pPr>
      <w:r>
        <w:rPr>
          <w:rFonts w:eastAsiaTheme="minorEastAsia"/>
        </w:rPr>
        <w:t>Goals/To Do:</w:t>
      </w:r>
    </w:p>
    <w:p w14:paraId="6A5DD36F" w14:textId="235A8792" w:rsidR="003F3DD7" w:rsidRDefault="00DD3DC0" w:rsidP="003F3DD7">
      <w:pPr>
        <w:rPr>
          <w:rFonts w:eastAsiaTheme="minorEastAsia"/>
        </w:rPr>
      </w:pPr>
      <w:r>
        <w:rPr>
          <w:rFonts w:eastAsiaTheme="minorEastAsia"/>
        </w:rPr>
        <w:t>It seems like a lot of work (and it probably is), but I think it’s doable. We should set up a program that can just accept a training dataset, then we just pass it the modified training datasets. Once it’s all set up, between the lot of us, we should have enough computing power to get this done in a feasible amount of time.</w:t>
      </w:r>
    </w:p>
    <w:p w14:paraId="1B3DB63A" w14:textId="77777777" w:rsidR="003F3DD7" w:rsidRDefault="003F3DD7" w:rsidP="003F3DD7">
      <w:r>
        <w:t>So, we’d need to:</w:t>
      </w:r>
    </w:p>
    <w:p w14:paraId="119EB95B" w14:textId="38FDE391" w:rsidR="003F3DD7" w:rsidRDefault="003F3DD7" w:rsidP="003F3DD7">
      <w:pPr>
        <w:pStyle w:val="ListParagraph"/>
        <w:numPr>
          <w:ilvl w:val="0"/>
          <w:numId w:val="4"/>
        </w:numPr>
      </w:pPr>
      <w:r>
        <w:t>Set up a script that takes in a set of data, then trains and evaluates all 6 models, then spits out the confusion matrices/performance statistics</w:t>
      </w:r>
    </w:p>
    <w:p w14:paraId="309ABA05" w14:textId="7F100B36" w:rsidR="003F3DD7" w:rsidRDefault="003F3DD7" w:rsidP="003F3DD7">
      <w:pPr>
        <w:pStyle w:val="ListParagraph"/>
        <w:numPr>
          <w:ilvl w:val="0"/>
          <w:numId w:val="4"/>
        </w:numPr>
      </w:pPr>
      <w:r>
        <w:t>Set up the 15 different training datasets augmented/transformed according to the different strategies</w:t>
      </w:r>
    </w:p>
    <w:p w14:paraId="567B2E59" w14:textId="258B1925" w:rsidR="003F3DD7" w:rsidRDefault="003F3DD7" w:rsidP="003F3DD7">
      <w:pPr>
        <w:pStyle w:val="ListParagraph"/>
        <w:numPr>
          <w:ilvl w:val="0"/>
          <w:numId w:val="4"/>
        </w:numPr>
      </w:pPr>
      <w:r>
        <w:t>Run the script from step 1 on all the datasets</w:t>
      </w:r>
    </w:p>
    <w:p w14:paraId="4D26B9EB" w14:textId="03C1B308" w:rsidR="003F3DD7" w:rsidRPr="003F3DD7" w:rsidRDefault="003F3DD7" w:rsidP="003F3DD7">
      <w:pPr>
        <w:pStyle w:val="ListParagraph"/>
        <w:numPr>
          <w:ilvl w:val="0"/>
          <w:numId w:val="4"/>
        </w:numPr>
      </w:pPr>
      <w:r>
        <w:t>Analyze the results and put together a paper/presentation.</w:t>
      </w:r>
    </w:p>
    <w:sectPr w:rsidR="003F3DD7" w:rsidRPr="003F3D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959DB"/>
    <w:multiLevelType w:val="hybridMultilevel"/>
    <w:tmpl w:val="DB54C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855CE9"/>
    <w:multiLevelType w:val="hybridMultilevel"/>
    <w:tmpl w:val="4198C8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36457B"/>
    <w:multiLevelType w:val="hybridMultilevel"/>
    <w:tmpl w:val="7242B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8751DCD"/>
    <w:multiLevelType w:val="hybridMultilevel"/>
    <w:tmpl w:val="692C5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0000140">
    <w:abstractNumId w:val="3"/>
  </w:num>
  <w:num w:numId="2" w16cid:durableId="1483230753">
    <w:abstractNumId w:val="2"/>
  </w:num>
  <w:num w:numId="3" w16cid:durableId="1228423018">
    <w:abstractNumId w:val="0"/>
  </w:num>
  <w:num w:numId="4" w16cid:durableId="6260820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13A"/>
    <w:rsid w:val="00262F72"/>
    <w:rsid w:val="00263B29"/>
    <w:rsid w:val="002C0AF2"/>
    <w:rsid w:val="00316202"/>
    <w:rsid w:val="003F3DD7"/>
    <w:rsid w:val="004547A4"/>
    <w:rsid w:val="004F3B4A"/>
    <w:rsid w:val="005216C4"/>
    <w:rsid w:val="00553F54"/>
    <w:rsid w:val="00587DFD"/>
    <w:rsid w:val="007A513A"/>
    <w:rsid w:val="00934CB0"/>
    <w:rsid w:val="00A25AE4"/>
    <w:rsid w:val="00A469FA"/>
    <w:rsid w:val="00AF4D9E"/>
    <w:rsid w:val="00B52F27"/>
    <w:rsid w:val="00DD3DC0"/>
    <w:rsid w:val="00EC7677"/>
    <w:rsid w:val="00F6288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60F83"/>
  <w15:chartTrackingRefBased/>
  <w15:docId w15:val="{6BD729E5-9A31-4DAD-947C-21C32A0C9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513A"/>
    <w:pPr>
      <w:spacing w:after="320" w:line="240" w:lineRule="auto"/>
    </w:pPr>
    <w:rPr>
      <w:rFonts w:asciiTheme="majorBidi" w:hAnsiTheme="majorBidi"/>
    </w:rPr>
  </w:style>
  <w:style w:type="paragraph" w:styleId="Heading1">
    <w:name w:val="heading 1"/>
    <w:basedOn w:val="Normal"/>
    <w:next w:val="Normal"/>
    <w:link w:val="Heading1Char"/>
    <w:uiPriority w:val="9"/>
    <w:qFormat/>
    <w:rsid w:val="00AF4D9E"/>
    <w:pPr>
      <w:keepNext/>
      <w:keepLines/>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AF4D9E"/>
    <w:pPr>
      <w:keepNext/>
      <w:keepLines/>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AF4D9E"/>
    <w:pPr>
      <w:keepNext/>
      <w:keepLines/>
      <w:outlineLvl w:val="2"/>
    </w:pPr>
    <w:rPr>
      <w:rFonts w:eastAsiaTheme="majorEastAsia" w:cstheme="majorBidi"/>
      <w:b/>
      <w:i/>
      <w:szCs w:val="28"/>
    </w:rPr>
  </w:style>
  <w:style w:type="paragraph" w:styleId="Heading4">
    <w:name w:val="heading 4"/>
    <w:basedOn w:val="Normal"/>
    <w:next w:val="Normal"/>
    <w:link w:val="Heading4Char"/>
    <w:uiPriority w:val="9"/>
    <w:semiHidden/>
    <w:unhideWhenUsed/>
    <w:qFormat/>
    <w:rsid w:val="007A51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51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51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51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51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51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4D9E"/>
    <w:rPr>
      <w:rFonts w:asciiTheme="majorBidi" w:eastAsiaTheme="majorEastAsia" w:hAnsiTheme="majorBidi" w:cstheme="majorBidi"/>
      <w:b/>
      <w:szCs w:val="40"/>
    </w:rPr>
  </w:style>
  <w:style w:type="character" w:customStyle="1" w:styleId="Heading2Char">
    <w:name w:val="Heading 2 Char"/>
    <w:basedOn w:val="DefaultParagraphFont"/>
    <w:link w:val="Heading2"/>
    <w:uiPriority w:val="9"/>
    <w:rsid w:val="00AF4D9E"/>
    <w:rPr>
      <w:rFonts w:asciiTheme="majorBidi" w:eastAsiaTheme="majorEastAsia" w:hAnsiTheme="majorBidi" w:cstheme="majorBidi"/>
      <w:b/>
      <w:szCs w:val="32"/>
    </w:rPr>
  </w:style>
  <w:style w:type="character" w:customStyle="1" w:styleId="Heading3Char">
    <w:name w:val="Heading 3 Char"/>
    <w:basedOn w:val="DefaultParagraphFont"/>
    <w:link w:val="Heading3"/>
    <w:uiPriority w:val="9"/>
    <w:rsid w:val="00AF4D9E"/>
    <w:rPr>
      <w:rFonts w:asciiTheme="majorBidi" w:eastAsiaTheme="majorEastAsia" w:hAnsiTheme="majorBidi" w:cstheme="majorBidi"/>
      <w:b/>
      <w:i/>
      <w:szCs w:val="28"/>
    </w:rPr>
  </w:style>
  <w:style w:type="character" w:customStyle="1" w:styleId="Heading4Char">
    <w:name w:val="Heading 4 Char"/>
    <w:basedOn w:val="DefaultParagraphFont"/>
    <w:link w:val="Heading4"/>
    <w:uiPriority w:val="9"/>
    <w:semiHidden/>
    <w:rsid w:val="007A51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51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51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51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51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513A"/>
    <w:rPr>
      <w:rFonts w:eastAsiaTheme="majorEastAsia" w:cstheme="majorBidi"/>
      <w:color w:val="272727" w:themeColor="text1" w:themeTint="D8"/>
    </w:rPr>
  </w:style>
  <w:style w:type="paragraph" w:styleId="Title">
    <w:name w:val="Title"/>
    <w:basedOn w:val="Normal"/>
    <w:next w:val="Normal"/>
    <w:link w:val="TitleChar"/>
    <w:uiPriority w:val="10"/>
    <w:qFormat/>
    <w:rsid w:val="007A513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51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51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51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513A"/>
    <w:pPr>
      <w:spacing w:before="160"/>
      <w:jc w:val="center"/>
    </w:pPr>
    <w:rPr>
      <w:i/>
      <w:iCs/>
      <w:color w:val="404040" w:themeColor="text1" w:themeTint="BF"/>
    </w:rPr>
  </w:style>
  <w:style w:type="character" w:customStyle="1" w:styleId="QuoteChar">
    <w:name w:val="Quote Char"/>
    <w:basedOn w:val="DefaultParagraphFont"/>
    <w:link w:val="Quote"/>
    <w:uiPriority w:val="29"/>
    <w:rsid w:val="007A513A"/>
    <w:rPr>
      <w:i/>
      <w:iCs/>
      <w:color w:val="404040" w:themeColor="text1" w:themeTint="BF"/>
    </w:rPr>
  </w:style>
  <w:style w:type="paragraph" w:styleId="ListParagraph">
    <w:name w:val="List Paragraph"/>
    <w:basedOn w:val="Normal"/>
    <w:uiPriority w:val="34"/>
    <w:qFormat/>
    <w:rsid w:val="007A513A"/>
    <w:pPr>
      <w:ind w:left="720"/>
      <w:contextualSpacing/>
    </w:pPr>
  </w:style>
  <w:style w:type="character" w:styleId="IntenseEmphasis">
    <w:name w:val="Intense Emphasis"/>
    <w:basedOn w:val="DefaultParagraphFont"/>
    <w:uiPriority w:val="21"/>
    <w:qFormat/>
    <w:rsid w:val="007A513A"/>
    <w:rPr>
      <w:i/>
      <w:iCs/>
      <w:color w:val="0F4761" w:themeColor="accent1" w:themeShade="BF"/>
    </w:rPr>
  </w:style>
  <w:style w:type="paragraph" w:styleId="IntenseQuote">
    <w:name w:val="Intense Quote"/>
    <w:basedOn w:val="Normal"/>
    <w:next w:val="Normal"/>
    <w:link w:val="IntenseQuoteChar"/>
    <w:uiPriority w:val="30"/>
    <w:qFormat/>
    <w:rsid w:val="007A51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513A"/>
    <w:rPr>
      <w:i/>
      <w:iCs/>
      <w:color w:val="0F4761" w:themeColor="accent1" w:themeShade="BF"/>
    </w:rPr>
  </w:style>
  <w:style w:type="character" w:styleId="IntenseReference">
    <w:name w:val="Intense Reference"/>
    <w:basedOn w:val="DefaultParagraphFont"/>
    <w:uiPriority w:val="32"/>
    <w:qFormat/>
    <w:rsid w:val="007A513A"/>
    <w:rPr>
      <w:b/>
      <w:bCs/>
      <w:smallCaps/>
      <w:color w:val="0F4761" w:themeColor="accent1" w:themeShade="BF"/>
      <w:spacing w:val="5"/>
    </w:rPr>
  </w:style>
  <w:style w:type="character" w:styleId="PlaceholderText">
    <w:name w:val="Placeholder Text"/>
    <w:basedOn w:val="DefaultParagraphFont"/>
    <w:uiPriority w:val="99"/>
    <w:semiHidden/>
    <w:rsid w:val="007A513A"/>
    <w:rPr>
      <w:color w:val="666666"/>
    </w:rPr>
  </w:style>
  <w:style w:type="character" w:styleId="Strong">
    <w:name w:val="Strong"/>
    <w:basedOn w:val="DefaultParagraphFont"/>
    <w:uiPriority w:val="22"/>
    <w:qFormat/>
    <w:rsid w:val="007A513A"/>
    <w:rPr>
      <w:b/>
      <w:bCs/>
    </w:rPr>
  </w:style>
  <w:style w:type="character" w:styleId="Hyperlink">
    <w:name w:val="Hyperlink"/>
    <w:basedOn w:val="DefaultParagraphFont"/>
    <w:uiPriority w:val="99"/>
    <w:unhideWhenUsed/>
    <w:rsid w:val="002C0AF2"/>
    <w:rPr>
      <w:color w:val="467886" w:themeColor="hyperlink"/>
      <w:u w:val="single"/>
    </w:rPr>
  </w:style>
  <w:style w:type="character" w:styleId="UnresolvedMention">
    <w:name w:val="Unresolved Mention"/>
    <w:basedOn w:val="DefaultParagraphFont"/>
    <w:uiPriority w:val="99"/>
    <w:semiHidden/>
    <w:unhideWhenUsed/>
    <w:rsid w:val="002C0AF2"/>
    <w:rPr>
      <w:color w:val="605E5C"/>
      <w:shd w:val="clear" w:color="auto" w:fill="E1DFDD"/>
    </w:rPr>
  </w:style>
  <w:style w:type="table" w:styleId="TableGrid">
    <w:name w:val="Table Grid"/>
    <w:basedOn w:val="TableNormal"/>
    <w:uiPriority w:val="39"/>
    <w:rsid w:val="00A25A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316202"/>
    <w:pPr>
      <w:spacing w:after="0" w:line="240" w:lineRule="auto"/>
    </w:pPr>
    <w:rPr>
      <w:rFonts w:asciiTheme="majorBidi" w:hAnsiTheme="maj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huggingface.co/datasets/tahoebio/Tahoe-100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3363</TotalTime>
  <Pages>3</Pages>
  <Words>901</Words>
  <Characters>5141</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Middleton, Nolan David</dc:creator>
  <cp:keywords/>
  <dc:description/>
  <cp:lastModifiedBy>Middleton, Nolan David</cp:lastModifiedBy>
  <cp:revision>7</cp:revision>
  <dcterms:created xsi:type="dcterms:W3CDTF">2025-10-24T02:25:00Z</dcterms:created>
  <dcterms:modified xsi:type="dcterms:W3CDTF">2025-11-01T17:52:00Z</dcterms:modified>
</cp:coreProperties>
</file>