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D4F" w:rsidRDefault="00E37D4F">
      <w:r>
        <w:t>First off, the “Growth of $10,000 chart” seems to be doing something wrong. There’s no way there’s *that* much difference between the S&amp;P 500 index fund admiral shares and the ETF</w:t>
      </w:r>
    </w:p>
    <w:p w:rsidR="00E37D4F" w:rsidRDefault="00E37D4F"/>
    <w:p w:rsidR="00451034" w:rsidRDefault="00E37D4F">
      <w:r>
        <w:rPr>
          <w:noProof/>
        </w:rPr>
        <w:drawing>
          <wp:inline distT="0" distB="0" distL="0" distR="0">
            <wp:extent cx="5934075" cy="430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305300"/>
                    </a:xfrm>
                    <a:prstGeom prst="rect">
                      <a:avLst/>
                    </a:prstGeom>
                    <a:noFill/>
                    <a:ln>
                      <a:noFill/>
                    </a:ln>
                  </pic:spPr>
                </pic:pic>
              </a:graphicData>
            </a:graphic>
          </wp:inline>
        </w:drawing>
      </w:r>
    </w:p>
    <w:p w:rsidR="00E37D4F" w:rsidRDefault="00E37D4F"/>
    <w:p w:rsidR="00E37D4F" w:rsidRDefault="00E37D4F">
      <w:r>
        <w:t>Just to show the expense ratios aren’t off…</w:t>
      </w:r>
    </w:p>
    <w:p w:rsidR="00E37D4F" w:rsidRDefault="00E37D4F">
      <w:r>
        <w:rPr>
          <w:noProof/>
        </w:rPr>
        <w:drawing>
          <wp:inline distT="0" distB="0" distL="0" distR="0" wp14:anchorId="531E2299" wp14:editId="75A0121E">
            <wp:extent cx="5943600" cy="4069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69080"/>
                    </a:xfrm>
                    <a:prstGeom prst="rect">
                      <a:avLst/>
                    </a:prstGeom>
                  </pic:spPr>
                </pic:pic>
              </a:graphicData>
            </a:graphic>
          </wp:inline>
        </w:drawing>
      </w:r>
    </w:p>
    <w:p w:rsidR="00E37D4F" w:rsidRDefault="00E37D4F">
      <w:r>
        <w:t>And the returns line up correctly too (at least the 5-year). Not sure what’s up!</w:t>
      </w:r>
    </w:p>
    <w:p w:rsidR="00E37D4F" w:rsidRDefault="00E37D4F">
      <w:r>
        <w:rPr>
          <w:noProof/>
        </w:rPr>
        <w:lastRenderedPageBreak/>
        <w:drawing>
          <wp:inline distT="0" distB="0" distL="0" distR="0" wp14:anchorId="5BFAFF76" wp14:editId="04B9D3EB">
            <wp:extent cx="5943600" cy="398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87800"/>
                    </a:xfrm>
                    <a:prstGeom prst="rect">
                      <a:avLst/>
                    </a:prstGeom>
                  </pic:spPr>
                </pic:pic>
              </a:graphicData>
            </a:graphic>
          </wp:inline>
        </w:drawing>
      </w:r>
    </w:p>
    <w:p w:rsidR="00E37D4F" w:rsidRDefault="00E37D4F"/>
    <w:p w:rsidR="00E37D4F" w:rsidRDefault="00E37D4F">
      <w:r>
        <w:t>Here also is the corresponding chart from Morningstar.</w:t>
      </w:r>
    </w:p>
    <w:p w:rsidR="00E37D4F" w:rsidRDefault="00E37D4F">
      <w:r>
        <w:rPr>
          <w:noProof/>
        </w:rPr>
        <w:drawing>
          <wp:inline distT="0" distB="0" distL="0" distR="0" wp14:anchorId="4AECA9BE" wp14:editId="4654A253">
            <wp:extent cx="5943600" cy="2505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5075"/>
                    </a:xfrm>
                    <a:prstGeom prst="rect">
                      <a:avLst/>
                    </a:prstGeom>
                  </pic:spPr>
                </pic:pic>
              </a:graphicData>
            </a:graphic>
          </wp:inline>
        </w:drawing>
      </w:r>
    </w:p>
    <w:p w:rsidR="00E37D4F" w:rsidRDefault="00E37D4F"/>
    <w:p w:rsidR="00E37D4F" w:rsidRDefault="00E37D4F"/>
    <w:p w:rsidR="00E37D4F" w:rsidRDefault="00E37D4F">
      <w:r>
        <w:t xml:space="preserve">My main question is, why fundamentally is there a discrepancy between the ETF price and the index fund price? </w:t>
      </w:r>
    </w:p>
    <w:p w:rsidR="00E37D4F" w:rsidRDefault="00E37D4F"/>
    <w:p w:rsidR="00D02BDC" w:rsidRDefault="00E37D4F" w:rsidP="00E37D4F">
      <w:pPr>
        <w:pStyle w:val="ListParagraph"/>
        <w:numPr>
          <w:ilvl w:val="0"/>
          <w:numId w:val="1"/>
        </w:numPr>
      </w:pPr>
      <w:r>
        <w:t xml:space="preserve">Also, assuming there is a difference, </w:t>
      </w:r>
      <w:r w:rsidR="00D02BDC">
        <w:t>in trying to decide which to pick there is still</w:t>
      </w:r>
      <w:bookmarkStart w:id="0" w:name="_GoBack"/>
      <w:bookmarkEnd w:id="0"/>
      <w:r w:rsidR="00D02BDC">
        <w:t xml:space="preserve"> disagreement! </w:t>
      </w:r>
    </w:p>
    <w:p w:rsidR="00E37D4F" w:rsidRDefault="00E37D4F" w:rsidP="00D02BDC">
      <w:pPr>
        <w:pStyle w:val="ListParagraph"/>
        <w:numPr>
          <w:ilvl w:val="1"/>
          <w:numId w:val="1"/>
        </w:numPr>
      </w:pPr>
      <w:r>
        <w:t>Your website says the Vanguard ETF’s are</w:t>
      </w:r>
      <w:r w:rsidR="00D02BDC">
        <w:t xml:space="preserve"> a smidge better</w:t>
      </w:r>
    </w:p>
    <w:p w:rsidR="00E37D4F" w:rsidRDefault="00E37D4F" w:rsidP="00E37D4F">
      <w:pPr>
        <w:pStyle w:val="ListParagraph"/>
        <w:numPr>
          <w:ilvl w:val="1"/>
          <w:numId w:val="1"/>
        </w:numPr>
      </w:pPr>
      <w:r>
        <w:t xml:space="preserve">Morningstar says VOO (S&amp;P 500 ETF) slightly worse than VFIAX (S&amp;P 500 index fund), whereas VTI (total stock market </w:t>
      </w:r>
      <w:proofErr w:type="spellStart"/>
      <w:r>
        <w:t>etf</w:t>
      </w:r>
      <w:proofErr w:type="spellEnd"/>
      <w:r>
        <w:t>)</w:t>
      </w:r>
      <w:r w:rsidR="00D02BDC">
        <w:t xml:space="preserve"> is</w:t>
      </w:r>
      <w:r>
        <w:t xml:space="preserve"> slightly better than VTSAX!</w:t>
      </w:r>
    </w:p>
    <w:p w:rsidR="00D02BDC" w:rsidRPr="00D02BDC" w:rsidRDefault="00E37D4F" w:rsidP="00D02BDC">
      <w:pPr>
        <w:pStyle w:val="ListParagraph"/>
        <w:numPr>
          <w:ilvl w:val="1"/>
          <w:numId w:val="1"/>
        </w:numPr>
      </w:pPr>
      <w:r>
        <w:t>Jack</w:t>
      </w:r>
      <w:r w:rsidR="00D02BDC">
        <w:t xml:space="preserve"> Bogle hints </w:t>
      </w:r>
      <w:r>
        <w:t xml:space="preserve">that </w:t>
      </w:r>
      <w:r w:rsidR="00D02BDC">
        <w:t>the traditional index funds (“</w:t>
      </w:r>
      <w:proofErr w:type="spellStart"/>
      <w:r w:rsidR="00D02BDC">
        <w:t>Tifs</w:t>
      </w:r>
      <w:proofErr w:type="spellEnd"/>
      <w:r w:rsidR="00D02BDC">
        <w:t>”) are universally better</w:t>
      </w:r>
      <w:proofErr w:type="gramStart"/>
      <w:r w:rsidR="00D02BDC">
        <w:t>:</w:t>
      </w:r>
      <w:proofErr w:type="gramEnd"/>
      <w:r w:rsidR="00D02BDC">
        <w:br/>
      </w:r>
      <w:r w:rsidR="00D02BDC" w:rsidRPr="00D02BDC">
        <w:rPr>
          <w:i/>
        </w:rPr>
        <w:t xml:space="preserve">Over the past months, </w:t>
      </w:r>
      <w:proofErr w:type="spellStart"/>
      <w:r w:rsidR="00D02BDC" w:rsidRPr="00D02BDC">
        <w:rPr>
          <w:i/>
        </w:rPr>
        <w:t>Tif</w:t>
      </w:r>
      <w:proofErr w:type="spellEnd"/>
      <w:r w:rsidR="00D02BDC" w:rsidRPr="00D02BDC">
        <w:rPr>
          <w:i/>
        </w:rPr>
        <w:t xml:space="preserve"> investor returns were a few basis points higher than fund returns in each of the five largest Vanguard broad-market index funds. In contrast, returns earned by the firm’s ETF investors — owning the identical underlying portfolios — trailed the returns of the funds by an average of 1.6 per cent during the same period. This anecdotal evidence seems to confirm the consensus that higher trading activity takes its toll on investor wealth.</w:t>
      </w:r>
    </w:p>
    <w:p w:rsidR="00E37D4F" w:rsidRDefault="00E37D4F" w:rsidP="00D02BDC">
      <w:r>
        <w:t xml:space="preserve"> </w:t>
      </w:r>
    </w:p>
    <w:sectPr w:rsidR="00E37D4F" w:rsidSect="00E37D4F">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81847"/>
    <w:multiLevelType w:val="hybridMultilevel"/>
    <w:tmpl w:val="F1803DCE"/>
    <w:lvl w:ilvl="0" w:tplc="AA9836B4">
      <w:numFmt w:val="bullet"/>
      <w:lvlText w:val=""/>
      <w:lvlJc w:val="left"/>
      <w:pPr>
        <w:ind w:left="465" w:hanging="360"/>
      </w:pPr>
      <w:rPr>
        <w:rFonts w:ascii="Symbol" w:eastAsiaTheme="minorHAnsi" w:hAnsi="Symbol" w:cstheme="minorBidi" w:hint="default"/>
      </w:rPr>
    </w:lvl>
    <w:lvl w:ilvl="1" w:tplc="04090003">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4F"/>
    <w:rsid w:val="00D02BDC"/>
    <w:rsid w:val="00D9026B"/>
    <w:rsid w:val="00E37D4F"/>
    <w:rsid w:val="00EC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663B4-9513-4A46-B121-005353E6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D4F"/>
    <w:pPr>
      <w:ind w:left="720"/>
      <w:contextualSpacing/>
    </w:pPr>
  </w:style>
  <w:style w:type="character" w:styleId="Hyperlink">
    <w:name w:val="Hyperlink"/>
    <w:basedOn w:val="DefaultParagraphFont"/>
    <w:uiPriority w:val="99"/>
    <w:semiHidden/>
    <w:unhideWhenUsed/>
    <w:rsid w:val="00D02B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223</Words>
  <Characters>1108</Characters>
  <Application>Microsoft Office Word</Application>
  <DocSecurity>0</DocSecurity>
  <Lines>29</Lines>
  <Paragraphs>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Hergert, Nolan</dc:creator>
  <cp:keywords>CTPClassification=CTP_NT</cp:keywords>
  <dc:description/>
  <cp:lastModifiedBy>Hergert, Nolan</cp:lastModifiedBy>
  <cp:revision>1</cp:revision>
  <dcterms:created xsi:type="dcterms:W3CDTF">2018-08-08T01:17:00Z</dcterms:created>
  <dcterms:modified xsi:type="dcterms:W3CDTF">2018-08-08T01:33:00Z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96f0ee17-f0a7-47bc-aebb-ad85dfb89166</vt:lpwstr>
  </property>
  <property fmtid="{D5CDD505-2E9C-101B-9397-08002B2CF9AE}" pid="3" name="CTP_TimeStamp">
    <vt:lpwstr>2018-08-08 01:33:33Z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