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0A0C"/>
          <w:sz w:val="52"/>
        </w:rPr>
        <w:t>Evolution Fund</w:t>
      </w:r>
    </w:p>
    <w:p>
      <w:pPr>
        <w:jc w:val="center"/>
      </w:pPr>
      <w:r>
        <w:rPr>
          <w:color w:val="C9A84C"/>
          <w:sz w:val="28"/>
        </w:rPr>
        <w:t>Manager Fee Proposal</w:t>
      </w:r>
    </w:p>
    <w:p>
      <w:pPr>
        <w:jc w:val="center"/>
      </w:pPr>
      <w:r>
        <w:rPr>
          <w:i/>
          <w:color w:val="777777"/>
          <w:sz w:val="20"/>
        </w:rPr>
        <w:t>March 2026  ·  Confidential</w:t>
      </w:r>
    </w:p>
    <w:p/>
    <w:p>
      <w:pPr>
        <w:spacing w:after="280"/>
      </w:pPr>
      <w:r>
        <w:rPr>
          <w:color w:val="333333"/>
          <w:sz w:val="22"/>
        </w:rPr>
        <w:t>This proposal outlines the fee structure for Novaire's role managing the actively deployed portion of the Evolution Fund — roughly half of total capital. The remainder stays under James's direct control. The structure is designed to be straightforward: modest in Year 1 while the model proves itself, then scaling to full terms as the track record builds.</w:t>
      </w:r>
    </w:p>
    <w:p>
      <w:pPr>
        <w:spacing w:after="80"/>
      </w:pPr>
      <w:r>
        <w:rPr>
          <w:b/>
          <w:color w:val="0A0A0C"/>
          <w:sz w:val="26"/>
        </w:rPr>
        <w:t>Fee Schedule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024"/>
            <w:shd w:fill="0a0a0c" w:val="clear"/>
          </w:tcPr>
          <w:p>
            <w:pPr>
              <w:jc w:val="center"/>
            </w:pPr>
            <w:r>
              <w:rPr>
                <w:b/>
                <w:color w:val="FFFFFF"/>
                <w:sz w:val="20"/>
              </w:rPr>
            </w:r>
          </w:p>
        </w:tc>
        <w:tc>
          <w:tcPr>
            <w:tcW w:type="dxa" w:w="1584"/>
            <w:shd w:fill="0a0a0c" w:val="clear"/>
          </w:tcPr>
          <w:p>
            <w:pPr>
              <w:jc w:val="center"/>
            </w:pPr>
            <w:r>
              <w:rPr>
                <w:b/>
                <w:color w:val="FFFFFF"/>
                <w:sz w:val="20"/>
              </w:rPr>
              <w:t>Year 1</w:t>
            </w:r>
          </w:p>
        </w:tc>
        <w:tc>
          <w:tcPr>
            <w:tcW w:type="dxa" w:w="1584"/>
            <w:shd w:fill="0a0a0c" w:val="clear"/>
          </w:tcPr>
          <w:p>
            <w:pPr>
              <w:jc w:val="center"/>
            </w:pPr>
            <w:r>
              <w:rPr>
                <w:b/>
                <w:color w:val="FFFFFF"/>
                <w:sz w:val="20"/>
              </w:rPr>
              <w:t>Year 2</w:t>
            </w:r>
          </w:p>
        </w:tc>
        <w:tc>
          <w:tcPr>
            <w:tcW w:type="dxa" w:w="1584"/>
            <w:shd w:fill="0a0a0c" w:val="clear"/>
          </w:tcPr>
          <w:p>
            <w:pPr>
              <w:jc w:val="center"/>
            </w:pPr>
            <w:r>
              <w:rPr>
                <w:b/>
                <w:color w:val="FFFFFF"/>
                <w:sz w:val="20"/>
              </w:rPr>
              <w:t>Year 3</w:t>
            </w:r>
          </w:p>
        </w:tc>
        <w:tc>
          <w:tcPr>
            <w:tcW w:type="dxa" w:w="1584"/>
            <w:shd w:fill="0a0a0c" w:val="clear"/>
          </w:tcPr>
          <w:p>
            <w:pPr>
              <w:jc w:val="center"/>
            </w:pPr>
            <w:r>
              <w:rPr>
                <w:b/>
                <w:color w:val="FFFFFF"/>
                <w:sz w:val="20"/>
              </w:rPr>
              <w:t>Year 4</w:t>
            </w:r>
          </w:p>
        </w:tc>
      </w:tr>
      <w:tr>
        <w:tc>
          <w:tcPr>
            <w:tcW w:type="dxa" w:w="1814"/>
            <w:shd w:fill="f5f5f0" w:val="clear"/>
          </w:tcPr>
          <w:p>
            <w:r>
              <w:rPr>
                <w:b/>
                <w:sz w:val="20"/>
              </w:rPr>
              <w:t>AUM (Managed)</w:t>
            </w:r>
          </w:p>
        </w:tc>
        <w:tc>
          <w:tcPr>
            <w:tcW w:type="dxa" w:w="1814"/>
            <w:shd w:fill="f5f5f0" w:val="clear"/>
          </w:tcPr>
          <w:p>
            <w:pPr>
              <w:jc w:val="center"/>
            </w:pPr>
            <w:r>
              <w:rPr>
                <w:sz w:val="20"/>
              </w:rPr>
              <w:t>$5M</w:t>
            </w:r>
          </w:p>
        </w:tc>
        <w:tc>
          <w:tcPr>
            <w:tcW w:type="dxa" w:w="1814"/>
            <w:shd w:fill="f5f5f0" w:val="clear"/>
          </w:tcPr>
          <w:p>
            <w:pPr>
              <w:jc w:val="center"/>
            </w:pPr>
            <w:r>
              <w:rPr>
                <w:sz w:val="20"/>
              </w:rPr>
              <w:t>$10M</w:t>
            </w:r>
          </w:p>
        </w:tc>
        <w:tc>
          <w:tcPr>
            <w:tcW w:type="dxa" w:w="1814"/>
            <w:shd w:fill="f5f5f0" w:val="clear"/>
          </w:tcPr>
          <w:p>
            <w:pPr>
              <w:jc w:val="center"/>
            </w:pPr>
            <w:r>
              <w:rPr>
                <w:sz w:val="20"/>
              </w:rPr>
              <w:t>$12.5M</w:t>
            </w:r>
          </w:p>
        </w:tc>
        <w:tc>
          <w:tcPr>
            <w:tcW w:type="dxa" w:w="1814"/>
            <w:shd w:fill="f5f5f0" w:val="clear"/>
          </w:tcPr>
          <w:p>
            <w:pPr>
              <w:jc w:val="center"/>
            </w:pPr>
            <w:r>
              <w:rPr>
                <w:sz w:val="20"/>
              </w:rPr>
              <w:t>$15M</w:t>
            </w:r>
          </w:p>
        </w:tc>
      </w:tr>
      <w:tr>
        <w:tc>
          <w:tcPr>
            <w:tcW w:type="dxa" w:w="1814"/>
            <w:shd w:fill="ffffff" w:val="clear"/>
          </w:tcPr>
          <w:p>
            <w:r>
              <w:rPr>
                <w:b/>
                <w:sz w:val="20"/>
              </w:rPr>
              <w:t>Management Fee</w:t>
            </w:r>
          </w:p>
        </w:tc>
        <w:tc>
          <w:tcPr>
            <w:tcW w:type="dxa" w:w="1814"/>
            <w:shd w:fill="ffffff" w:val="clear"/>
          </w:tcPr>
          <w:p>
            <w:pPr>
              <w:jc w:val="center"/>
            </w:pPr>
            <w:r>
              <w:rPr>
                <w:sz w:val="20"/>
              </w:rPr>
              <w:t>0.5%</w:t>
            </w:r>
          </w:p>
        </w:tc>
        <w:tc>
          <w:tcPr>
            <w:tcW w:type="dxa" w:w="1814"/>
            <w:shd w:fill="ffffff" w:val="clear"/>
          </w:tcPr>
          <w:p>
            <w:pPr>
              <w:jc w:val="center"/>
            </w:pPr>
            <w:r>
              <w:rPr>
                <w:sz w:val="20"/>
              </w:rPr>
              <w:t>1.0%</w:t>
            </w:r>
          </w:p>
        </w:tc>
        <w:tc>
          <w:tcPr>
            <w:tcW w:type="dxa" w:w="1814"/>
            <w:shd w:fill="ffffff" w:val="clear"/>
          </w:tcPr>
          <w:p>
            <w:pPr>
              <w:jc w:val="center"/>
            </w:pPr>
            <w:r>
              <w:rPr>
                <w:sz w:val="20"/>
              </w:rPr>
              <w:t>1.0%</w:t>
            </w:r>
          </w:p>
        </w:tc>
        <w:tc>
          <w:tcPr>
            <w:tcW w:type="dxa" w:w="1814"/>
            <w:shd w:fill="ffffff" w:val="clear"/>
          </w:tcPr>
          <w:p>
            <w:pPr>
              <w:jc w:val="center"/>
            </w:pPr>
            <w:r>
              <w:rPr>
                <w:sz w:val="20"/>
              </w:rPr>
              <w:t>1.0%</w:t>
            </w:r>
          </w:p>
        </w:tc>
      </w:tr>
      <w:tr>
        <w:tc>
          <w:tcPr>
            <w:tcW w:type="dxa" w:w="1814"/>
            <w:shd w:fill="f5f5f0" w:val="clear"/>
          </w:tcPr>
          <w:p>
            <w:r>
              <w:rPr>
                <w:b/>
                <w:sz w:val="20"/>
              </w:rPr>
              <w:t>AUM Fee</w:t>
            </w:r>
          </w:p>
        </w:tc>
        <w:tc>
          <w:tcPr>
            <w:tcW w:type="dxa" w:w="1814"/>
            <w:shd w:fill="f5f5f0" w:val="clear"/>
          </w:tcPr>
          <w:p>
            <w:pPr>
              <w:jc w:val="center"/>
            </w:pPr>
            <w:r>
              <w:rPr>
                <w:sz w:val="20"/>
              </w:rPr>
              <w:t>$25,000</w:t>
            </w:r>
          </w:p>
        </w:tc>
        <w:tc>
          <w:tcPr>
            <w:tcW w:type="dxa" w:w="1814"/>
            <w:shd w:fill="f5f5f0" w:val="clear"/>
          </w:tcPr>
          <w:p>
            <w:pPr>
              <w:jc w:val="center"/>
            </w:pPr>
            <w:r>
              <w:rPr>
                <w:sz w:val="20"/>
              </w:rPr>
              <w:t>$100,000</w:t>
            </w:r>
          </w:p>
        </w:tc>
        <w:tc>
          <w:tcPr>
            <w:tcW w:type="dxa" w:w="1814"/>
            <w:shd w:fill="f5f5f0" w:val="clear"/>
          </w:tcPr>
          <w:p>
            <w:pPr>
              <w:jc w:val="center"/>
            </w:pPr>
            <w:r>
              <w:rPr>
                <w:sz w:val="20"/>
              </w:rPr>
              <w:t>$125,000</w:t>
            </w:r>
          </w:p>
        </w:tc>
        <w:tc>
          <w:tcPr>
            <w:tcW w:type="dxa" w:w="1814"/>
            <w:shd w:fill="f5f5f0" w:val="clear"/>
          </w:tcPr>
          <w:p>
            <w:pPr>
              <w:jc w:val="center"/>
            </w:pPr>
            <w:r>
              <w:rPr>
                <w:sz w:val="20"/>
              </w:rPr>
              <w:t>$150,000</w:t>
            </w:r>
          </w:p>
        </w:tc>
      </w:tr>
      <w:tr>
        <w:tc>
          <w:tcPr>
            <w:tcW w:type="dxa" w:w="1814"/>
            <w:shd w:fill="ffffff" w:val="clear"/>
          </w:tcPr>
          <w:p>
            <w:r>
              <w:rPr>
                <w:b/>
                <w:sz w:val="20"/>
              </w:rPr>
              <w:t>Performance Fee</w:t>
            </w:r>
          </w:p>
        </w:tc>
        <w:tc>
          <w:tcPr>
            <w:tcW w:type="dxa" w:w="1814"/>
            <w:shd w:fill="ffffff" w:val="clear"/>
          </w:tcPr>
          <w:p>
            <w:pPr>
              <w:jc w:val="center"/>
            </w:pPr>
            <w:r>
              <w:rPr>
                <w:sz w:val="20"/>
              </w:rPr>
              <w:t>5%</w:t>
            </w:r>
          </w:p>
        </w:tc>
        <w:tc>
          <w:tcPr>
            <w:tcW w:type="dxa" w:w="1814"/>
            <w:shd w:fill="ffffff" w:val="clear"/>
          </w:tcPr>
          <w:p>
            <w:pPr>
              <w:jc w:val="center"/>
            </w:pPr>
            <w:r>
              <w:rPr>
                <w:sz w:val="20"/>
              </w:rPr>
              <w:t>10%</w:t>
            </w:r>
          </w:p>
        </w:tc>
        <w:tc>
          <w:tcPr>
            <w:tcW w:type="dxa" w:w="1814"/>
            <w:shd w:fill="ffffff" w:val="clear"/>
          </w:tcPr>
          <w:p>
            <w:pPr>
              <w:jc w:val="center"/>
            </w:pPr>
            <w:r>
              <w:rPr>
                <w:sz w:val="20"/>
              </w:rPr>
              <w:t>10%</w:t>
            </w:r>
          </w:p>
        </w:tc>
        <w:tc>
          <w:tcPr>
            <w:tcW w:type="dxa" w:w="1814"/>
            <w:shd w:fill="ffffff" w:val="clear"/>
          </w:tcPr>
          <w:p>
            <w:pPr>
              <w:jc w:val="center"/>
            </w:pPr>
            <w:r>
              <w:rPr>
                <w:sz w:val="20"/>
              </w:rPr>
              <w:t>10%</w:t>
            </w:r>
          </w:p>
        </w:tc>
      </w:tr>
      <w:tr>
        <w:tc>
          <w:tcPr>
            <w:tcW w:type="dxa" w:w="1814"/>
            <w:shd w:fill="f5f5f0" w:val="clear"/>
          </w:tcPr>
          <w:p>
            <w:r>
              <w:rPr>
                <w:b/>
                <w:sz w:val="20"/>
              </w:rPr>
              <w:t>Est. Perf Fee (15% yr)</w:t>
            </w:r>
          </w:p>
        </w:tc>
        <w:tc>
          <w:tcPr>
            <w:tcW w:type="dxa" w:w="1814"/>
            <w:shd w:fill="f5f5f0" w:val="clear"/>
          </w:tcPr>
          <w:p>
            <w:pPr>
              <w:jc w:val="center"/>
            </w:pPr>
            <w:r>
              <w:rPr>
                <w:sz w:val="20"/>
              </w:rPr>
              <w:t>~$37,500</w:t>
            </w:r>
          </w:p>
        </w:tc>
        <w:tc>
          <w:tcPr>
            <w:tcW w:type="dxa" w:w="1814"/>
            <w:shd w:fill="f5f5f0" w:val="clear"/>
          </w:tcPr>
          <w:p>
            <w:pPr>
              <w:jc w:val="center"/>
            </w:pPr>
            <w:r>
              <w:rPr>
                <w:sz w:val="20"/>
              </w:rPr>
              <w:t>~$150K</w:t>
            </w:r>
          </w:p>
        </w:tc>
        <w:tc>
          <w:tcPr>
            <w:tcW w:type="dxa" w:w="1814"/>
            <w:shd w:fill="f5f5f0" w:val="clear"/>
          </w:tcPr>
          <w:p>
            <w:pPr>
              <w:jc w:val="center"/>
            </w:pPr>
            <w:r>
              <w:rPr>
                <w:sz w:val="20"/>
              </w:rPr>
              <w:t>~$187.5K</w:t>
            </w:r>
          </w:p>
        </w:tc>
        <w:tc>
          <w:tcPr>
            <w:tcW w:type="dxa" w:w="1814"/>
            <w:shd w:fill="f5f5f0" w:val="clear"/>
          </w:tcPr>
          <w:p>
            <w:pPr>
              <w:jc w:val="center"/>
            </w:pPr>
            <w:r>
              <w:rPr>
                <w:sz w:val="20"/>
              </w:rPr>
              <w:t>~$225K</w:t>
            </w:r>
          </w:p>
        </w:tc>
      </w:tr>
      <w:tr>
        <w:tc>
          <w:tcPr>
            <w:tcW w:type="dxa" w:w="1814"/>
            <w:shd w:fill="ffffff" w:val="clear"/>
          </w:tcPr>
          <w:p>
            <w:r>
              <w:rPr>
                <w:b/>
                <w:sz w:val="20"/>
              </w:rPr>
              <w:t>Perf Fee Treatment</w:t>
            </w:r>
          </w:p>
        </w:tc>
        <w:tc>
          <w:tcPr>
            <w:tcW w:type="dxa" w:w="1814"/>
            <w:shd w:fill="ffffff" w:val="clear"/>
          </w:tcPr>
          <w:p>
            <w:pPr>
              <w:jc w:val="center"/>
            </w:pPr>
            <w:r>
              <w:rPr>
                <w:sz w:val="20"/>
              </w:rPr>
              <w:t>Locked</w:t>
            </w:r>
          </w:p>
        </w:tc>
        <w:tc>
          <w:tcPr>
            <w:tcW w:type="dxa" w:w="1814"/>
            <w:shd w:fill="ffffff" w:val="clear"/>
          </w:tcPr>
          <w:p>
            <w:pPr>
              <w:jc w:val="center"/>
            </w:pPr>
            <w:r>
              <w:rPr>
                <w:sz w:val="20"/>
              </w:rPr>
              <w:t>Locked</w:t>
            </w:r>
          </w:p>
        </w:tc>
        <w:tc>
          <w:tcPr>
            <w:tcW w:type="dxa" w:w="1814"/>
            <w:shd w:fill="ffffff" w:val="clear"/>
          </w:tcPr>
          <w:p>
            <w:pPr>
              <w:jc w:val="center"/>
            </w:pPr>
            <w:r>
              <w:rPr>
                <w:sz w:val="20"/>
              </w:rPr>
              <w:t>Locked</w:t>
            </w:r>
          </w:p>
        </w:tc>
        <w:tc>
          <w:tcPr>
            <w:tcW w:type="dxa" w:w="1814"/>
            <w:shd w:fill="ffffff" w:val="clear"/>
          </w:tcPr>
          <w:p>
            <w:pPr>
              <w:jc w:val="center"/>
            </w:pPr>
            <w:r>
              <w:rPr>
                <w:sz w:val="20"/>
              </w:rPr>
              <w:t>Unlock eligible</w:t>
            </w:r>
          </w:p>
        </w:tc>
      </w:tr>
      <w:tr>
        <w:tc>
          <w:tcPr>
            <w:tcW w:type="dxa" w:w="1814"/>
            <w:shd w:fill="f5f5f0" w:val="clear"/>
          </w:tcPr>
          <w:p>
            <w:r>
              <w:rPr>
                <w:b/>
                <w:sz w:val="20"/>
              </w:rPr>
              <w:t>High-Water Mark</w:t>
            </w:r>
          </w:p>
        </w:tc>
        <w:tc>
          <w:tcPr>
            <w:tcW w:type="dxa" w:w="1814"/>
            <w:shd w:fill="f5f5f0" w:val="clear"/>
          </w:tcPr>
          <w:p>
            <w:pPr>
              <w:jc w:val="center"/>
            </w:pPr>
            <w:r>
              <w:rPr>
                <w:sz w:val="20"/>
              </w:rPr>
              <w:t>✓</w:t>
            </w:r>
          </w:p>
        </w:tc>
        <w:tc>
          <w:tcPr>
            <w:tcW w:type="dxa" w:w="1814"/>
            <w:shd w:fill="f5f5f0" w:val="clear"/>
          </w:tcPr>
          <w:p>
            <w:pPr>
              <w:jc w:val="center"/>
            </w:pPr>
            <w:r>
              <w:rPr>
                <w:sz w:val="20"/>
              </w:rPr>
              <w:t>✓</w:t>
            </w:r>
          </w:p>
        </w:tc>
        <w:tc>
          <w:tcPr>
            <w:tcW w:type="dxa" w:w="1814"/>
            <w:shd w:fill="f5f5f0" w:val="clear"/>
          </w:tcPr>
          <w:p>
            <w:pPr>
              <w:jc w:val="center"/>
            </w:pPr>
            <w:r>
              <w:rPr>
                <w:sz w:val="20"/>
              </w:rPr>
              <w:t>✓</w:t>
            </w:r>
          </w:p>
        </w:tc>
        <w:tc>
          <w:tcPr>
            <w:tcW w:type="dxa" w:w="1814"/>
            <w:shd w:fill="f5f5f0" w:val="clear"/>
          </w:tcPr>
          <w:p>
            <w:pPr>
              <w:jc w:val="center"/>
            </w:pPr>
            <w:r>
              <w:rPr>
                <w:sz w:val="20"/>
              </w:rPr>
              <w:t>✓</w:t>
            </w:r>
          </w:p>
        </w:tc>
      </w:tr>
    </w:tbl>
    <w:p/>
    <w:p>
      <w:pPr>
        <w:spacing w:after="160"/>
      </w:pPr>
      <w:r>
        <w:rPr>
          <w:b/>
          <w:color w:val="0A0A0C"/>
          <w:sz w:val="26"/>
        </w:rPr>
        <w:t>How It Works</w:t>
      </w:r>
    </w:p>
    <w:p>
      <w:pPr>
        <w:spacing w:after="160"/>
        <w:ind w:left="216"/>
      </w:pPr>
      <w:r>
        <w:rPr>
          <w:b/>
          <w:color w:val="0A0A0C"/>
          <w:sz w:val="22"/>
        </w:rPr>
        <w:t xml:space="preserve">Year 1 — Trial Period.  </w:t>
      </w:r>
      <w:r>
        <w:rPr>
          <w:color w:val="333333"/>
          <w:sz w:val="22"/>
        </w:rPr>
        <w:t>The 0.5% rate is well below industry standard. James gets discounted access while the model is validated in live markets. The Year 1 management fee covers the manager's personal obligations, clearing the slate so full attention goes to the fund.</w:t>
      </w:r>
    </w:p>
    <w:p>
      <w:pPr>
        <w:spacing w:after="160"/>
        <w:ind w:left="216"/>
      </w:pPr>
      <w:r>
        <w:rPr>
          <w:b/>
          <w:color w:val="0A0A0C"/>
          <w:sz w:val="22"/>
        </w:rPr>
        <w:t xml:space="preserve">Year 2 — Full Rate.  </w:t>
      </w:r>
      <w:r>
        <w:rPr>
          <w:color w:val="333333"/>
          <w:sz w:val="22"/>
        </w:rPr>
        <w:t>Once there's a 12-month track record, fees step up to 1% management and 10% performance. The manager's income is now entirely tied to fund growth — no floor, no guarantees.</w:t>
      </w:r>
    </w:p>
    <w:p>
      <w:pPr>
        <w:spacing w:after="160"/>
        <w:ind w:left="216"/>
      </w:pPr>
      <w:r>
        <w:rPr>
          <w:b/>
          <w:color w:val="0A0A0C"/>
          <w:sz w:val="22"/>
        </w:rPr>
        <w:t xml:space="preserve">Performance Fees — Locked In.  </w:t>
      </w:r>
      <w:r>
        <w:rPr>
          <w:color w:val="333333"/>
          <w:sz w:val="22"/>
        </w:rPr>
        <w:t>Every dollar of performance fee is reinvested into the fund and locked until Year 4. The manager can't extract carry and walk. His stake grows alongside investor capital and is exposed to the same risks.</w:t>
      </w:r>
    </w:p>
    <w:p>
      <w:pPr>
        <w:spacing w:after="160"/>
        <w:ind w:left="216"/>
      </w:pPr>
      <w:r>
        <w:rPr>
          <w:b/>
          <w:color w:val="0A0A0C"/>
          <w:sz w:val="22"/>
        </w:rPr>
        <w:t xml:space="preserve">Year 4 — Partial Liquidity.  </w:t>
      </w:r>
      <w:r>
        <w:rPr>
          <w:color w:val="333333"/>
          <w:sz w:val="22"/>
        </w:rPr>
        <w:t>After four years, the manager may liquidate up to 25% of accumulated stake per year. The intent is to hold as long as possible. The lock-up structure ensures skin in the game doesn't quietly disappear after a good run.</w:t>
      </w:r>
    </w:p>
    <w:p>
      <w:pPr>
        <w:spacing w:after="160"/>
        <w:ind w:left="216"/>
      </w:pPr>
      <w:r>
        <w:rPr>
          <w:b/>
          <w:color w:val="0A0A0C"/>
          <w:sz w:val="22"/>
        </w:rPr>
        <w:t xml:space="preserve">High-Water Mark.  </w:t>
      </w:r>
      <w:r>
        <w:rPr>
          <w:color w:val="333333"/>
          <w:sz w:val="22"/>
        </w:rPr>
        <w:t>Performance fees are only assessed on new gains above the previous peak. James never pays twice for recovering from a drawdown.</w:t>
      </w:r>
    </w:p>
    <w:p/>
    <w:p>
      <w:pPr>
        <w:spacing w:after="80"/>
      </w:pPr>
      <w:r>
        <w:rPr>
          <w:b/>
          <w:color w:val="0A0A0C"/>
          <w:sz w:val="26"/>
        </w:rPr>
        <w:t>Manager's Locked Stake — Base Case (15% Annual Return)</w:t>
      </w:r>
    </w:p>
    <w:tbl>
      <w:tblPr>
        <w:tblStyle w:val="TableGrid"/>
        <w:tblW w:type="auto" w:w="0"/>
        <w:tblLook w:firstColumn="1" w:firstRow="1" w:lastColumn="0" w:lastRow="0" w:noHBand="0" w:noVBand="1" w:val="04A0"/>
      </w:tblPr>
      <w:tblGrid>
        <w:gridCol w:w="3024"/>
        <w:gridCol w:w="3024"/>
        <w:gridCol w:w="3024"/>
      </w:tblGrid>
      <w:tr>
        <w:tc>
          <w:tcPr>
            <w:tcW w:type="dxa" w:w="3024"/>
            <w:shd w:fill="0a0a0c" w:val="clear"/>
          </w:tcPr>
          <w:p>
            <w:pPr>
              <w:jc w:val="center"/>
            </w:pPr>
            <w:r>
              <w:rPr>
                <w:b/>
                <w:color w:val="FFFFFF"/>
                <w:sz w:val="20"/>
              </w:rPr>
              <w:t>Year</w:t>
            </w:r>
          </w:p>
        </w:tc>
        <w:tc>
          <w:tcPr>
            <w:tcW w:type="dxa" w:w="3024"/>
            <w:shd w:fill="0a0a0c" w:val="clear"/>
          </w:tcPr>
          <w:p>
            <w:pPr>
              <w:jc w:val="center"/>
            </w:pPr>
            <w:r>
              <w:rPr>
                <w:b/>
                <w:color w:val="FFFFFF"/>
                <w:sz w:val="20"/>
              </w:rPr>
              <w:t>Perf Fee Earned</w:t>
            </w:r>
          </w:p>
        </w:tc>
        <w:tc>
          <w:tcPr>
            <w:tcW w:type="dxa" w:w="3024"/>
            <w:shd w:fill="0a0a0c" w:val="clear"/>
          </w:tcPr>
          <w:p>
            <w:pPr>
              <w:jc w:val="center"/>
            </w:pPr>
            <w:r>
              <w:rPr>
                <w:b/>
                <w:color w:val="FFFFFF"/>
                <w:sz w:val="20"/>
              </w:rPr>
              <w:t>Cumulative Locked Stake</w:t>
            </w:r>
          </w:p>
        </w:tc>
      </w:tr>
      <w:tr>
        <w:tc>
          <w:tcPr>
            <w:tcW w:type="dxa" w:w="3024"/>
            <w:shd w:fill="f5f5f0" w:val="clear"/>
          </w:tcPr>
          <w:p>
            <w:pPr>
              <w:jc w:val="left"/>
            </w:pPr>
            <w:r>
              <w:rPr>
                <w:b/>
                <w:sz w:val="20"/>
              </w:rPr>
              <w:t>Year 1</w:t>
            </w:r>
          </w:p>
        </w:tc>
        <w:tc>
          <w:tcPr>
            <w:tcW w:type="dxa" w:w="3024"/>
            <w:shd w:fill="f5f5f0" w:val="clear"/>
          </w:tcPr>
          <w:p>
            <w:pPr>
              <w:jc w:val="center"/>
            </w:pPr>
            <w:r>
              <w:rPr>
                <w:b w:val="0"/>
                <w:sz w:val="20"/>
              </w:rPr>
              <w:t>~$37,500</w:t>
            </w:r>
          </w:p>
        </w:tc>
        <w:tc>
          <w:tcPr>
            <w:tcW w:type="dxa" w:w="3024"/>
            <w:shd w:fill="f5f5f0" w:val="clear"/>
          </w:tcPr>
          <w:p>
            <w:pPr>
              <w:jc w:val="center"/>
            </w:pPr>
            <w:r>
              <w:rPr>
                <w:b/>
                <w:color w:val="2A9D8F"/>
                <w:sz w:val="20"/>
              </w:rPr>
              <w:t>~$37,500</w:t>
            </w:r>
          </w:p>
        </w:tc>
      </w:tr>
      <w:tr>
        <w:tc>
          <w:tcPr>
            <w:tcW w:type="dxa" w:w="3024"/>
            <w:shd w:fill="ffffff" w:val="clear"/>
          </w:tcPr>
          <w:p>
            <w:pPr>
              <w:jc w:val="left"/>
            </w:pPr>
            <w:r>
              <w:rPr>
                <w:b/>
                <w:sz w:val="20"/>
              </w:rPr>
              <w:t>Year 2</w:t>
            </w:r>
          </w:p>
        </w:tc>
        <w:tc>
          <w:tcPr>
            <w:tcW w:type="dxa" w:w="3024"/>
            <w:shd w:fill="ffffff" w:val="clear"/>
          </w:tcPr>
          <w:p>
            <w:pPr>
              <w:jc w:val="center"/>
            </w:pPr>
            <w:r>
              <w:rPr>
                <w:b w:val="0"/>
                <w:sz w:val="20"/>
              </w:rPr>
              <w:t>~$150,000</w:t>
            </w:r>
          </w:p>
        </w:tc>
        <w:tc>
          <w:tcPr>
            <w:tcW w:type="dxa" w:w="3024"/>
            <w:shd w:fill="ffffff" w:val="clear"/>
          </w:tcPr>
          <w:p>
            <w:pPr>
              <w:jc w:val="center"/>
            </w:pPr>
            <w:r>
              <w:rPr>
                <w:b/>
                <w:color w:val="2A9D8F"/>
                <w:sz w:val="20"/>
              </w:rPr>
              <w:t>~$195,000</w:t>
            </w:r>
          </w:p>
        </w:tc>
      </w:tr>
      <w:tr>
        <w:tc>
          <w:tcPr>
            <w:tcW w:type="dxa" w:w="3024"/>
            <w:shd w:fill="f5f5f0" w:val="clear"/>
          </w:tcPr>
          <w:p>
            <w:pPr>
              <w:jc w:val="left"/>
            </w:pPr>
            <w:r>
              <w:rPr>
                <w:b/>
                <w:sz w:val="20"/>
              </w:rPr>
              <w:t>Year 3</w:t>
            </w:r>
          </w:p>
        </w:tc>
        <w:tc>
          <w:tcPr>
            <w:tcW w:type="dxa" w:w="3024"/>
            <w:shd w:fill="f5f5f0" w:val="clear"/>
          </w:tcPr>
          <w:p>
            <w:pPr>
              <w:jc w:val="center"/>
            </w:pPr>
            <w:r>
              <w:rPr>
                <w:b w:val="0"/>
                <w:sz w:val="20"/>
              </w:rPr>
              <w:t>~$187,500</w:t>
            </w:r>
          </w:p>
        </w:tc>
        <w:tc>
          <w:tcPr>
            <w:tcW w:type="dxa" w:w="3024"/>
            <w:shd w:fill="f5f5f0" w:val="clear"/>
          </w:tcPr>
          <w:p>
            <w:pPr>
              <w:jc w:val="center"/>
            </w:pPr>
            <w:r>
              <w:rPr>
                <w:b/>
                <w:color w:val="2A9D8F"/>
                <w:sz w:val="20"/>
              </w:rPr>
              <w:t>~$395,000</w:t>
            </w:r>
          </w:p>
        </w:tc>
      </w:tr>
      <w:tr>
        <w:tc>
          <w:tcPr>
            <w:tcW w:type="dxa" w:w="3024"/>
            <w:shd w:fill="ffffff" w:val="clear"/>
          </w:tcPr>
          <w:p>
            <w:pPr>
              <w:jc w:val="left"/>
            </w:pPr>
            <w:r>
              <w:rPr>
                <w:b/>
                <w:sz w:val="20"/>
              </w:rPr>
              <w:t>Year 4</w:t>
            </w:r>
          </w:p>
        </w:tc>
        <w:tc>
          <w:tcPr>
            <w:tcW w:type="dxa" w:w="3024"/>
            <w:shd w:fill="ffffff" w:val="clear"/>
          </w:tcPr>
          <w:p>
            <w:pPr>
              <w:jc w:val="center"/>
            </w:pPr>
            <w:r>
              <w:rPr>
                <w:b w:val="0"/>
                <w:sz w:val="20"/>
              </w:rPr>
              <w:t>~$225,000</w:t>
            </w:r>
          </w:p>
        </w:tc>
        <w:tc>
          <w:tcPr>
            <w:tcW w:type="dxa" w:w="3024"/>
            <w:shd w:fill="ffffff" w:val="clear"/>
          </w:tcPr>
          <w:p>
            <w:pPr>
              <w:jc w:val="center"/>
            </w:pPr>
            <w:r>
              <w:rPr>
                <w:b/>
                <w:color w:val="2A9D8F"/>
                <w:sz w:val="20"/>
              </w:rPr>
              <w:t>~$640,000+</w:t>
            </w:r>
          </w:p>
        </w:tc>
      </w:tr>
    </w:tbl>
    <w:p>
      <w:pPr>
        <w:spacing w:before="80"/>
      </w:pPr>
      <w:r>
        <w:rPr>
          <w:i/>
          <w:color w:val="777777"/>
          <w:sz w:val="18"/>
        </w:rPr>
        <w:t>Assumes 15% gross annual return with compounding on the locked stake.</w:t>
      </w:r>
    </w:p>
    <w:p/>
    <w:p>
      <w:pPr>
        <w:jc w:val="center"/>
      </w:pPr>
      <w:r>
        <w:rPr>
          <w:i/>
          <w:color w:val="777777"/>
          <w:sz w:val="18"/>
        </w:rPr>
        <w:t>This document is confidential and intended solely for the parties named. It does not constitute a securities offering.</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