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A0C"/>
          <w:sz w:val="44"/>
        </w:rPr>
        <w:t>EVOLUTION FUND</w:t>
      </w:r>
    </w:p>
    <w:p>
      <w:pPr>
        <w:jc w:val="center"/>
      </w:pPr>
      <w:r>
        <w:rPr>
          <w:color w:val="555555"/>
          <w:sz w:val="26"/>
        </w:rPr>
        <w:t>Manager Fee Structure &amp; Alignment Proposal</w:t>
      </w:r>
    </w:p>
    <w:p>
      <w:pPr>
        <w:jc w:val="center"/>
      </w:pPr>
      <w:r>
        <w:rPr>
          <w:i/>
          <w:color w:val="888888"/>
          <w:sz w:val="20"/>
        </w:rPr>
        <w:t>March 2026  |  Confidential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0A0A0C"/>
        </w:rPr>
        <w:t>THE ARRANGEMENT IN PLAIN TERMS</w:t>
      </w:r>
    </w:p>
    <w:p>
      <w:pPr>
        <w:spacing w:before="0" w:after="160"/>
      </w:pPr>
      <w:r>
        <w:rPr>
          <w:b w:val="0"/>
          <w:i w:val="0"/>
          <w:sz w:val="22"/>
        </w:rPr>
        <w:t>This proposal covers Novaire's management of 0.5 of the actively managed allocation. The remainder stays under James's direct control, primarily in BTC — Novaire is not charging for capital James is managing himself.</w:t>
      </w:r>
    </w:p>
    <w:p>
      <w:pPr>
        <w:spacing w:before="0" w:after="160"/>
      </w:pPr>
      <w:r>
        <w:rPr>
          <w:b w:val="0"/>
          <w:i w:val="0"/>
          <w:sz w:val="22"/>
        </w:rPr>
        <w:t>The fee structure has a single logic: keep Year 1 modest, prove the model, then earn the right to full fees by Year 2.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0A0A0C"/>
        </w:rPr>
        <w:t>FEE SCHEDULE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0a0a0c" w:color="auto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757"/>
            <w:shd w:fill="0a0a0c" w:color="auto" w:val="clear"/>
          </w:tcPr>
          <w:p>
            <w:r>
              <w:rPr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1757"/>
            <w:shd w:fill="0a0a0c" w:color="auto" w:val="clear"/>
          </w:tcPr>
          <w:p>
            <w:r>
              <w:rPr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1757"/>
            <w:shd w:fill="0a0a0c" w:color="auto" w:val="clear"/>
          </w:tcPr>
          <w:p>
            <w:r>
              <w:rPr>
                <w:b/>
                <w:color w:val="FFFFFF"/>
                <w:sz w:val="20"/>
              </w:rPr>
              <w:t>Year 3</w:t>
            </w:r>
          </w:p>
        </w:tc>
        <w:tc>
          <w:tcPr>
            <w:tcW w:type="dxa" w:w="1757"/>
            <w:shd w:fill="0a0a0c" w:color="auto" w:val="clear"/>
          </w:tcPr>
          <w:p>
            <w:r>
              <w:rPr>
                <w:b/>
                <w:color w:val="FFFFFF"/>
                <w:sz w:val="20"/>
              </w:rPr>
              <w:t>Year 4</w:t>
            </w:r>
          </w:p>
        </w:tc>
      </w:tr>
      <w:tr>
        <w:tc>
          <w:tcPr>
            <w:tcW w:type="dxa" w:w="1757"/>
          </w:tcPr>
          <w:p>
            <w:r>
              <w:rPr>
                <w:b/>
                <w:sz w:val="20"/>
              </w:rPr>
              <w:t>AUM (Managed)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$5M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$10M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$12.5M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$15M</w:t>
            </w:r>
          </w:p>
        </w:tc>
      </w:tr>
      <w:tr>
        <w:tc>
          <w:tcPr>
            <w:tcW w:type="dxa" w:w="1757"/>
            <w:shd w:fill="f5f5f5" w:val="clear"/>
          </w:tcPr>
          <w:p>
            <w:r>
              <w:rPr>
                <w:b/>
                <w:sz w:val="20"/>
              </w:rPr>
              <w:t>Management Fee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0.5%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1.0%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1.0%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1.0%</w:t>
            </w:r>
          </w:p>
        </w:tc>
      </w:tr>
      <w:tr>
        <w:tc>
          <w:tcPr>
            <w:tcW w:type="dxa" w:w="1757"/>
          </w:tcPr>
          <w:p>
            <w:r>
              <w:rPr>
                <w:b/>
                <w:sz w:val="20"/>
              </w:rPr>
              <w:t>AUM Fee ($)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$25,000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$100,000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$125,000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$150,000</w:t>
            </w:r>
          </w:p>
        </w:tc>
      </w:tr>
      <w:tr>
        <w:tc>
          <w:tcPr>
            <w:tcW w:type="dxa" w:w="1757"/>
            <w:shd w:fill="f5f5f5" w:val="clear"/>
          </w:tcPr>
          <w:p>
            <w:r>
              <w:rPr>
                <w:b/>
                <w:sz w:val="20"/>
              </w:rPr>
              <w:t>Performance Fee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757"/>
          </w:tcPr>
          <w:p>
            <w:r>
              <w:rPr>
                <w:b/>
                <w:sz w:val="20"/>
              </w:rPr>
              <w:t>Est. Perf Fee (15% return)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~$37,500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~$150,000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~$187,500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~$225,000</w:t>
            </w:r>
          </w:p>
        </w:tc>
      </w:tr>
      <w:tr>
        <w:tc>
          <w:tcPr>
            <w:tcW w:type="dxa" w:w="1757"/>
            <w:shd w:fill="f5f5f5" w:val="clear"/>
          </w:tcPr>
          <w:p>
            <w:r>
              <w:rPr>
                <w:b/>
                <w:sz w:val="20"/>
              </w:rPr>
              <w:t>Perf Fee Status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Locked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Locked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Locked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Unlock eligible</w:t>
            </w:r>
          </w:p>
        </w:tc>
      </w:tr>
      <w:tr>
        <w:tc>
          <w:tcPr>
            <w:tcW w:type="dxa" w:w="1757"/>
          </w:tcPr>
          <w:p>
            <w:r>
              <w:rPr>
                <w:b/>
                <w:sz w:val="20"/>
              </w:rPr>
              <w:t>High-Water Mark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757"/>
            <w:shd w:fill="f5f5f5" w:val="clear"/>
          </w:tcPr>
          <w:p>
            <w:r>
              <w:rPr>
                <w:b/>
                <w:sz w:val="20"/>
              </w:rPr>
              <w:t>Investor Gate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24 months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24 months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24 months</w:t>
            </w:r>
          </w:p>
        </w:tc>
        <w:tc>
          <w:tcPr>
            <w:tcW w:type="dxa" w:w="1757"/>
            <w:shd w:fill="f5f5f5" w:val="clear"/>
          </w:tcPr>
          <w:p>
            <w:r>
              <w:rPr>
                <w:sz w:val="20"/>
              </w:rPr>
              <w:t>24 months</w:t>
            </w:r>
          </w:p>
        </w:tc>
      </w:tr>
    </w:tbl>
    <w:p/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0A0A0C"/>
        </w:rPr>
        <w:t>YEAR 1 — PROVING THE MODEL  |  $5M · 0.5% + 5%</w:t>
      </w:r>
    </w:p>
    <w:p>
      <w:pPr>
        <w:spacing w:before="0" w:after="80"/>
      </w:pPr>
      <w:r>
        <w:rPr>
          <w:b/>
          <w:i w:val="0"/>
          <w:sz w:val="22"/>
        </w:rPr>
        <w:t>Management Fee: $25,000</w:t>
      </w:r>
    </w:p>
    <w:p>
      <w:pPr>
        <w:spacing w:before="0" w:after="160"/>
      </w:pPr>
      <w:r>
        <w:rPr>
          <w:b w:val="0"/>
          <w:i w:val="0"/>
          <w:sz w:val="22"/>
        </w:rPr>
        <w:t>Year 1 is a trial year. The 0.5% rate is well below industry standard (1–2%) — this is the discount James receives as a founding partner while the model proves itself in live markets.</w:t>
      </w:r>
    </w:p>
    <w:p>
      <w:pPr>
        <w:spacing w:before="0" w:after="200"/>
      </w:pPr>
      <w:r>
        <w:rPr>
          <w:b w:val="0"/>
          <w:i/>
          <w:color w:val="555555"/>
          <w:sz w:val="20"/>
        </w:rPr>
        <w:t>Note: The Year 1 management fee is committed entirely to clearing the manager's outstanding debt. Eliminating this obligation frees up approximately $2,800/month in debt service and removes any financial pressure that could affect decision-making. After Year 1, the manager's income is entirely fund-driven.</w:t>
      </w:r>
    </w:p>
    <w:p>
      <w:pPr>
        <w:spacing w:before="0" w:after="80"/>
      </w:pPr>
      <w:r>
        <w:rPr>
          <w:b/>
          <w:i w:val="0"/>
          <w:sz w:val="22"/>
        </w:rPr>
        <w:t>Performance Fee: 5% (locked immediately)</w:t>
      </w:r>
    </w:p>
    <w:p>
      <w:pPr>
        <w:spacing w:before="0" w:after="160"/>
      </w:pPr>
      <w:r>
        <w:rPr>
          <w:b w:val="0"/>
          <w:i w:val="0"/>
          <w:sz w:val="22"/>
        </w:rPr>
        <w:t>At a base case 15% annual return on $5M, that's $750K in profit. The 5% carry generates ~$37,500 reinvested directly into the fund and locked. Not deferred. Not paid out. It becomes the manager's growing stake compounding alongside investor capital.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0A0A0C"/>
        </w:rPr>
        <w:t>YEAR 2 — FULL OPERATIONS  |  $10M · 1% + 10%</w:t>
      </w:r>
    </w:p>
    <w:p>
      <w:pPr>
        <w:spacing w:before="0" w:after="160"/>
      </w:pPr>
      <w:r>
        <w:rPr>
          <w:b w:val="0"/>
          <w:i w:val="0"/>
          <w:sz w:val="22"/>
        </w:rPr>
        <w:t>By Year 2, the fund has a 12-month live track record. AUM targets $10M through performance and potential new capital. The 1% management fee (~$100,000) covers full operating costs and manager compensation.</w:t>
      </w:r>
    </w:p>
    <w:p>
      <w:pPr>
        <w:spacing w:before="0" w:after="160"/>
      </w:pPr>
      <w:r>
        <w:rPr>
          <w:b w:val="0"/>
          <w:i/>
          <w:sz w:val="22"/>
        </w:rPr>
        <w:t>This is the incentive alignment point: the only way to earn more is to grow AUM through performance. There is no guaranteed floor. The fund's success is the manager's income.</w:t>
      </w:r>
    </w:p>
    <w:p>
      <w:pPr>
        <w:spacing w:before="0" w:after="160"/>
      </w:pPr>
      <w:r>
        <w:rPr>
          <w:b w:val="0"/>
          <w:i w:val="0"/>
          <w:sz w:val="22"/>
        </w:rPr>
        <w:t>Performance fee steps up to 10%, assessed annually, 100% reinvested and locked until Year 4.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0A0A0C"/>
        </w:rPr>
        <w:t>YEARS 3 &amp; 4 — COMPOUNDING THE STAKE</w:t>
      </w:r>
    </w:p>
    <w:p>
      <w:pPr>
        <w:spacing w:before="0" w:after="160"/>
      </w:pPr>
      <w:r>
        <w:rPr>
          <w:b w:val="0"/>
          <w:i w:val="0"/>
          <w:sz w:val="22"/>
        </w:rPr>
        <w:t>Structure unchanged: 1% management, 10% performance, high-water mark.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0a0a0c" w:val="clear"/>
          </w:tcPr>
          <w:p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2928"/>
            <w:shd w:fill="0a0a0c" w:val="clear"/>
          </w:tcPr>
          <w:p>
            <w:r>
              <w:rPr>
                <w:b/>
                <w:color w:val="FFFFFF"/>
                <w:sz w:val="20"/>
              </w:rPr>
              <w:t>Perf Fee Earned</w:t>
            </w:r>
          </w:p>
        </w:tc>
        <w:tc>
          <w:tcPr>
            <w:tcW w:type="dxa" w:w="2928"/>
            <w:shd w:fill="0a0a0c" w:val="clear"/>
          </w:tcPr>
          <w:p>
            <w:r>
              <w:rPr>
                <w:b/>
                <w:color w:val="FFFFFF"/>
                <w:sz w:val="20"/>
              </w:rPr>
              <w:t>Cumulative Locked Stake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Year 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~$37,500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~$37,500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Year 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~$150,000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~$195,000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Year 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~$187,500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~$395,000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Year 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~$225,000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~$640,000+</w:t>
            </w:r>
          </w:p>
        </w:tc>
      </w:tr>
    </w:tbl>
    <w:p/>
    <w:p>
      <w:pPr>
        <w:spacing w:before="0" w:after="120"/>
      </w:pPr>
      <w:r>
        <w:rPr>
          <w:b w:val="0"/>
          <w:i/>
          <w:color w:val="888888"/>
          <w:sz w:val="18"/>
        </w:rPr>
        <w:t>Assumes 15% gross annual return with compounding on locked stake.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0A0A0C"/>
        </w:rPr>
        <w:t>END OF YEAR 4 — PARTIAL LIQUIDITY</w:t>
      </w:r>
    </w:p>
    <w:p>
      <w:pPr>
        <w:spacing w:before="0" w:after="160"/>
      </w:pPr>
      <w:r>
        <w:rPr>
          <w:b w:val="0"/>
          <w:i w:val="0"/>
          <w:sz w:val="22"/>
        </w:rPr>
        <w:t>After Year 4, performance fees have completed two full gate cycles. The manager may liquidate up to 25% of accumulated stake per year — no more. This ensures meaningful skin in the game is maintained permanently.</w:t>
      </w:r>
    </w:p>
    <w:p>
      <w:pPr>
        <w:spacing w:before="0" w:after="160"/>
      </w:pPr>
      <w:r>
        <w:rPr>
          <w:b w:val="0"/>
          <w:i w:val="0"/>
          <w:sz w:val="22"/>
        </w:rPr>
        <w:t>The manager's stated intent is to leave the stake intact as long as possible. Every dollar that stays in the fund compounds. The signal to James is unambiguous: Novaire's own capital sits in the same boat.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0A0A0C"/>
        </w:rPr>
        <w:t>WHY THIS STRUCTURE WORKS</w:t>
      </w:r>
    </w:p>
    <w:p>
      <w:pPr>
        <w:spacing w:before="0" w:after="40"/>
      </w:pPr>
      <w:r>
        <w:rPr>
          <w:b/>
          <w:i w:val="0"/>
          <w:sz w:val="22"/>
        </w:rPr>
        <w:t>For James:</w:t>
      </w:r>
    </w:p>
    <w:p>
      <w:pPr>
        <w:pStyle w:val="ListBullet"/>
      </w:pPr>
      <w:r>
        <w:rPr>
          <w:sz w:val="21"/>
        </w:rPr>
        <w:t>Year 1 fees are 70–80% below industry standard. Discounted access during the proving period.</w:t>
      </w:r>
    </w:p>
    <w:p>
      <w:pPr>
        <w:pStyle w:val="ListBullet"/>
      </w:pPr>
      <w:r>
        <w:rPr>
          <w:sz w:val="21"/>
        </w:rPr>
        <w:t>Performance fees locked 4 years. The manager cannot extract carry and walk away.</w:t>
      </w:r>
    </w:p>
    <w:p>
      <w:pPr>
        <w:pStyle w:val="ListBullet"/>
      </w:pPr>
      <w:r>
        <w:rPr>
          <w:sz w:val="21"/>
        </w:rPr>
        <w:t>High-water mark: no performance fee on recovering from losses.</w:t>
      </w:r>
    </w:p>
    <w:p>
      <w:pPr>
        <w:pStyle w:val="ListBullet"/>
      </w:pPr>
      <w:r>
        <w:rPr>
          <w:sz w:val="21"/>
        </w:rPr>
        <w:t>24-month gate prevents forced liquidations that would disrupt the strategy.</w:t>
      </w:r>
    </w:p>
    <w:p>
      <w:pPr>
        <w:pStyle w:val="ListBullet"/>
      </w:pPr>
      <w:r>
        <w:rPr>
          <w:sz w:val="21"/>
        </w:rPr>
        <w:t>Majority of James's capital remains under his own direct control (BTC allocation).</w:t>
      </w:r>
    </w:p>
    <w:p>
      <w:pPr>
        <w:spacing w:before="160" w:after="40"/>
      </w:pPr>
      <w:r>
        <w:rPr>
          <w:b/>
          <w:i w:val="0"/>
          <w:sz w:val="22"/>
        </w:rPr>
        <w:t>For Novaire:</w:t>
      </w:r>
    </w:p>
    <w:p>
      <w:pPr>
        <w:pStyle w:val="ListBullet"/>
      </w:pPr>
      <w:r>
        <w:rPr>
          <w:sz w:val="21"/>
        </w:rPr>
        <w:t>Year 1 clears personal debt, frees ~$2,800/month, removes all financial distraction.</w:t>
      </w:r>
    </w:p>
    <w:p>
      <w:pPr>
        <w:pStyle w:val="ListBullet"/>
      </w:pPr>
      <w:r>
        <w:rPr>
          <w:sz w:val="21"/>
        </w:rPr>
        <w:t>Year 2 provides full salary tied directly to AUM growth — no guaranteed floor.</w:t>
      </w:r>
    </w:p>
    <w:p>
      <w:pPr>
        <w:pStyle w:val="ListBullet"/>
      </w:pPr>
      <w:r>
        <w:rPr>
          <w:sz w:val="21"/>
        </w:rPr>
        <w:t>Performance fees compound inside the fund, building real ownership alongside investor capital.</w:t>
      </w:r>
    </w:p>
    <w:p>
      <w:pPr>
        <w:pStyle w:val="ListBullet"/>
      </w:pPr>
      <w:r>
        <w:rPr>
          <w:sz w:val="21"/>
        </w:rPr>
        <w:t>By Year 4, locked stake could exceed $640K — built through alignment, not extraction.</w:t>
      </w:r>
    </w:p>
    <w:p>
      <w:pPr>
        <w:spacing w:before="80" w:after="80"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0A0A0C"/>
        </w:rPr>
        <w:t>NEXT STEPS</w:t>
      </w:r>
    </w:p>
    <w:p>
      <w:pPr>
        <w:pStyle w:val="ListBullet"/>
      </w:pPr>
      <w:r>
        <w:rPr>
          <w:sz w:val="21"/>
        </w:rPr>
        <w:t>Determine fund legal structure (LP, trust, or managed account)</w:t>
      </w:r>
    </w:p>
    <w:p>
      <w:pPr>
        <w:pStyle w:val="ListBullet"/>
      </w:pPr>
      <w:r>
        <w:rPr>
          <w:sz w:val="21"/>
        </w:rPr>
        <w:t>Set minimum capital commitment if/when third-party investors are added</w:t>
      </w:r>
    </w:p>
    <w:p>
      <w:pPr>
        <w:pStyle w:val="ListBullet"/>
      </w:pPr>
      <w:r>
        <w:rPr>
          <w:sz w:val="21"/>
        </w:rPr>
        <w:t>Agree on performance calculation methodology and audit cadence</w:t>
      </w:r>
    </w:p>
    <w:p>
      <w:pPr>
        <w:pStyle w:val="ListBullet"/>
      </w:pPr>
      <w:r>
        <w:rPr>
          <w:sz w:val="21"/>
        </w:rPr>
        <w:t>Formalize Year 1 arrangement in a simple management agreement</w:t>
      </w:r>
    </w:p>
    <w:p/>
    <w:p>
      <w:pPr>
        <w:jc w:val="center"/>
      </w:pPr>
      <w:r>
        <w:rPr>
          <w:i/>
          <w:color w:val="999999"/>
          <w:sz w:val="18"/>
        </w:rPr>
        <w:t>This document is confidential and intended solely for the parties named. It does not constitute a securities offering.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