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D7B75" w14:textId="3C740466" w:rsidR="005E65C9" w:rsidRPr="00D76340" w:rsidRDefault="008C7C38" w:rsidP="008C7C38">
      <w:pPr>
        <w:spacing w:line="480" w:lineRule="auto"/>
        <w:jc w:val="center"/>
        <w:rPr>
          <w:rFonts w:cs="Times New Roman"/>
        </w:rPr>
      </w:pPr>
      <w:r w:rsidRPr="00D76340">
        <w:rPr>
          <w:rFonts w:cs="Times New Roman"/>
        </w:rPr>
        <w:t>Effect of Raising the Minimum Wage on Children’s Mental Health</w:t>
      </w:r>
    </w:p>
    <w:p w14:paraId="586D7C36" w14:textId="582E8009" w:rsidR="005E65C9" w:rsidRPr="008146A4" w:rsidRDefault="005E65C9" w:rsidP="008C7C38">
      <w:pPr>
        <w:spacing w:line="480" w:lineRule="auto"/>
        <w:jc w:val="center"/>
        <w:rPr>
          <w:rFonts w:cs="Times New Roman"/>
        </w:rPr>
      </w:pPr>
      <w:r w:rsidRPr="00D76340">
        <w:rPr>
          <w:rFonts w:cs="Times New Roman"/>
        </w:rPr>
        <w:t>Nolan M. Kavanagh</w:t>
      </w:r>
      <w:r w:rsidR="00D02883" w:rsidRPr="00D76340">
        <w:rPr>
          <w:rFonts w:cs="Times New Roman"/>
        </w:rPr>
        <w:t>, M.P.H.</w:t>
      </w:r>
      <w:r w:rsidRPr="00D76340">
        <w:rPr>
          <w:rFonts w:cs="Times New Roman"/>
          <w:vertAlign w:val="superscript"/>
        </w:rPr>
        <w:t>1,2</w:t>
      </w:r>
      <w:r w:rsidR="008146A4">
        <w:rPr>
          <w:rFonts w:cs="Times New Roman"/>
        </w:rPr>
        <w:t xml:space="preserve">, Natalie </w:t>
      </w:r>
      <w:proofErr w:type="spellStart"/>
      <w:r w:rsidR="008146A4">
        <w:rPr>
          <w:rFonts w:cs="Times New Roman"/>
        </w:rPr>
        <w:t>Slopen</w:t>
      </w:r>
      <w:proofErr w:type="spellEnd"/>
      <w:r w:rsidR="008146A4">
        <w:rPr>
          <w:rFonts w:cs="Times New Roman"/>
        </w:rPr>
        <w:t>, Sc.D., M.A.</w:t>
      </w:r>
      <w:r w:rsidR="008146A4" w:rsidRPr="008146A4">
        <w:rPr>
          <w:rFonts w:cs="Times New Roman"/>
          <w:vertAlign w:val="superscript"/>
        </w:rPr>
        <w:t>3</w:t>
      </w:r>
    </w:p>
    <w:p w14:paraId="0A84A196" w14:textId="1D37B89B" w:rsidR="005E65C9" w:rsidRPr="00D76340" w:rsidRDefault="005E65C9" w:rsidP="005E65C9">
      <w:pPr>
        <w:spacing w:line="480" w:lineRule="auto"/>
        <w:jc w:val="both"/>
        <w:rPr>
          <w:rFonts w:cs="Times New Roman"/>
          <w:vertAlign w:val="superscript"/>
        </w:rPr>
      </w:pPr>
    </w:p>
    <w:p w14:paraId="3E4AC6A9" w14:textId="77777777" w:rsidR="005E65C9" w:rsidRPr="00D76340" w:rsidRDefault="005E65C9" w:rsidP="00BA2FB3">
      <w:pPr>
        <w:spacing w:line="480" w:lineRule="auto"/>
        <w:jc w:val="both"/>
        <w:rPr>
          <w:rFonts w:cs="Times New Roman"/>
        </w:rPr>
      </w:pPr>
      <w:r w:rsidRPr="00D76340">
        <w:rPr>
          <w:rFonts w:cs="Times New Roman"/>
          <w:vertAlign w:val="superscript"/>
        </w:rPr>
        <w:t>1</w:t>
      </w:r>
      <w:r w:rsidRPr="00D76340">
        <w:rPr>
          <w:rFonts w:cs="Times New Roman"/>
        </w:rPr>
        <w:t xml:space="preserve"> Program in Health Policy, Harvard University, Cambridge, Massachusetts</w:t>
      </w:r>
    </w:p>
    <w:p w14:paraId="1F250C61" w14:textId="4F3CD635" w:rsidR="008146A4" w:rsidRDefault="005E65C9" w:rsidP="002330CD">
      <w:pPr>
        <w:spacing w:line="480" w:lineRule="auto"/>
        <w:jc w:val="both"/>
        <w:rPr>
          <w:rFonts w:cs="Times New Roman"/>
        </w:rPr>
      </w:pPr>
      <w:r w:rsidRPr="00D76340">
        <w:rPr>
          <w:rFonts w:cs="Times New Roman"/>
          <w:vertAlign w:val="superscript"/>
        </w:rPr>
        <w:t xml:space="preserve">2 </w:t>
      </w:r>
      <w:r w:rsidRPr="00D76340">
        <w:rPr>
          <w:rFonts w:cs="Times New Roman"/>
        </w:rPr>
        <w:t>Perelman School of Medicine, University of Pennsylvania, Philadelphia, Pennsylvania</w:t>
      </w:r>
    </w:p>
    <w:p w14:paraId="1225CAB3" w14:textId="70F66E69" w:rsidR="005E65C9" w:rsidRPr="00D76340" w:rsidRDefault="008146A4" w:rsidP="002330CD">
      <w:pPr>
        <w:spacing w:line="480" w:lineRule="auto"/>
        <w:jc w:val="both"/>
        <w:rPr>
          <w:rFonts w:cs="Times New Roman"/>
        </w:rPr>
      </w:pPr>
      <w:r w:rsidRPr="008146A4">
        <w:rPr>
          <w:rFonts w:cs="Times New Roman"/>
          <w:vertAlign w:val="superscript"/>
        </w:rPr>
        <w:t>3</w:t>
      </w:r>
      <w:r>
        <w:rPr>
          <w:rFonts w:cs="Times New Roman"/>
        </w:rPr>
        <w:t xml:space="preserve"> T.H. Chan School of Public Health, Harvard University, Boston, Massachusetts</w:t>
      </w:r>
      <w:r w:rsidR="005E65C9" w:rsidRPr="00D76340">
        <w:rPr>
          <w:rFonts w:cs="Times New Roman"/>
        </w:rPr>
        <w:br w:type="page"/>
      </w:r>
    </w:p>
    <w:p w14:paraId="344F95F7" w14:textId="2692ABB2" w:rsidR="005E65C9" w:rsidRPr="00D76340" w:rsidRDefault="00AD4D9A" w:rsidP="00AD4D9A">
      <w:pPr>
        <w:spacing w:line="480" w:lineRule="auto"/>
        <w:jc w:val="center"/>
        <w:rPr>
          <w:rFonts w:cs="Times New Roman"/>
          <w:b/>
          <w:bCs/>
          <w:u w:val="single"/>
        </w:rPr>
      </w:pPr>
      <w:r w:rsidRPr="00D76340">
        <w:rPr>
          <w:rFonts w:cs="Times New Roman"/>
          <w:b/>
          <w:bCs/>
          <w:u w:val="single"/>
        </w:rPr>
        <w:lastRenderedPageBreak/>
        <w:t>Introduction</w:t>
      </w:r>
    </w:p>
    <w:p w14:paraId="63D24C15" w14:textId="316BCE53" w:rsidR="007F48DB" w:rsidRPr="00D76340" w:rsidRDefault="00AD4D9A" w:rsidP="005E65C9">
      <w:pPr>
        <w:spacing w:line="480" w:lineRule="auto"/>
        <w:jc w:val="both"/>
        <w:rPr>
          <w:rFonts w:cs="Times New Roman"/>
        </w:rPr>
      </w:pPr>
      <w:r w:rsidRPr="00D76340">
        <w:rPr>
          <w:rFonts w:cs="Times New Roman"/>
        </w:rPr>
        <w:tab/>
        <w:t>Mental health disorders, especially depression and anxiety, are on the rise for children and adolescents.</w:t>
      </w:r>
      <w:r w:rsidRPr="00D76340">
        <w:rPr>
          <w:rFonts w:cs="Times New Roman"/>
        </w:rPr>
        <w:fldChar w:fldCharType="begin"/>
      </w:r>
      <w:r w:rsidR="0085224D" w:rsidRPr="00D76340">
        <w:rPr>
          <w:rFonts w:cs="Times New Roman"/>
        </w:rPr>
        <w:instrText xml:space="preserve"> ADDIN ZOTERO_ITEM CSL_CITATION {"citationID":"UiuIt96t","properties":{"unsorted":true,"formattedCitation":"\\super 1\\uc0\\u8211{}6\\nosupersub{}","plainCitation":"1–6","noteIndex":0},"citationItems":[{"id":3737,"uris":["http://zotero.org/users/5446295/items/A22N4NXX"],"itemData":{"id":3737,"type":"article-journal","abstract":"Objective\nThis study documents the prevalence and impact of anxiety and depression in US children based on the parent report of health care provider diagnosis.\n\nMethods\nNational Survey of Children's Health data from 2003, 2007, and 2011–2012 were analyzed to estimate the prevalence of anxiety or depression among children aged 6 to 17 years. Estimates were based on the parent report of being told by a health care provider that their child had the specified condition. Sociodemographic characteristics, co-occurrence of other conditions, health care use, school measures, and parenting aggravation were estimated using 2011–2012 data.\n\nResults\nBased on the parent report, lifetime diagnosis of anxiety or depression among children aged 6 to 17 years increased from 5.4% in 2003 to 8.4% in 2011–2012. Current anxiety or depression increased from 4.7% in 2007 to 5.3% in 2011–2012; current anxiety increased significantly, whereas current depression did not change. Anxiety and depression were associated with increased risk of co-occurring conditions, health care use, school problems, and having parents with high parenting aggravation. Children with anxiety or depression with effective care coordination or a medical home were less likely to have unmet health care needs or parents with high parenting aggravation.\n\nConclusion\nBy parent report, more than 1 in 20 US children had current anxiety or depression in 2011–2012. Both were associated with significant comorbidity and impact on children and families. These findings may inform efforts to improve the health and well-being of children with internalizing disorders. Future research is needed to determine why child anxiety diagnoses seem to have increased from 2007 to 2012.","container-title":"Journal of developmental and behavioral pediatrics : JDBP","DOI":"10.1097/DBP.0000000000000571","ISSN":"0196-206X","issue":"5","journalAbbreviation":"J Dev Behav Pediatr","note":"PMID: 29688990\nPMCID: PMC6003874","page":"395-403","source":"PubMed Central","title":"Epidemiology and Impact of Health Care Provider–Diagnosed Anxiety and Depression Among US Children","volume":"39","author":[{"family":"Bitsko","given":"Rebecca H."},{"family":"Holbrook","given":"Joseph R."},{"family":"Ghandour","given":"Reem M."},{"family":"Blumberg","given":"Stephen J."},{"family":"Visser","given":"Susanna N."},{"family":"Perou","given":"Ruth"},{"family":"Walkup","given":"John T."}],"issued":{"date-parts":[["2018",6]]},"citation-key":"bitskoEpidemiologyImpactHealth2018"}},{"id":3730,"uris":["http://zotero.org/users/5446295/items/3G5PXFYV"],"itemData":{"id":3730,"type":"article-journal","abstract":"This study examined national trends in 12-month prevalence of major depressive episodes (MDEs) in adolescents and young adults overall and in different sociodemographic groups, as well as trends in depression treatment between 2005 and 2014.Data were drawn from the National Surveys on Drug Use and Health for 2005 to 2014, which are annual cross-sectional surveys of the US general population. Participants included 172 495 adolescents aged 12 to 17 and 178 755 adults aged 18 to 25. Time trends in 12-month prevalence of MDEs were examined overall and in different subgroups, as were time trends in the use of treatment services.The 12-month prevalence of MDEs increased from 8.7% in 2005 to 11.3% in 2014 in adolescents and from 8.8% to 9.6% in young adults (both P &amp;lt; .001). The increase was larger and statistically significant only in the age range of 12 to 20 years. The trends remained significant after adjustment for substance use disorders and sociodemographic factors. Mental health care contacts overall did not change over time; however, the use of specialty mental health providers increased in adolescents and young adults, and the use of prescription medications and inpatient hospitalizations increased in adolescents.The prevalence of depression in adolescents and young adults has increased in recent years. In the context of little change in mental health treatments, trends in prevalence translate into a growing number of young people with untreated depression. The findings call for renewed efforts to expand service capacity to best meet the mental health care needs of this age group.","container-title":"Pediatrics","DOI":"10.1542/peds.2016-1878","ISSN":"0031-4005","issue":"6","journalAbbreviation":"Pediatrics","page":"e20161878","source":"Silverchair","title":"National Trends in the Prevalence and Treatment of Depression in Adolescents and Young Adults","volume":"138","author":[{"family":"Mojtabai","given":"Ramin"},{"family":"Olfson","given":"Mark"},{"family":"Han","given":"Beth"}],"issued":{"date-parts":[["2016",12,1]]},"citation-key":"mojtabaiNationalTrendsPrevalence2016"}},{"id":3735,"uris":["http://zotero.org/users/5446295/items/YM8XJ9BE"],"itemData":{"id":3735,"type":"article-journal","abstract":"Two meta-analyses find that Americans have shifted toward substantially higher levels of anxiety and neuroticism during recent decades. Both college student (adult) and child samples increased almost a full standard deviation in anxiety between 1952 and 1993 (explaining about 20% of the variance in the trait). The average American child in the 1980s reported more anxiety than child psychiatric patients in the 1950s. Correlations with social indices (e.g., divorce rates, crime rates) suggest that decreases in social connectedness and increases in environmental dangers may be responsible for the rise in anxiety. Economic factors, however, seem to play little role. Birth cohort, as a proxy for broad social trends, may be an important influence on personality development, especially during childhood. (PsycInfo Database Record (c) 2022 APA, all rights reserved)","container-title":"Journal of Personality and Social Psychology","DOI":"10.1037/0022-3514.79.6.1007","ISSN":"1939-1315","note":"publisher-place: US\npublisher: American Psychological Association","page":"1007-1021","source":"APA PsycNet","title":"The age of anxiety? The birth cohort change in anxiety and neuroticism, 1952–1993","title-short":"The age of anxiety?","volume":"79","author":[{"family":"Twenge","given":"Jean M."}],"issued":{"date-parts":[["2000"]]},"citation-key":"twengeAgeAnxietyBirth2000"}},{"id":3725,"uris":["http://zotero.org/users/5446295/items/F2EU92KN"],"itemData":{"id":3725,"type":"article-journal","abstract":"Two cross-temporal meta-analyses find large generational increases in psychopathology among American college students (N=63,706) between 1938 and 2007 on the MMPI and MMPI-2 and high school students (N=13,870) between 1951 and 2002 on the MMPI-A. The current generation of young people scores about a standard deviation higher (average d=1.05) on the clinical scales, including Pd (Psychopathic Deviation), Pa (Paranoia), Ma (Hypomania), and D (Depression). Five times as many now score above common cutoffs for psychopathology, including up to 40% on Ma. The birth cohort effects are still large and significant after controlling for the L and K validity scales, suggesting that the changes are not caused by response bias. The results best fit a model citing cultural shifts toward extrinsic goals, such as materialism and status and away from intrinsic goals, such as community, meaning in life, and affiliation.","container-title":"Clinical Psychology Review","DOI":"10.1016/j.cpr.2009.10.005","ISSN":"0272-7358","issue":"2","journalAbbreviation":"Clinical Psychology Review","language":"en","page":"145-154","source":"ScienceDirect","title":"Birth cohort increases in psychopathology among young Americans, 1938–2007: A cross-temporal meta-analysis of the MMPI","title-short":"Birth cohort increases in psychopathology among young Americans, 1938–2007","volume":"30","author":[{"family":"Twenge","given":"Jean M."},{"family":"Gentile","given":"Brittany"},{"family":"DeWall","given":"C. Nathan"},{"family":"Ma","given":"Debbie"},{"family":"Lacefield","given":"Katharine"},{"family":"Schurtz","given":"David R."}],"issued":{"date-parts":[["2010",3,1]]},"citation-key":"twengeBirthCohortIncreases2010"}},{"id":3733,"uris":["http://zotero.org/users/5446295/items/9DGCQWVE"],"itemData":{"id":3733,"type":"article-journal","abstract":"Mental health problems and mental health related mortality have increased among adolescents, particularly girls. These trends have implications for etiology and prevention and suggest new and emerging risk factors in need of attention. The present study estimated age, period, and cohort effects in depressive symptoms among US nationally representative samples of school attending adolescents from 1991 to 2018.","container-title":"Social Psychiatry and Psychiatric Epidemiology","DOI":"10.1007/s00127-019-01697-8","ISSN":"1433-9285","issue":"8","journalAbbreviation":"Soc Psychiatry Psychiatr Epidemiol","language":"en","page":"987-996","source":"Springer Link","title":"Recent increases in depressive symptoms among US adolescents: trends from 1991 to 2018","title-short":"Recent increases in depressive symptoms among US adolescents","volume":"54","author":[{"family":"Keyes","given":"Katherine M."},{"family":"Gary","given":"Dahsan"},{"family":"O’Malley","given":"Patrick M."},{"family":"Hamilton","given":"Ava"},{"family":"Schulenberg","given":"John"}],"issued":{"date-parts":[["2019",8,1]]},"citation-key":"keyesRecentIncreasesDepressive2019"}},{"id":3728,"uris":["http://zotero.org/users/5446295/items/IK46XQ33"],"itemData":{"id":3728,"type":"article-journal","abstract":"Objective:Up to one in five children experience mental health problems. Social and cultural factors may influence emergence of mental health problems. The 21st century has led to changes in many of these factors, but it is unclear whether rates of internalizing and externalizing problems have also changed in recent cohorts of young people.Methods:A comprehensive literature search was undertaken to locate cohort or population studies that examined changes in mental health of children over time, where participants were aged 18 years and under, and the time frame for change was at least 10 years, with data for at least one time point in the 21st century being statistically compared to at least one time point in the 20th century. Studies were reviewed for quality and outcome.Results:Nineteen studies met criteria for review. These included studies of toddlers, children, and adolescents. Seventeen studies examined internalizing problems, and 11 studies examined externalizing problems. For both children and toddlers, recent cohorts did not exhibit worsening of mental health symptoms. In adolescents, the burden of externalizing problems appear to be stable. However, the majority of studies report an increase in internalizing problems in adolescent girls. The findings for internalizing problems in boys were mixed.Conclusions:These findings suggest that recent cohorts of adolescent girls are experiencing increases in internalizing symptoms compared to previous cohorts. Approaches for prevention and early intervention should be explored.","container-title":"Australian &amp; New Zealand Journal of Psychiatry","DOI":"10.1177/0004867414533834","ISSN":"0004-8674","issue":"7","journalAbbreviation":"Aust N Z J Psychiatry","language":"en","note":"publisher: SAGE Publications Ltd","page":"606-616","source":"SAGE Journals","title":"Are child and adolescent mental health problems increasing in the 21st century? A systematic review","title-short":"Are child and adolescent mental health problems increasing in the 21st century?","volume":"48","author":[{"family":"Bor","given":"William"},{"family":"Dean","given":"Angela J"},{"family":"Najman","given":"Jacob"},{"family":"Hayatbakhsh","given":"Reza"}],"issued":{"date-parts":[["2014",7,1]]},"citation-key":"borAreChildAdolescent2014"}}],"schema":"https://github.com/citation-style-language/schema/raw/master/csl-citation.json"} </w:instrText>
      </w:r>
      <w:r w:rsidRPr="00D76340">
        <w:rPr>
          <w:rFonts w:cs="Times New Roman"/>
        </w:rPr>
        <w:fldChar w:fldCharType="separate"/>
      </w:r>
      <w:r w:rsidR="0085224D" w:rsidRPr="00D76340">
        <w:rPr>
          <w:rFonts w:cs="Times New Roman"/>
          <w:vertAlign w:val="superscript"/>
        </w:rPr>
        <w:t>1–6</w:t>
      </w:r>
      <w:r w:rsidRPr="00D76340">
        <w:rPr>
          <w:rFonts w:cs="Times New Roman"/>
        </w:rPr>
        <w:fldChar w:fldCharType="end"/>
      </w:r>
      <w:r w:rsidR="0085224D" w:rsidRPr="00D76340">
        <w:rPr>
          <w:rFonts w:cs="Times New Roman"/>
        </w:rPr>
        <w:t xml:space="preserve"> </w:t>
      </w:r>
      <w:r w:rsidR="00662BC4" w:rsidRPr="00D76340">
        <w:rPr>
          <w:rFonts w:cs="Times New Roman"/>
        </w:rPr>
        <w:t xml:space="preserve">In the United States, </w:t>
      </w:r>
      <w:r w:rsidR="00711A19" w:rsidRPr="00D76340">
        <w:rPr>
          <w:rFonts w:cs="Times New Roman"/>
        </w:rPr>
        <w:t xml:space="preserve">pre-pandemic </w:t>
      </w:r>
      <w:r w:rsidR="00662BC4" w:rsidRPr="00D76340">
        <w:rPr>
          <w:rFonts w:cs="Times New Roman"/>
        </w:rPr>
        <w:t xml:space="preserve">surveillance data </w:t>
      </w:r>
      <w:r w:rsidR="00711A19" w:rsidRPr="00D76340">
        <w:rPr>
          <w:rFonts w:cs="Times New Roman"/>
        </w:rPr>
        <w:t xml:space="preserve">from 2016–2019 </w:t>
      </w:r>
      <w:r w:rsidR="00662BC4" w:rsidRPr="00D76340">
        <w:rPr>
          <w:rFonts w:cs="Times New Roman"/>
        </w:rPr>
        <w:t xml:space="preserve">estimated that 3–4% of children </w:t>
      </w:r>
      <w:r w:rsidR="00711A19" w:rsidRPr="00D76340">
        <w:rPr>
          <w:rFonts w:cs="Times New Roman"/>
        </w:rPr>
        <w:t>and adolescents (</w:t>
      </w:r>
      <w:r w:rsidR="00662BC4" w:rsidRPr="00D76340">
        <w:rPr>
          <w:rFonts w:cs="Times New Roman"/>
        </w:rPr>
        <w:t>aged 3–17</w:t>
      </w:r>
      <w:r w:rsidR="00711A19" w:rsidRPr="00D76340">
        <w:rPr>
          <w:rFonts w:cs="Times New Roman"/>
        </w:rPr>
        <w:t>)</w:t>
      </w:r>
      <w:r w:rsidR="00662BC4" w:rsidRPr="00D76340">
        <w:rPr>
          <w:rFonts w:cs="Times New Roman"/>
        </w:rPr>
        <w:t xml:space="preserve"> had </w:t>
      </w:r>
      <w:r w:rsidR="00711A19" w:rsidRPr="00D76340">
        <w:rPr>
          <w:rFonts w:cs="Times New Roman"/>
        </w:rPr>
        <w:t>current</w:t>
      </w:r>
      <w:r w:rsidR="00662BC4" w:rsidRPr="00D76340">
        <w:rPr>
          <w:rFonts w:cs="Times New Roman"/>
        </w:rPr>
        <w:t xml:space="preserve"> depression and </w:t>
      </w:r>
      <w:r w:rsidR="00711A19" w:rsidRPr="00D76340">
        <w:rPr>
          <w:rFonts w:cs="Times New Roman"/>
        </w:rPr>
        <w:t>9–10% had current anxiety.</w:t>
      </w:r>
      <w:r w:rsidR="00711A19" w:rsidRPr="00D76340">
        <w:rPr>
          <w:rFonts w:cs="Times New Roman"/>
        </w:rPr>
        <w:fldChar w:fldCharType="begin"/>
      </w:r>
      <w:r w:rsidR="00711A19" w:rsidRPr="00D76340">
        <w:rPr>
          <w:rFonts w:cs="Times New Roman"/>
        </w:rPr>
        <w:instrText xml:space="preserve"> ADDIN ZOTERO_ITEM CSL_CITATION {"citationID":"ImJBt1Xk","properties":{"formattedCitation":"\\super 7\\nosupersub{}","plainCitation":"7","noteIndex":0},"citationItems":[{"id":3773,"uris":["http://zotero.org/users/5446295/items/ZJ5N4K6P","http://zotero.org/users/5446295/items/G2RZCNYN"],"itemData":{"id":3773,"type":"article-journal","container-title":"MMWR supplements","issue":"2","note":"publisher: Centers for Disease Control and Prevention","page":"1","title":"Mental health surveillance among children—United States, 2013–2019","volume":"71","author":[{"family":"Bitsko","given":"Rebecca H."},{"family":"Claussen","given":"Angelika H."},{"family":"Lichstein","given":"Jesse"},{"family":"Black","given":"Lindsey I."},{"family":"Jones","given":"Sherry Everett"},{"family":"Danielson","given":"Melissa L."},{"family":"Hoenig","given":"Jennifer M."},{"family":"Jack","given":"Shane P. Davis"},{"family":"Brody","given":"Debra J."},{"family":"Gyawali","given":"Shiromani"}],"issued":{"date-parts":[["2022"]]},"citation-key":"bitskoMentalHealthSurveillance2022a"}}],"schema":"https://github.com/citation-style-language/schema/raw/master/csl-citation.json"} </w:instrText>
      </w:r>
      <w:r w:rsidR="00711A19" w:rsidRPr="00D76340">
        <w:rPr>
          <w:rFonts w:cs="Times New Roman"/>
        </w:rPr>
        <w:fldChar w:fldCharType="separate"/>
      </w:r>
      <w:r w:rsidR="00711A19" w:rsidRPr="00D76340">
        <w:rPr>
          <w:rFonts w:cs="Times New Roman"/>
          <w:vertAlign w:val="superscript"/>
        </w:rPr>
        <w:t>7</w:t>
      </w:r>
      <w:r w:rsidR="00711A19" w:rsidRPr="00D76340">
        <w:rPr>
          <w:rFonts w:cs="Times New Roman"/>
        </w:rPr>
        <w:fldChar w:fldCharType="end"/>
      </w:r>
      <w:r w:rsidR="00662BC4" w:rsidRPr="00D76340">
        <w:rPr>
          <w:rFonts w:cs="Times New Roman"/>
        </w:rPr>
        <w:t xml:space="preserve"> </w:t>
      </w:r>
      <w:r w:rsidR="00CB64EE" w:rsidRPr="00D76340">
        <w:rPr>
          <w:rFonts w:cs="Times New Roman"/>
        </w:rPr>
        <w:t xml:space="preserve">However, </w:t>
      </w:r>
      <w:r w:rsidR="00662BC4" w:rsidRPr="00D76340">
        <w:rPr>
          <w:rFonts w:cs="Times New Roman"/>
        </w:rPr>
        <w:t xml:space="preserve">COVID-19 appears to have accelerated the rise of </w:t>
      </w:r>
      <w:r w:rsidR="00711A19" w:rsidRPr="00D76340">
        <w:rPr>
          <w:rFonts w:cs="Times New Roman"/>
        </w:rPr>
        <w:t>mood and anxiety disorders</w:t>
      </w:r>
      <w:r w:rsidR="00662BC4" w:rsidRPr="00D76340">
        <w:rPr>
          <w:rFonts w:cs="Times New Roman"/>
        </w:rPr>
        <w:t xml:space="preserve"> in </w:t>
      </w:r>
      <w:r w:rsidR="00711A19" w:rsidRPr="00D76340">
        <w:rPr>
          <w:rFonts w:cs="Times New Roman"/>
        </w:rPr>
        <w:t>this population</w:t>
      </w:r>
      <w:r w:rsidR="00CB64EE" w:rsidRPr="00D76340">
        <w:rPr>
          <w:rFonts w:cs="Times New Roman"/>
        </w:rPr>
        <w:t>,</w:t>
      </w:r>
      <w:r w:rsidR="00662BC4" w:rsidRPr="00D76340">
        <w:rPr>
          <w:rFonts w:cs="Times New Roman"/>
        </w:rPr>
        <w:fldChar w:fldCharType="begin"/>
      </w:r>
      <w:r w:rsidR="00711A19" w:rsidRPr="00D76340">
        <w:rPr>
          <w:rFonts w:cs="Times New Roman"/>
        </w:rPr>
        <w:instrText xml:space="preserve"> ADDIN ZOTERO_ITEM CSL_CITATION {"citationID":"lxCIzjUd","properties":{"formattedCitation":"\\super 8\\nosupersub{}","plainCitation":"8","noteIndex":0},"citationItems":[{"id":3764,"uris":["http://zotero.org/users/5446295/items/8PJTRJZW"],"itemData":{"id":3764,"type":"article-journal","abstract":"Emerging research suggests that the global prevalence of child and adolescent mental illness has increased considerably during COVID-19. However, substantial variability in prevalence rates have been reported across the literature.To ascertain more precise estimates of the global prevalence of child and adolescent clinically elevated depression and anxiety symptoms during COVID-19; to compare these rates with prepandemic estimates; and to examine whether demographic (eg, age, sex), geographical (ie, global region), or methodological (eg, pandemic data collection time point, informant of mental illness, study quality) factors explained variation in prevalence rates across studies.Four databases were searched (PsycInfo, Embase, MEDLINE, and Cochrane Central Register of Controlled Trials) from January 1, 2020, to February 16, 2021, and unpublished studies were searched in PsycArXiv on March 8, 2021, for studies reporting on child/adolescent depression and anxiety symptoms. The search strategy combined search terms from 3 themes: (1) mental illness (including depression and anxiety), (2) COVID-19, and (3) children and adolescents (age ≤18 years). For PsycArXiv, the key terms COVID-19, mental health, and child/adolescent were used.Studies were included if they were published in English, had quantitative data, and reported prevalence of clinically elevated depression or anxiety in youth (age ≤18 years).A total of 3094 nonduplicate titles/abstracts were retrieved, and 136 full-text articles were reviewed. Data were analyzed from March 8 to 22, 2021.Prevalence rates of clinically elevated depression and anxiety symptoms in youth.Random-effect meta-analyses were conducted. Twenty-nine studies including 80 879 participants met full inclusion criteria. Pooled prevalence estimates of clinically elevated depression and anxiety symptoms were 25.2% (95% CI, 21.2%-29.7%) and 20.5% (95% CI, 17.2%-24.4%), respectively. Moderator analyses revealed that the prevalence of clinically elevated depression and anxiety symptoms were higher in studies collected later in the pandemic and in girls. Depression symptoms were higher in older children.Pooled estimates obtained in the first year of the COVID-19 pandemic suggest that 1 in 4 youth globally are experiencing clinically elevated depression symptoms, while 1 in 5 youth are experiencing clinically elevated anxiety symptoms. These pooled estimates, which increased over time, are double of prepandemic estimates. An influx of mental health care utilization is expected, and allocation of resources to address child and adolescent mental health concerns are essential.","container-title":"JAMA Pediatrics","DOI":"10.1001/jamapediatrics.2021.2482","ISSN":"2168-6203","issue":"11","journalAbbreviation":"JAMA Pediatrics","page":"1142-1150","source":"Silverchair","title":"Global Prevalence of Depressive and Anxiety Symptoms in Children and Adolescents During COVID-19: A Meta-analysis","title-short":"Global Prevalence of Depressive and Anxiety Symptoms in Children and Adolescents During COVID-19","volume":"175","author":[{"family":"Racine","given":"Nicole"},{"family":"McArthur","given":"Brae Anne"},{"family":"Cooke","given":"Jessica E."},{"family":"Eirich","given":"Rachel"},{"family":"Zhu","given":"Jenney"},{"family":"Madigan","given":"Sheri"}],"issued":{"date-parts":[["2021",11,1]]},"citation-key":"racineGlobalPrevalenceDepressive2021"}}],"schema":"https://github.com/citation-style-language/schema/raw/master/csl-citation.json"} </w:instrText>
      </w:r>
      <w:r w:rsidR="00662BC4" w:rsidRPr="00D76340">
        <w:rPr>
          <w:rFonts w:cs="Times New Roman"/>
        </w:rPr>
        <w:fldChar w:fldCharType="separate"/>
      </w:r>
      <w:r w:rsidR="00711A19" w:rsidRPr="00D76340">
        <w:rPr>
          <w:rFonts w:cs="Times New Roman"/>
          <w:vertAlign w:val="superscript"/>
        </w:rPr>
        <w:t>8</w:t>
      </w:r>
      <w:r w:rsidR="00662BC4" w:rsidRPr="00D76340">
        <w:rPr>
          <w:rFonts w:cs="Times New Roman"/>
        </w:rPr>
        <w:fldChar w:fldCharType="end"/>
      </w:r>
      <w:r w:rsidR="00662BC4" w:rsidRPr="00D76340">
        <w:rPr>
          <w:rFonts w:cs="Times New Roman"/>
        </w:rPr>
        <w:t xml:space="preserve"> </w:t>
      </w:r>
      <w:r w:rsidR="00CB64EE" w:rsidRPr="00D76340">
        <w:rPr>
          <w:rFonts w:cs="Times New Roman"/>
        </w:rPr>
        <w:t>and poor mental health</w:t>
      </w:r>
      <w:r w:rsidR="00C703EC" w:rsidRPr="00D76340">
        <w:rPr>
          <w:rFonts w:cs="Times New Roman"/>
        </w:rPr>
        <w:t xml:space="preserve"> </w:t>
      </w:r>
      <w:r w:rsidR="00662BC4" w:rsidRPr="00D76340">
        <w:rPr>
          <w:rFonts w:cs="Times New Roman"/>
        </w:rPr>
        <w:t>threaten</w:t>
      </w:r>
      <w:r w:rsidR="00CB64EE" w:rsidRPr="00D76340">
        <w:rPr>
          <w:rFonts w:cs="Times New Roman"/>
        </w:rPr>
        <w:t>s</w:t>
      </w:r>
      <w:r w:rsidR="00C703EC" w:rsidRPr="00D76340">
        <w:rPr>
          <w:rFonts w:cs="Times New Roman"/>
        </w:rPr>
        <w:t xml:space="preserve"> the</w:t>
      </w:r>
      <w:r w:rsidR="00CB64EE" w:rsidRPr="00D76340">
        <w:rPr>
          <w:rFonts w:cs="Times New Roman"/>
        </w:rPr>
        <w:t>ir</w:t>
      </w:r>
      <w:r w:rsidR="00C703EC" w:rsidRPr="00D76340">
        <w:rPr>
          <w:rFonts w:cs="Times New Roman"/>
        </w:rPr>
        <w:t xml:space="preserve"> long-term well-being and success. Lower social and emotional well-being compromises academic performance while in school,</w:t>
      </w:r>
      <w:r w:rsidR="00C703EC" w:rsidRPr="00D76340">
        <w:rPr>
          <w:rFonts w:cs="Times New Roman"/>
        </w:rPr>
        <w:fldChar w:fldCharType="begin"/>
      </w:r>
      <w:r w:rsidR="00711A19" w:rsidRPr="00D76340">
        <w:rPr>
          <w:rFonts w:cs="Times New Roman"/>
        </w:rPr>
        <w:instrText xml:space="preserve"> ADDIN ZOTERO_ITEM CSL_CITATION {"citationID":"kBNSBozK","properties":{"formattedCitation":"\\super 9\\nosupersub{}","plainCitation":"9","noteIndex":0},"citationItems":[{"id":3756,"uris":["http://zotero.org/users/5446295/items/L5T8FI99"],"itemData":{"id":3756,"type":"article-journal","abstract":"This manuscript summarizes areas of school mental health (SMH) research relevant to the interplay between students’ academic and social–emotional outcomes. After advancing a multidimensional conceptualization of academic success at the levels of individual students and schools, we summarize observational and intervention studies that connect students’ mental health to their academic achievement, with acknowledgment of the bidirectional relationship. Then, current and future directions of SMH research are discussed, including (a) the impact of SMH health initiatives and services on schools’ achievement, (b) the need to address the mental health of historically neglected subgroups of students, and (c) interdisciplinary collaborations necessary to support enhanced outcomes. Based on the findings from these literature integrations, we conclude with recommendations and implications for research and practice.","container-title":"School Mental Health","DOI":"10.1007/s12310-013-9116-2","ISSN":"1866-2633","issue":"2","journalAbbreviation":"School Mental Health","language":"en","page":"84-98","source":"Springer Link","title":"The Impact of School Mental Health on Student and School-Level Academic Outcomes: Current Status of the Research and Future Directions","title-short":"The Impact of School Mental Health on Student and School-Level Academic Outcomes","volume":"6","author":[{"family":"Suldo","given":"Shannon M."},{"family":"Gormley","given":"Matthew J."},{"family":"DuPaul","given":"George J."},{"family":"Anderson-Butcher","given":"Dawn"}],"issued":{"date-parts":[["2014",6,1]]},"citation-key":"suldoImpactSchoolMental2014"}}],"schema":"https://github.com/citation-style-language/schema/raw/master/csl-citation.json"} </w:instrText>
      </w:r>
      <w:r w:rsidR="00C703EC" w:rsidRPr="00D76340">
        <w:rPr>
          <w:rFonts w:cs="Times New Roman"/>
        </w:rPr>
        <w:fldChar w:fldCharType="separate"/>
      </w:r>
      <w:r w:rsidR="00711A19" w:rsidRPr="00D76340">
        <w:rPr>
          <w:rFonts w:cs="Times New Roman"/>
          <w:vertAlign w:val="superscript"/>
        </w:rPr>
        <w:t>9</w:t>
      </w:r>
      <w:r w:rsidR="00C703EC" w:rsidRPr="00D76340">
        <w:rPr>
          <w:rFonts w:cs="Times New Roman"/>
        </w:rPr>
        <w:fldChar w:fldCharType="end"/>
      </w:r>
      <w:r w:rsidR="00C703EC" w:rsidRPr="00D76340">
        <w:rPr>
          <w:rFonts w:cs="Times New Roman"/>
        </w:rPr>
        <w:t xml:space="preserve"> and</w:t>
      </w:r>
      <w:r w:rsidR="00662BC4" w:rsidRPr="00D76340">
        <w:rPr>
          <w:rFonts w:cs="Times New Roman"/>
        </w:rPr>
        <w:t xml:space="preserve"> in a meta-analysis of outcomes into adulthood,</w:t>
      </w:r>
      <w:r w:rsidR="00C703EC" w:rsidRPr="00D76340">
        <w:rPr>
          <w:rFonts w:cs="Times New Roman"/>
        </w:rPr>
        <w:t xml:space="preserve"> adolescent depression </w:t>
      </w:r>
      <w:r w:rsidR="00662BC4" w:rsidRPr="00D76340">
        <w:rPr>
          <w:rFonts w:cs="Times New Roman"/>
        </w:rPr>
        <w:t>has been shown to predict</w:t>
      </w:r>
      <w:r w:rsidR="00C703EC" w:rsidRPr="00D76340">
        <w:rPr>
          <w:rFonts w:cs="Times New Roman"/>
        </w:rPr>
        <w:t xml:space="preserve"> lower educational attainment, higher rates of unemployment, </w:t>
      </w:r>
      <w:r w:rsidR="00662BC4" w:rsidRPr="00D76340">
        <w:rPr>
          <w:rFonts w:cs="Times New Roman"/>
        </w:rPr>
        <w:t>and even earlier parenthood.</w:t>
      </w:r>
      <w:r w:rsidR="00662BC4" w:rsidRPr="00D76340">
        <w:rPr>
          <w:rFonts w:cs="Times New Roman"/>
        </w:rPr>
        <w:fldChar w:fldCharType="begin"/>
      </w:r>
      <w:r w:rsidR="00711A19" w:rsidRPr="00D76340">
        <w:rPr>
          <w:rFonts w:cs="Times New Roman"/>
        </w:rPr>
        <w:instrText xml:space="preserve"> ADDIN ZOTERO_ITEM CSL_CITATION {"citationID":"2vvZ0rCs","properties":{"formattedCitation":"\\super 10\\nosupersub{}","plainCitation":"10","noteIndex":0},"citationItems":[{"id":3761,"uris":["http://zotero.org/users/5446295/items/RPIQYQ4A"],"itemData":{"id":3761,"type":"article-journal","abstract":"Objective\nExperiencing depression in adolescence can disrupt important developmental processes, which can have longstanding effects on socioeconomic status and relationships. The objective of this article was to systematically review the evidence examining associations between adolescent depression and adult psychosocial outcomes.\nMethod\nFive databases (MEDLINE, Embase, PsycINFO, CINAHL, and ERIC) were searched for articles published from 1980 through March 2017. Eligible articles were peer reviewed, published in English, had prospective cohort study designs, and contrasted adult psychosocial outcomes in those with versus without adolescent depression. Outcomes with sufficient data were pooled using random-effects meta-analyses, with summary measures reported as odds ratios (ORs). A protocol for this review was registered on PROSPERO (CRD42017059662).\nResults\nOf the 4,988 references screened for inclusion, 31 articles comprising 136 analyses were included for review. Twenty-four cohorts were represented. Seventy-seven analyses across 10 outcomes were meta-analyzed, with remaining analyses summarized narratively. Meta-analyses suggested that adolescent depression was associated with outcomes including, but not limited to, failure to complete secondary school (OR 1.76, 95% CI 1.29–2.39), unemployment (OR 1.66, 95% CI 1.29–2.14), and pregnancy/parenthood (OR 1.38, 95% CI 1.06–1.81).\nConclusion\nThis review demonstrates that adolescent depression is associated with a myriad of adult psychosocial outcomes. Many are linked and can lead to the propagation of difficulties across the lifespan. These findings can have important implications for encouraging the provision of targeted mental health care early in development to improve life chances.","container-title":"Journal of the American Academy of Child &amp; Adolescent Psychiatry","DOI":"10.1016/j.jaac.2018.07.896","ISSN":"0890-8567","issue":"1","journalAbbreviation":"Journal of the American Academy of Child &amp; Adolescent Psychiatry","language":"en","page":"72-79","source":"ScienceDirect","title":"Systematic Review and Meta-Analysis: Adolescent Depression and Long-Term Psychosocial Outcomes","title-short":"Systematic Review and Meta-Analysis","volume":"58","author":[{"family":"Clayborne","given":"Zahra M."},{"family":"Varin","given":"Melanie"},{"family":"Colman","given":"Ian"}],"issued":{"date-parts":[["2019",1,1]]},"citation-key":"clayborneSystematicReviewMetaAnalysis2019"}}],"schema":"https://github.com/citation-style-language/schema/raw/master/csl-citation.json"} </w:instrText>
      </w:r>
      <w:r w:rsidR="00662BC4" w:rsidRPr="00D76340">
        <w:rPr>
          <w:rFonts w:cs="Times New Roman"/>
        </w:rPr>
        <w:fldChar w:fldCharType="separate"/>
      </w:r>
      <w:r w:rsidR="00711A19" w:rsidRPr="00D76340">
        <w:rPr>
          <w:rFonts w:cs="Times New Roman"/>
          <w:vertAlign w:val="superscript"/>
        </w:rPr>
        <w:t>10</w:t>
      </w:r>
      <w:r w:rsidR="00662BC4" w:rsidRPr="00D76340">
        <w:rPr>
          <w:rFonts w:cs="Times New Roman"/>
        </w:rPr>
        <w:fldChar w:fldCharType="end"/>
      </w:r>
    </w:p>
    <w:p w14:paraId="588D0368" w14:textId="244E0251" w:rsidR="007B22A3" w:rsidRDefault="007F48DB" w:rsidP="0082714D">
      <w:pPr>
        <w:spacing w:line="480" w:lineRule="auto"/>
        <w:ind w:firstLine="720"/>
        <w:jc w:val="both"/>
        <w:rPr>
          <w:rFonts w:cs="Times New Roman"/>
        </w:rPr>
      </w:pPr>
      <w:r w:rsidRPr="00D76340">
        <w:rPr>
          <w:rFonts w:cs="Times New Roman"/>
        </w:rPr>
        <w:t xml:space="preserve">Many social, economic, and political structures </w:t>
      </w:r>
      <w:r w:rsidR="00B952D4" w:rsidRPr="00D76340">
        <w:rPr>
          <w:rFonts w:cs="Times New Roman"/>
        </w:rPr>
        <w:t>influence</w:t>
      </w:r>
      <w:r w:rsidR="00711A19" w:rsidRPr="00D76340">
        <w:rPr>
          <w:rFonts w:cs="Times New Roman"/>
        </w:rPr>
        <w:t xml:space="preserve"> </w:t>
      </w:r>
      <w:r w:rsidR="00A212D4" w:rsidRPr="00D76340">
        <w:rPr>
          <w:rFonts w:cs="Times New Roman"/>
        </w:rPr>
        <w:t>the</w:t>
      </w:r>
      <w:r w:rsidRPr="00D76340">
        <w:rPr>
          <w:rFonts w:cs="Times New Roman"/>
        </w:rPr>
        <w:t xml:space="preserve"> mental health</w:t>
      </w:r>
      <w:r w:rsidR="00A212D4" w:rsidRPr="00D76340">
        <w:rPr>
          <w:rFonts w:cs="Times New Roman"/>
        </w:rPr>
        <w:t xml:space="preserve"> of children</w:t>
      </w:r>
      <w:r w:rsidR="00140329" w:rsidRPr="00D76340">
        <w:rPr>
          <w:rFonts w:cs="Times New Roman"/>
        </w:rPr>
        <w:t xml:space="preserve">, and policy interventions on these structures </w:t>
      </w:r>
      <w:r w:rsidR="00A212D4" w:rsidRPr="00D76340">
        <w:rPr>
          <w:rFonts w:cs="Times New Roman"/>
        </w:rPr>
        <w:t>stand to</w:t>
      </w:r>
      <w:r w:rsidR="00140329" w:rsidRPr="00D76340">
        <w:rPr>
          <w:rFonts w:cs="Times New Roman"/>
        </w:rPr>
        <w:t xml:space="preserve"> improve the well-being </w:t>
      </w:r>
      <w:r w:rsidR="00A212D4" w:rsidRPr="00D76340">
        <w:rPr>
          <w:rFonts w:cs="Times New Roman"/>
        </w:rPr>
        <w:t xml:space="preserve">of </w:t>
      </w:r>
      <w:r w:rsidR="00140329" w:rsidRPr="00D76340">
        <w:rPr>
          <w:rFonts w:cs="Times New Roman"/>
        </w:rPr>
        <w:t>this vulnerable population</w:t>
      </w:r>
      <w:r w:rsidR="00CB64EE" w:rsidRPr="00D76340">
        <w:rPr>
          <w:rFonts w:cs="Times New Roman"/>
        </w:rPr>
        <w:t>. For example,</w:t>
      </w:r>
      <w:r w:rsidR="0082714D" w:rsidRPr="00D76340">
        <w:rPr>
          <w:rFonts w:cs="Times New Roman"/>
        </w:rPr>
        <w:t xml:space="preserve"> a </w:t>
      </w:r>
      <w:r w:rsidR="00140329" w:rsidRPr="00D76340">
        <w:rPr>
          <w:rFonts w:cs="Times New Roman"/>
        </w:rPr>
        <w:t>household’s</w:t>
      </w:r>
      <w:r w:rsidR="0082714D" w:rsidRPr="00D76340">
        <w:rPr>
          <w:rFonts w:cs="Times New Roman"/>
        </w:rPr>
        <w:t xml:space="preserve"> economic </w:t>
      </w:r>
      <w:r w:rsidR="00B952D4" w:rsidRPr="00D76340">
        <w:rPr>
          <w:rFonts w:cs="Times New Roman"/>
        </w:rPr>
        <w:t>security</w:t>
      </w:r>
      <w:r w:rsidR="0082714D" w:rsidRPr="00D76340">
        <w:rPr>
          <w:rFonts w:cs="Times New Roman"/>
        </w:rPr>
        <w:t xml:space="preserve"> </w:t>
      </w:r>
      <w:r w:rsidR="00B952D4" w:rsidRPr="00D76340">
        <w:rPr>
          <w:rFonts w:cs="Times New Roman"/>
        </w:rPr>
        <w:t>shapes</w:t>
      </w:r>
      <w:r w:rsidR="0082714D" w:rsidRPr="00D76340">
        <w:rPr>
          <w:rFonts w:cs="Times New Roman"/>
        </w:rPr>
        <w:t xml:space="preserve"> </w:t>
      </w:r>
      <w:r w:rsidR="00140329" w:rsidRPr="00D76340">
        <w:rPr>
          <w:rFonts w:cs="Times New Roman"/>
        </w:rPr>
        <w:t xml:space="preserve">both </w:t>
      </w:r>
      <w:r w:rsidR="00DD3246" w:rsidRPr="00D76340">
        <w:rPr>
          <w:rFonts w:cs="Times New Roman"/>
        </w:rPr>
        <w:t xml:space="preserve">the </w:t>
      </w:r>
      <w:r w:rsidR="0082714D" w:rsidRPr="00D76340">
        <w:rPr>
          <w:rFonts w:cs="Times New Roman"/>
        </w:rPr>
        <w:t xml:space="preserve">rate of </w:t>
      </w:r>
      <w:r w:rsidR="00B952D4" w:rsidRPr="00D76340">
        <w:rPr>
          <w:rFonts w:cs="Times New Roman"/>
        </w:rPr>
        <w:t xml:space="preserve">mental health disorders </w:t>
      </w:r>
      <w:r w:rsidR="0082714D" w:rsidRPr="00D76340">
        <w:rPr>
          <w:rFonts w:cs="Times New Roman"/>
        </w:rPr>
        <w:t xml:space="preserve">and access to </w:t>
      </w:r>
      <w:r w:rsidR="00DD3246" w:rsidRPr="00D76340">
        <w:rPr>
          <w:rFonts w:cs="Times New Roman"/>
        </w:rPr>
        <w:t xml:space="preserve">mental health </w:t>
      </w:r>
      <w:r w:rsidR="0082714D" w:rsidRPr="00D76340">
        <w:rPr>
          <w:rFonts w:cs="Times New Roman"/>
        </w:rPr>
        <w:t>care</w:t>
      </w:r>
      <w:r w:rsidR="007B22A3">
        <w:rPr>
          <w:rFonts w:cs="Times New Roman"/>
        </w:rPr>
        <w:t xml:space="preserve"> for its members</w:t>
      </w:r>
      <w:r w:rsidR="0082714D" w:rsidRPr="00D76340">
        <w:rPr>
          <w:rFonts w:cs="Times New Roman"/>
        </w:rPr>
        <w:t xml:space="preserve">, with children in </w:t>
      </w:r>
      <w:r w:rsidR="00B952D4" w:rsidRPr="00D76340">
        <w:rPr>
          <w:rFonts w:cs="Times New Roman"/>
        </w:rPr>
        <w:t>lower-income</w:t>
      </w:r>
      <w:r w:rsidR="0082714D" w:rsidRPr="00D76340">
        <w:rPr>
          <w:rFonts w:cs="Times New Roman"/>
        </w:rPr>
        <w:t xml:space="preserve"> </w:t>
      </w:r>
      <w:r w:rsidR="00140329" w:rsidRPr="00D76340">
        <w:rPr>
          <w:rFonts w:cs="Times New Roman"/>
        </w:rPr>
        <w:t>households</w:t>
      </w:r>
      <w:r w:rsidR="0082714D" w:rsidRPr="00D76340">
        <w:rPr>
          <w:rFonts w:cs="Times New Roman"/>
        </w:rPr>
        <w:t xml:space="preserve"> </w:t>
      </w:r>
      <w:r w:rsidR="00DD3246" w:rsidRPr="00D76340">
        <w:rPr>
          <w:rFonts w:cs="Times New Roman"/>
        </w:rPr>
        <w:t xml:space="preserve">especially </w:t>
      </w:r>
      <w:r w:rsidR="0082714D" w:rsidRPr="00D76340">
        <w:rPr>
          <w:rFonts w:cs="Times New Roman"/>
        </w:rPr>
        <w:t xml:space="preserve">burdened by </w:t>
      </w:r>
      <w:r w:rsidR="00DD3246" w:rsidRPr="00D76340">
        <w:rPr>
          <w:rFonts w:cs="Times New Roman"/>
        </w:rPr>
        <w:t>poor</w:t>
      </w:r>
      <w:r w:rsidR="0082714D" w:rsidRPr="00D76340">
        <w:rPr>
          <w:rFonts w:cs="Times New Roman"/>
        </w:rPr>
        <w:t xml:space="preserve"> outcomes, even after adjusting for demographic characteristics.</w:t>
      </w:r>
      <w:r w:rsidR="0082714D" w:rsidRPr="00D76340">
        <w:rPr>
          <w:rFonts w:cs="Times New Roman"/>
        </w:rPr>
        <w:fldChar w:fldCharType="begin"/>
      </w:r>
      <w:r w:rsidR="0082714D" w:rsidRPr="00D76340">
        <w:rPr>
          <w:rFonts w:cs="Times New Roman"/>
        </w:rPr>
        <w:instrText xml:space="preserve"> ADDIN ZOTERO_ITEM CSL_CITATION {"citationID":"Fk6ipG81","properties":{"formattedCitation":"\\super 11\\nosupersub{}","plainCitation":"11","noteIndex":0},"citationItems":[{"id":3774,"uris":["http://zotero.org/users/5446295/items/GJBDG3MF"],"itemData":{"id":3774,"type":"article-journal","abstract":"This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schema":"https://github.com/citation-style-language/schema/raw/master/csl-citation.json"} </w:instrText>
      </w:r>
      <w:r w:rsidR="0082714D" w:rsidRPr="00D76340">
        <w:rPr>
          <w:rFonts w:cs="Times New Roman"/>
        </w:rPr>
        <w:fldChar w:fldCharType="separate"/>
      </w:r>
      <w:r w:rsidR="0082714D" w:rsidRPr="00D76340">
        <w:rPr>
          <w:rFonts w:cs="Times New Roman"/>
          <w:vertAlign w:val="superscript"/>
        </w:rPr>
        <w:t>11</w:t>
      </w:r>
      <w:r w:rsidR="0082714D" w:rsidRPr="00D76340">
        <w:rPr>
          <w:rFonts w:cs="Times New Roman"/>
        </w:rPr>
        <w:fldChar w:fldCharType="end"/>
      </w:r>
      <w:r w:rsidR="0082714D" w:rsidRPr="00D76340">
        <w:rPr>
          <w:rFonts w:cs="Times New Roman"/>
        </w:rPr>
        <w:t xml:space="preserve"> A family’s economic well-being is shaped, in turn, by government policies and programs. </w:t>
      </w:r>
      <w:r w:rsidR="00DD3246" w:rsidRPr="00D76340">
        <w:rPr>
          <w:rFonts w:cs="Times New Roman"/>
        </w:rPr>
        <w:t>Mental health practitioners have called for structural solutions to improve mental health</w:t>
      </w:r>
      <w:r w:rsidR="007B22A3">
        <w:rPr>
          <w:rFonts w:cs="Times New Roman"/>
        </w:rPr>
        <w:t>.</w:t>
      </w:r>
      <w:r w:rsidR="00DD3246" w:rsidRPr="00D76340">
        <w:rPr>
          <w:rFonts w:cs="Times New Roman"/>
        </w:rPr>
        <w:fldChar w:fldCharType="begin"/>
      </w:r>
      <w:r w:rsidR="00DD3246" w:rsidRPr="00D76340">
        <w:rPr>
          <w:rFonts w:cs="Times New Roman"/>
        </w:rPr>
        <w:instrText xml:space="preserve"> ADDIN ZOTERO_ITEM CSL_CITATION {"citationID":"H3JX9pRf","properties":{"formattedCitation":"\\super 12\\nosupersub{}","plainCitation":"12","noteIndex":0},"citationItems":[{"id":3758,"uris":["http://zotero.org/users/5446295/items/T97XWIPE"],"itemData":{"id":3758,"type":"article-journal","container-title":"World Psychiatry","DOI":"10.1002/wps.20580","ISSN":"1723-8617","issue":"1","journalAbbreviation":"World Psychiatry","note":"PMID: 30600627\nPMCID: PMC6313244","page":"111-112","source":"PubMed Central","title":"Prevention of depression will only succeed when it is structurally embedded and targets big determinants","volume":"18","author":[{"family":"Ormel","given":"Johan"},{"family":"Cuijpers","given":"Pim"},{"family":"Jorm","given":"Anthony F."},{"family":"Schoevers","given":"Robert"}],"issued":{"date-parts":[["2019",2]]},"citation-key":"ormelPreventionDepressionWill2019"}}],"schema":"https://github.com/citation-style-language/schema/raw/master/csl-citation.json"} </w:instrText>
      </w:r>
      <w:r w:rsidR="00DD3246" w:rsidRPr="00D76340">
        <w:rPr>
          <w:rFonts w:cs="Times New Roman"/>
        </w:rPr>
        <w:fldChar w:fldCharType="separate"/>
      </w:r>
      <w:r w:rsidR="00DD3246" w:rsidRPr="00D76340">
        <w:rPr>
          <w:rFonts w:cs="Times New Roman"/>
          <w:vertAlign w:val="superscript"/>
        </w:rPr>
        <w:t>12</w:t>
      </w:r>
      <w:r w:rsidR="00DD3246" w:rsidRPr="00D76340">
        <w:rPr>
          <w:rFonts w:cs="Times New Roman"/>
        </w:rPr>
        <w:fldChar w:fldCharType="end"/>
      </w:r>
    </w:p>
    <w:p w14:paraId="4E7C400B" w14:textId="10B654A7" w:rsidR="00B952D4" w:rsidRPr="00D76340" w:rsidRDefault="007B22A3" w:rsidP="007B22A3">
      <w:pPr>
        <w:spacing w:line="480" w:lineRule="auto"/>
        <w:ind w:firstLine="720"/>
        <w:jc w:val="both"/>
        <w:rPr>
          <w:rFonts w:cs="Times New Roman"/>
        </w:rPr>
      </w:pPr>
      <w:r>
        <w:rPr>
          <w:rFonts w:cs="Times New Roman"/>
        </w:rPr>
        <w:t>R</w:t>
      </w:r>
      <w:r w:rsidR="00140329" w:rsidRPr="00D76340">
        <w:rPr>
          <w:rFonts w:cs="Times New Roman"/>
        </w:rPr>
        <w:t xml:space="preserve">aising the minimum wage </w:t>
      </w:r>
      <w:r w:rsidR="00DD3246" w:rsidRPr="00D76340">
        <w:rPr>
          <w:rFonts w:cs="Times New Roman"/>
        </w:rPr>
        <w:t>is one structural reform with</w:t>
      </w:r>
      <w:r w:rsidR="00140329" w:rsidRPr="00D76340">
        <w:rPr>
          <w:rFonts w:cs="Times New Roman"/>
        </w:rPr>
        <w:t xml:space="preserve"> the potential to improve a family’s mental health. There are </w:t>
      </w:r>
      <w:r w:rsidR="002A1ED6" w:rsidRPr="00D76340">
        <w:rPr>
          <w:rFonts w:cs="Times New Roman"/>
        </w:rPr>
        <w:t>several</w:t>
      </w:r>
      <w:r w:rsidR="00140329" w:rsidRPr="00D76340">
        <w:rPr>
          <w:rFonts w:cs="Times New Roman"/>
        </w:rPr>
        <w:t xml:space="preserve"> possible pathways. One</w:t>
      </w:r>
      <w:r w:rsidR="00B952D4" w:rsidRPr="00D76340">
        <w:rPr>
          <w:rFonts w:cs="Times New Roman"/>
        </w:rPr>
        <w:t xml:space="preserve"> i</w:t>
      </w:r>
      <w:r w:rsidR="00140329" w:rsidRPr="00D76340">
        <w:rPr>
          <w:rFonts w:cs="Times New Roman"/>
        </w:rPr>
        <w:t xml:space="preserve">s </w:t>
      </w:r>
      <w:r w:rsidR="002A1ED6" w:rsidRPr="00D76340">
        <w:rPr>
          <w:rFonts w:cs="Times New Roman"/>
        </w:rPr>
        <w:t>reduced</w:t>
      </w:r>
      <w:r w:rsidR="00B952D4" w:rsidRPr="00D76340">
        <w:rPr>
          <w:rFonts w:cs="Times New Roman"/>
        </w:rPr>
        <w:t xml:space="preserve"> financial stress</w:t>
      </w:r>
      <w:r w:rsidR="00A212D4" w:rsidRPr="00D76340">
        <w:rPr>
          <w:rFonts w:cs="Times New Roman"/>
        </w:rPr>
        <w:t xml:space="preserve">, as </w:t>
      </w:r>
      <w:r w:rsidR="002A1ED6" w:rsidRPr="00D76340">
        <w:rPr>
          <w:rFonts w:cs="Times New Roman"/>
        </w:rPr>
        <w:t>economic stress</w:t>
      </w:r>
      <w:r w:rsidR="00140329" w:rsidRPr="00D76340">
        <w:rPr>
          <w:rFonts w:cs="Times New Roman"/>
        </w:rPr>
        <w:t xml:space="preserve"> </w:t>
      </w:r>
      <w:r w:rsidR="002A1ED6" w:rsidRPr="00D76340">
        <w:rPr>
          <w:rFonts w:cs="Times New Roman"/>
        </w:rPr>
        <w:t xml:space="preserve">in a household </w:t>
      </w:r>
      <w:r w:rsidR="00DD3246" w:rsidRPr="00D76340">
        <w:rPr>
          <w:rFonts w:cs="Times New Roman"/>
        </w:rPr>
        <w:t>is associated with</w:t>
      </w:r>
      <w:r w:rsidR="00140329" w:rsidRPr="00D76340">
        <w:rPr>
          <w:rFonts w:cs="Times New Roman"/>
        </w:rPr>
        <w:t xml:space="preserve"> worse behavioral problems in children.</w:t>
      </w:r>
      <w:r w:rsidR="00B952D4" w:rsidRPr="00D76340">
        <w:rPr>
          <w:rFonts w:cs="Times New Roman"/>
        </w:rPr>
        <w:fldChar w:fldCharType="begin"/>
      </w:r>
      <w:r w:rsidR="00140329" w:rsidRPr="00D76340">
        <w:rPr>
          <w:rFonts w:cs="Times New Roman"/>
        </w:rPr>
        <w:instrText xml:space="preserve"> ADDIN ZOTERO_ITEM CSL_CITATION {"citationID":"SgZRMHy9","properties":{"formattedCitation":"\\super 13,14\\nosupersub{}","plainCitation":"13,14","noteIndex":0},"citationItems":[{"id":3778,"uris":["http://zotero.org/users/5446295/items/VRIMYJI3"],"itemData":{"id":3778,"type":"article-journal","abstract":"Background\nThere is widespread concern that the present economic crisis, particularly its effect on unemployment, will adversely affect population health. We investigated how economic changes have affected mortality rates over the past three decades and identified how governments might reduce adverse effects.\nMethods\nWe used multivariate regression, correcting for population ageing, past mortality and employment trends, and country-specific differences in health-care infrastructure, to examine associations between changes in employment and mortality, and how associations were modified by different types of government expenditure for 26 European Union (EU) countries between 1970 and 2007.\nFindings\nWe noted that every 1% increase in unemployment was associated with a 0·79% rise in suicides at ages younger than 65 years (95% CI 0·16–1·42; 60–550 potential excess deaths [mean 310] EU-wide), although the effect size was non-significant at all ages (0·49%, −0·04 to 1·02), and with a 0·79% rise in homicides (95% CI 0·06–1·52; 3–80 potential excess deaths [mean 40] EU-wide). By contrast, road-traffic deaths decreased by 1·39% (0·64–2·14; 290–980 potential fewer deaths [mean 630] EU-wide). A more than 3% increase in unemployment had a greater effect on suicides at ages younger than 65 years (4·45%, 95% CI 0·65–8·24; 250–3220 potential excess deaths [mean 1740] EU-wide) and deaths from alcohol abuse (28·0%, 12·30–43·70; 1550–5490 potential excess deaths [mean 3500] EU-wide). We noted no consistent evidence across the EU that all-cause mortality rates increased when unemployment rose, although populations varied substantially in how sensitive mortality was to economic crises, depending partly on differences in social protection. Every US$10 per person increased investment in active labour market programmes reduced the effect of unemployment on suicides by 0·038% (95% CI −0·004 to −0·071).\nInterpretation\nRises in unemployment are associated with significant short-term increases in premature deaths from intentional violence, while reducing traffic fatalities. Active labour market programmes that keep and reintegrate workers in jobs could mitigate some adverse health effects of economic downturns.\nFunding\nCentre for Crime and Justice Studies, King's College, London, UK; and Wates Foundation (UK).","container-title":"The Lancet","DOI":"10.1016/S0140-6736(09)61124-7","ISSN":"0140-6736","issue":"9686","journalAbbreviation":"The Lancet","language":"en","page":"315-323","source":"ScienceDirect","title":"The public health effect of economic crises and alternative policy responses in Europe: an empirical analysis","title-short":"The public health effect of economic crises and alternative policy responses in Europe","volume":"374","author":[{"family":"Stuckler","given":"David"},{"family":"Basu","given":"Sanjay"},{"family":"Suhrcke","given":"Marc"},{"family":"Coutts","given":"Adam"},{"family":"McKee","given":"Martin"}],"issued":{"date-parts":[["2009",7,25]]},"citation-key":"stucklerPublicHealthEffect2009"}},{"id":3781,"uris":["http://zotero.org/users/5446295/items/SAJK768V"],"itemData":{"id":3781,"type":"article-journal","abstract":"This study examines the relationship between two measures of economic stress—welfare status and perceived financial stress—and children's emotional and behavioral problems. Longitudinal data from the National Survey of Children are used to test two hypotheses. The first hypothesis predicts that economic stress will adversely affect children's emotional and behavioral problems. Levels of depressive symptoms, impulsive behavior, and antisocial behavior are found to be higher among children who experienced either form of economic stress at least once between 1976 and 1981 compared to those who were unaffected by economic stress. The second hypothesis predicts that the presence of economic stress at both data collection points will have a more adverse impact than economic stress experienced at only one time point. Results provide only limited support for the persistence hypothesis. Research is needed to identify the specific processes by which economic stress affects children's well-being.","container-title":"Journal of Marriage and Family","DOI":"10.2307/353006","ISSN":"0022-2445","issue":"4","note":"publisher: [Wiley, National Council on Family Relations]","page":"1031-1041","source":"JSTOR","title":"Economic Stress in the Family and Children's Emotional and Behavioral Problems","volume":"53","author":[{"family":"Takeuchi","given":"David T."},{"family":"Williams","given":"David R."},{"family":"Adair","given":"Russell K."}],"issued":{"date-parts":[["1991"]]},"citation-key":"takeuchiEconomicStressFamily1991"}}],"schema":"https://github.com/citation-style-language/schema/raw/master/csl-citation.json"} </w:instrText>
      </w:r>
      <w:r w:rsidR="00B952D4" w:rsidRPr="00D76340">
        <w:rPr>
          <w:rFonts w:cs="Times New Roman"/>
        </w:rPr>
        <w:fldChar w:fldCharType="separate"/>
      </w:r>
      <w:r w:rsidR="00140329" w:rsidRPr="00D76340">
        <w:rPr>
          <w:rFonts w:cs="Times New Roman"/>
          <w:vertAlign w:val="superscript"/>
        </w:rPr>
        <w:t>13,14</w:t>
      </w:r>
      <w:r w:rsidR="00B952D4" w:rsidRPr="00D76340">
        <w:rPr>
          <w:rFonts w:cs="Times New Roman"/>
        </w:rPr>
        <w:fldChar w:fldCharType="end"/>
      </w:r>
      <w:r w:rsidR="00B952D4" w:rsidRPr="00D76340">
        <w:rPr>
          <w:rFonts w:cs="Times New Roman"/>
        </w:rPr>
        <w:t xml:space="preserve"> </w:t>
      </w:r>
      <w:r w:rsidR="00140329" w:rsidRPr="00D76340">
        <w:rPr>
          <w:rFonts w:cs="Times New Roman"/>
        </w:rPr>
        <w:t xml:space="preserve">Another is </w:t>
      </w:r>
      <w:r w:rsidR="00B952D4" w:rsidRPr="00D76340">
        <w:rPr>
          <w:rFonts w:cs="Times New Roman"/>
        </w:rPr>
        <w:t>more resources to spend on health care</w:t>
      </w:r>
      <w:r w:rsidR="00DD3246" w:rsidRPr="00D76340">
        <w:rPr>
          <w:rFonts w:cs="Times New Roman"/>
        </w:rPr>
        <w:t xml:space="preserve">; children in </w:t>
      </w:r>
      <w:r w:rsidR="002A1ED6" w:rsidRPr="00D76340">
        <w:rPr>
          <w:rFonts w:cs="Times New Roman"/>
        </w:rPr>
        <w:t xml:space="preserve">higher-income families have better access to mental health care, and </w:t>
      </w:r>
      <w:r w:rsidR="00DD3246" w:rsidRPr="00D76340">
        <w:rPr>
          <w:rFonts w:cs="Times New Roman"/>
        </w:rPr>
        <w:t>increases in the</w:t>
      </w:r>
      <w:r w:rsidR="002A1ED6" w:rsidRPr="00D76340">
        <w:rPr>
          <w:rFonts w:cs="Times New Roman"/>
        </w:rPr>
        <w:t xml:space="preserve"> minimum wage ha</w:t>
      </w:r>
      <w:r w:rsidR="00DD3246" w:rsidRPr="00D76340">
        <w:rPr>
          <w:rFonts w:cs="Times New Roman"/>
        </w:rPr>
        <w:t>ve</w:t>
      </w:r>
      <w:r w:rsidR="002A1ED6" w:rsidRPr="00D76340">
        <w:rPr>
          <w:rFonts w:cs="Times New Roman"/>
        </w:rPr>
        <w:t xml:space="preserve"> been shown to reduce unmet medical needs</w:t>
      </w:r>
      <w:r w:rsidR="00DD3246" w:rsidRPr="00D76340">
        <w:rPr>
          <w:rFonts w:cs="Times New Roman"/>
        </w:rPr>
        <w:t>, especially among more vulnerable populations</w:t>
      </w:r>
      <w:r w:rsidR="00140329" w:rsidRPr="00D76340">
        <w:rPr>
          <w:rFonts w:cs="Times New Roman"/>
        </w:rPr>
        <w:t>.</w:t>
      </w:r>
      <w:r w:rsidR="00140329" w:rsidRPr="00D76340">
        <w:rPr>
          <w:rFonts w:cs="Times New Roman"/>
        </w:rPr>
        <w:fldChar w:fldCharType="begin"/>
      </w:r>
      <w:r w:rsidR="002A1ED6" w:rsidRPr="00D76340">
        <w:rPr>
          <w:rFonts w:cs="Times New Roman"/>
        </w:rPr>
        <w:instrText xml:space="preserve"> ADDIN ZOTERO_ITEM CSL_CITATION {"citationID":"solgK4E1","properties":{"formattedCitation":"\\super 11,15\\nosupersub{}","plainCitation":"11,15","noteIndex":0},"citationItems":[{"id":3774,"uris":["http://zotero.org/users/5446295/items/GJBDG3MF"],"itemData":{"id":3774,"type":"article-journal","abstract":"This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id":3785,"uris":["http://zotero.org/users/5446295/items/6JIW6LV8"],"itemData":{"id":3785,"type":"article-journal","abstract":"Objectives. We examined whether minimum wage policy is associated with access to medical care among low-skilled workers in the United States.\n\nMethods. We used multilevel logistic regression to analyze a data set consisting of individual-level indicators of uninsurance and unmet medical need from the Behavioral Risk Factor Surveillance System and state-level ecological controls from the US Census, Bureau of Labor Statistics, and several other sources in all 50 states and the District of Columbia between 1996 and 2007.\n\nResults. Higher state-level minimum wage rates were associated with significantly reduced odds of reporting unmet medical need after control for the ecological covariates, substate region fixed effects, and individual demographic and health characteristics (odds ratio = 0.853; 95% confidence interval = 0.750, 0.971). Minimum wage rates were not significantly associated with being uninsured.\n\nConclusions. Higher minimum wages may be associated with a reduced likelihood of experiencing unmet medical need among low-skilled workers, and do not appear to be associated with uninsurance. These findings appear to refute the suggestion that minimum wage laws have detrimental effects on access to health care, as opponents of the policies have suggested.","container-title":"American Journal of Public Health","DOI":"10.2105/AJPH.2006.108928","ISSN":"0090-0036","issue":"2","journalAbbreviation":"Am J Public Health","note":"publisher: American Public Health Association","page":"359-367","source":"ajph.aphapublications.org (Atypon)","title":"Associations Between Minimum Wage Policy and Access to Health Care: Evidence From the Behavioral Risk Factor Surveillance System, 1996–2007","title-short":"Associations Between Minimum Wage Policy and Access to Health Care","volume":"101","author":[{"family":"McCarrier","given":"Kelly P."},{"family":"Zimmerman","given":"Frederick J."},{"family":"Ralston","given":"James D."},{"family":"Martin","given":"Diane P."}],"issued":{"date-parts":[["2011",2]]},"citation-key":"mccarrierAssociationsMinimumWage2011"}}],"schema":"https://github.com/citation-style-language/schema/raw/master/csl-citation.json"} </w:instrText>
      </w:r>
      <w:r w:rsidR="00140329" w:rsidRPr="00D76340">
        <w:rPr>
          <w:rFonts w:cs="Times New Roman"/>
        </w:rPr>
        <w:fldChar w:fldCharType="separate"/>
      </w:r>
      <w:r w:rsidR="002A1ED6" w:rsidRPr="00D76340">
        <w:rPr>
          <w:rFonts w:cs="Times New Roman"/>
          <w:vertAlign w:val="superscript"/>
        </w:rPr>
        <w:t>11,15</w:t>
      </w:r>
      <w:r w:rsidR="00140329" w:rsidRPr="00D76340">
        <w:rPr>
          <w:rFonts w:cs="Times New Roman"/>
        </w:rPr>
        <w:fldChar w:fldCharType="end"/>
      </w:r>
      <w:r w:rsidR="00140329" w:rsidRPr="00D76340">
        <w:rPr>
          <w:rFonts w:cs="Times New Roman"/>
        </w:rPr>
        <w:t xml:space="preserve"> </w:t>
      </w:r>
      <w:r w:rsidR="002A1ED6" w:rsidRPr="00D76340">
        <w:rPr>
          <w:rFonts w:cs="Times New Roman"/>
        </w:rPr>
        <w:t>Lastly, a</w:t>
      </w:r>
      <w:r w:rsidR="00140329" w:rsidRPr="00D76340">
        <w:rPr>
          <w:rFonts w:cs="Times New Roman"/>
        </w:rPr>
        <w:t xml:space="preserve"> higher wage may grant households</w:t>
      </w:r>
      <w:r w:rsidR="00B952D4" w:rsidRPr="00D76340">
        <w:rPr>
          <w:rFonts w:cs="Times New Roman"/>
        </w:rPr>
        <w:t xml:space="preserve"> </w:t>
      </w:r>
      <w:r w:rsidR="00B952D4" w:rsidRPr="00D76340">
        <w:rPr>
          <w:rFonts w:cs="Times New Roman"/>
        </w:rPr>
        <w:lastRenderedPageBreak/>
        <w:t xml:space="preserve">access to </w:t>
      </w:r>
      <w:r w:rsidR="002A1ED6" w:rsidRPr="00D76340">
        <w:rPr>
          <w:rFonts w:cs="Times New Roman"/>
        </w:rPr>
        <w:t xml:space="preserve">other </w:t>
      </w:r>
      <w:r w:rsidR="002908F8" w:rsidRPr="00D76340">
        <w:rPr>
          <w:rFonts w:cs="Times New Roman"/>
        </w:rPr>
        <w:t>resources</w:t>
      </w:r>
      <w:r w:rsidR="00B952D4" w:rsidRPr="00D76340">
        <w:rPr>
          <w:rFonts w:cs="Times New Roman"/>
        </w:rPr>
        <w:t xml:space="preserve"> that </w:t>
      </w:r>
      <w:r w:rsidR="002A1ED6" w:rsidRPr="00D76340">
        <w:rPr>
          <w:rFonts w:cs="Times New Roman"/>
        </w:rPr>
        <w:t>could</w:t>
      </w:r>
      <w:r w:rsidR="00B952D4" w:rsidRPr="00D76340">
        <w:rPr>
          <w:rFonts w:cs="Times New Roman"/>
        </w:rPr>
        <w:t xml:space="preserve"> improve </w:t>
      </w:r>
      <w:r w:rsidR="002A1ED6" w:rsidRPr="00D76340">
        <w:rPr>
          <w:rFonts w:cs="Times New Roman"/>
        </w:rPr>
        <w:t xml:space="preserve">mental </w:t>
      </w:r>
      <w:r w:rsidR="00B952D4" w:rsidRPr="00D76340">
        <w:rPr>
          <w:rFonts w:cs="Times New Roman"/>
        </w:rPr>
        <w:t xml:space="preserve">health, such as higher-quality housing, </w:t>
      </w:r>
      <w:r w:rsidR="002A1ED6" w:rsidRPr="00D76340">
        <w:rPr>
          <w:rFonts w:cs="Times New Roman"/>
        </w:rPr>
        <w:t xml:space="preserve">time for exercise and </w:t>
      </w:r>
      <w:r w:rsidR="00B952D4" w:rsidRPr="00D76340">
        <w:rPr>
          <w:rFonts w:cs="Times New Roman"/>
        </w:rPr>
        <w:t xml:space="preserve">leisure, </w:t>
      </w:r>
      <w:r w:rsidR="002A1ED6" w:rsidRPr="00D76340">
        <w:rPr>
          <w:rFonts w:cs="Times New Roman"/>
        </w:rPr>
        <w:t xml:space="preserve">and </w:t>
      </w:r>
      <w:r w:rsidR="00DD3246" w:rsidRPr="00D76340">
        <w:rPr>
          <w:rFonts w:cs="Times New Roman"/>
        </w:rPr>
        <w:t xml:space="preserve">opportunities for higher </w:t>
      </w:r>
      <w:r w:rsidR="00B952D4" w:rsidRPr="00D76340">
        <w:rPr>
          <w:rFonts w:cs="Times New Roman"/>
        </w:rPr>
        <w:t xml:space="preserve">educational </w:t>
      </w:r>
      <w:r w:rsidR="002A1ED6" w:rsidRPr="00D76340">
        <w:rPr>
          <w:rFonts w:cs="Times New Roman"/>
        </w:rPr>
        <w:t>attainment</w:t>
      </w:r>
      <w:r w:rsidR="00B952D4" w:rsidRPr="00D76340">
        <w:rPr>
          <w:rFonts w:cs="Times New Roman"/>
        </w:rPr>
        <w:t>.</w:t>
      </w:r>
      <w:r w:rsidR="002A1ED6" w:rsidRPr="00D76340">
        <w:rPr>
          <w:rFonts w:cs="Times New Roman"/>
        </w:rPr>
        <w:fldChar w:fldCharType="begin"/>
      </w:r>
      <w:r w:rsidR="002A1ED6" w:rsidRPr="00D76340">
        <w:rPr>
          <w:rFonts w:cs="Times New Roman"/>
        </w:rPr>
        <w:instrText xml:space="preserve"> ADDIN ZOTERO_ITEM CSL_CITATION {"citationID":"7KQEpOPu","properties":{"formattedCitation":"\\super 16,17\\nosupersub{}","plainCitation":"16,17","noteIndex":0},"citationItems":[{"id":3783,"uris":["http://zotero.org/users/5446295/items/M46QHNUQ"],"itemData":{"id":3783,"type":"article-journal","abstract":"One key component in the health capital investment model in (Grossman, M. Journal of Political Economy, 80: 223–255, 1972) is time spent on improving health. However, few empirical studies have examined how time spent on health investment is determined. In this paper, we fill this void in the literature by investigating how people allocate their time for different types of health-related activities in response to economic variables. Using the American Time Use Survey, we distinguish health-enhancing and health-deteriorating leisure activities, with the rationale that these activities may respond differently to socioeconomic environment. We find that health-enhancing and health-deteriorating time respond to economic variables in opposite directions. Specifically, a higher wage rate leads to a reduction in health-deteriorating activities but an increase in health-enhancing activities, particularly those with an investment nature. This finding holds for most subsamples we examine. Our result implies substantial substitution within nonmarket time.","container-title":"Review of Economics of the Household","DOI":"10.1007/s11150-017-9378-9","ISSN":"1573-7152","issue":"4","journalAbbreviation":"Rev Econ Household","language":"en","page":"1215-1248","source":"Springer Link","title":"Health capital investment and time spent on health-related activities","volume":"15","author":[{"family":"Du","given":"Juan"},{"family":"Yagihashi","given":"Takeshi"}],"issued":{"date-parts":[["2017",12,1]]},"citation-key":"duHealthCapitalInvestment2017"}},{"id":3787,"uris":["http://zotero.org/users/5446295/items/CPRNF33P"],"itemData":{"id":3787,"type":"article-journal","abstract":"Teen employment effects are central to the minimum wage debate, but important indirect effects on education receive relatively little attention. I investigate the effect of changes in the minimum wage on high school dropout decisions. Consistently across two sources of variation and three individual-level datasets, I find that increases in the minimum wage substantially reduce the dropout likelihood of low-socioeconomic status (SES) teens but have no effect on other teens.","container-title":"Labour Economics","DOI":"10.1016/j.labeco.2021.102061","ISSN":"0927-5371","journalAbbreviation":"Labour Economics","language":"en","page":"102061","source":"ScienceDirect","title":"The minimum wage and teen educational attainment","volume":"73","author":[{"family":"Smith","given":"Alexander A."}],"issued":{"date-parts":[["2021",12,1]]},"citation-key":"smithMinimumWageTeen2021"}}],"schema":"https://github.com/citation-style-language/schema/raw/master/csl-citation.json"} </w:instrText>
      </w:r>
      <w:r w:rsidR="002A1ED6" w:rsidRPr="00D76340">
        <w:rPr>
          <w:rFonts w:cs="Times New Roman"/>
        </w:rPr>
        <w:fldChar w:fldCharType="separate"/>
      </w:r>
      <w:r w:rsidR="002A1ED6" w:rsidRPr="00D76340">
        <w:rPr>
          <w:rFonts w:cs="Times New Roman"/>
          <w:vertAlign w:val="superscript"/>
        </w:rPr>
        <w:t>16,17</w:t>
      </w:r>
      <w:r w:rsidR="002A1ED6" w:rsidRPr="00D76340">
        <w:rPr>
          <w:rFonts w:cs="Times New Roman"/>
        </w:rPr>
        <w:fldChar w:fldCharType="end"/>
      </w:r>
    </w:p>
    <w:p w14:paraId="13A78C99" w14:textId="281B4BED" w:rsidR="00B952D4" w:rsidRPr="00D76340" w:rsidRDefault="00E04EEF" w:rsidP="00B952D4">
      <w:pPr>
        <w:spacing w:line="480" w:lineRule="auto"/>
        <w:ind w:firstLine="720"/>
        <w:jc w:val="both"/>
        <w:rPr>
          <w:rFonts w:cs="Times New Roman"/>
        </w:rPr>
      </w:pPr>
      <w:r w:rsidRPr="00D76340">
        <w:rPr>
          <w:rFonts w:cs="Times New Roman"/>
        </w:rPr>
        <w:t>The vast majority</w:t>
      </w:r>
      <w:r w:rsidR="00A212D4" w:rsidRPr="00D76340">
        <w:rPr>
          <w:rFonts w:cs="Times New Roman"/>
        </w:rPr>
        <w:t xml:space="preserve"> of </w:t>
      </w:r>
      <w:r w:rsidRPr="00D76340">
        <w:rPr>
          <w:rFonts w:cs="Times New Roman"/>
        </w:rPr>
        <w:t>existing research</w:t>
      </w:r>
      <w:r w:rsidR="00A212D4" w:rsidRPr="00D76340">
        <w:rPr>
          <w:rFonts w:cs="Times New Roman"/>
        </w:rPr>
        <w:t xml:space="preserve"> on the minimum wage and health</w:t>
      </w:r>
      <w:r w:rsidRPr="00D76340">
        <w:rPr>
          <w:rFonts w:cs="Times New Roman"/>
        </w:rPr>
        <w:t xml:space="preserve"> outcomes</w:t>
      </w:r>
      <w:r w:rsidR="00A212D4" w:rsidRPr="00D76340">
        <w:rPr>
          <w:rFonts w:cs="Times New Roman"/>
        </w:rPr>
        <w:t xml:space="preserve"> has </w:t>
      </w:r>
      <w:r w:rsidRPr="00D76340">
        <w:rPr>
          <w:rFonts w:cs="Times New Roman"/>
        </w:rPr>
        <w:t>examined</w:t>
      </w:r>
      <w:r w:rsidR="00A212D4" w:rsidRPr="00D76340">
        <w:rPr>
          <w:rFonts w:cs="Times New Roman"/>
        </w:rPr>
        <w:t xml:space="preserve"> adults, with mixed results </w:t>
      </w:r>
      <w:r w:rsidR="00045176" w:rsidRPr="00D76340">
        <w:rPr>
          <w:rFonts w:cs="Times New Roman"/>
        </w:rPr>
        <w:t xml:space="preserve">for </w:t>
      </w:r>
      <w:r w:rsidR="00A212D4" w:rsidRPr="00D76340">
        <w:rPr>
          <w:rFonts w:cs="Times New Roman"/>
        </w:rPr>
        <w:t>mental health</w:t>
      </w:r>
      <w:r w:rsidR="00B952D4" w:rsidRPr="00D76340">
        <w:rPr>
          <w:rFonts w:cs="Times New Roman"/>
        </w:rPr>
        <w:t>.</w:t>
      </w:r>
      <w:r w:rsidR="00B952D4" w:rsidRPr="00D76340">
        <w:rPr>
          <w:rFonts w:cs="Times New Roman"/>
        </w:rPr>
        <w:fldChar w:fldCharType="begin"/>
      </w:r>
      <w:r w:rsidR="002A1ED6" w:rsidRPr="00D76340">
        <w:rPr>
          <w:rFonts w:cs="Times New Roman"/>
        </w:rPr>
        <w:instrText xml:space="preserve"> ADDIN ZOTERO_ITEM CSL_CITATION {"citationID":"2ne2BFrM","properties":{"formattedCitation":"\\super 18\\nosupersub{}","plainCitation":"18","noteIndex":0},"citationItems":[{"id":3704,"uris":["http://zotero.org/users/5446295/items/9TXS8CET"],"itemData":{"id":3704,"type":"article-journal","abstract":"We evaluate evidence for the effectiveness of raising minimum wages on various measures of public health within the US, Canada, the UK, and Europe. We search four scientific websites from the inception of the research through May 20, 2018. We find great variety (20+) in measured outcomes among the 33 studies that pass our initial screening. We establish quality standards in a second screening resulting in 15 studies in which we create outcome-based groups. Outcomes include four broad measures (general overall health, behavior, mental health, and birth weight) and eight narrow measures (self-reported health, “bad” health days, unmet medical need, smoking, problem-drinking, obesity, eating vegetables, and exercise). We establish criteria for “stronger” findings for outcomes and methods. Stronger findings include: $1 increases in minimum wages are associated with 1.4 percentage point (4% evaluated at mean) decreases in smoking prevalence; failure to reject null hypotheses that minimum wages have no effects for most outcomes; and no consistent evidence that minimum wages harm health. One “suggestive” finding is that the best-designed studies have well-defined treatment (or likely affected) and control (unaffected) groups and contain longitudinal data. The major methodological weaknesses afflicting many studies are the lack of focus on persons likely affected by minimum wages and omission of “falsification tests” on persons likely unaffected. An additional weakness is lack of attention to how findings might differ across populations such as teenagers, adults, men, women, continuously employed and unemployed persons. Research into health effects of minimum wages is in its infancy and growing rapidly. We present a list of “better practices” for future research.","container-title":"Preventive Medicine","DOI":"10.1016/j.ypmed.2018.10.005","ISSN":"0091-7435","journalAbbreviation":"Preventive Medicine","language":"en","page":"122-134","source":"ScienceDirect","title":"Minimum wages and public health: A literature review","title-short":"Minimum wages and public health","volume":"118","author":[{"family":"Leigh","given":"J. Paul"},{"family":"Leigh","given":"Wesley A."},{"family":"Du","given":"Juan"}],"issued":{"date-parts":[["2019",1,1]]},"citation-key":"leighMinimumWagesPublic2019"}}],"schema":"https://github.com/citation-style-language/schema/raw/master/csl-citation.json"} </w:instrText>
      </w:r>
      <w:r w:rsidR="00B952D4" w:rsidRPr="00D76340">
        <w:rPr>
          <w:rFonts w:cs="Times New Roman"/>
        </w:rPr>
        <w:fldChar w:fldCharType="separate"/>
      </w:r>
      <w:r w:rsidR="002A1ED6" w:rsidRPr="00D76340">
        <w:rPr>
          <w:rFonts w:cs="Times New Roman"/>
          <w:vertAlign w:val="superscript"/>
        </w:rPr>
        <w:t>18</w:t>
      </w:r>
      <w:r w:rsidR="00B952D4" w:rsidRPr="00D76340">
        <w:rPr>
          <w:rFonts w:cs="Times New Roman"/>
        </w:rPr>
        <w:fldChar w:fldCharType="end"/>
      </w:r>
      <w:r w:rsidR="00B952D4" w:rsidRPr="00D76340">
        <w:rPr>
          <w:rFonts w:cs="Times New Roman"/>
        </w:rPr>
        <w:t xml:space="preserve"> </w:t>
      </w:r>
      <w:r w:rsidR="00045176" w:rsidRPr="00D76340">
        <w:rPr>
          <w:rFonts w:cs="Times New Roman"/>
        </w:rPr>
        <w:t xml:space="preserve">For example, </w:t>
      </w:r>
      <w:r w:rsidR="00C25897" w:rsidRPr="00D76340">
        <w:rPr>
          <w:rFonts w:cs="Times New Roman"/>
        </w:rPr>
        <w:t>a longitudinal study in the United Kingdom from 1994 to 2001 identified substantial improvements in the mental health of low</w:t>
      </w:r>
      <w:r w:rsidRPr="00D76340">
        <w:rPr>
          <w:rFonts w:cs="Times New Roman"/>
        </w:rPr>
        <w:t>er</w:t>
      </w:r>
      <w:r w:rsidR="00C25897" w:rsidRPr="00D76340">
        <w:rPr>
          <w:rFonts w:cs="Times New Roman"/>
        </w:rPr>
        <w:t>-wage workers, relative to higher-wage ones.</w:t>
      </w:r>
      <w:r w:rsidR="00C25897" w:rsidRPr="00D76340">
        <w:rPr>
          <w:rFonts w:cs="Times New Roman"/>
        </w:rPr>
        <w:fldChar w:fldCharType="begin"/>
      </w:r>
      <w:r w:rsidR="00C25897" w:rsidRPr="00D76340">
        <w:rPr>
          <w:rFonts w:cs="Times New Roman"/>
        </w:rPr>
        <w:instrText xml:space="preserve"> ADDIN ZOTERO_ITEM CSL_CITATION {"citationID":"145wy5oi","properties":{"formattedCitation":"\\super 19\\nosupersub{}","plainCitation":"19","noteIndex":0},"citationItems":[{"id":3799,"uris":["http://zotero.org/users/5446295/items/8I497AMD"],"itemData":{"id":3799,"type":"article-journal","abstract":"Does increasing incomes improve health? In 1999, the UK government implemented minimum wage legislation, increasing hourly wages to at least £3.60. This policy experiment created intervention and control groups that can be used to assess the effects of increasing wages on health. Longitudinal data were taken from the British Household Panel Survey. We compared the health effects of higher wages on recipients of the minimum wage with otherwise similar persons who were likely unaffected because (1) their wages were between 100 and 110% of the eligibility threshold or (2) their firms did not increase wages to meet the threshold. We assessed the probability of mental ill health using the 12-item General Health Questionnaire. We also assessed changes in smoking, blood pressure, as well as hearing ability (control condition). The intervention group, whose wages rose above the minimum wage, experienced lower probability of mental ill health compared with both control group 1 and control group 2. This improvement represents 0.37 of a standard deviation, comparable with the effect of antidepressants (0.39 of a standard deviation) on depressive symptoms. The intervention group experienced no change in blood pressure, hearing ability, or smoking. Increasing wages significantly improves mental health by reducing financial strain in low-wage workers. © 2016 The Authors. Health Economics published by John Wiley &amp; Sons Ltd.","container-title":"Health Economics","DOI":"10.1002/hec.3336","ISSN":"1099-1050","issue":"5","language":"en","note":"_eprint: https://onlinelibrary.wiley.com/doi/pdf/10.1002/hec.3336","page":"639-655","source":"Wiley Online Library","title":"Introduction of a National Minimum Wage Reduced Depressive Symptoms in Low-Wage Workers: A Quasi-Natural Experiment in the UK","title-short":"Introduction of a National Minimum Wage Reduced Depressive Symptoms in Low-Wage Workers","volume":"26","author":[{"family":"Reeves","given":"Aaron"},{"family":"McKee","given":"Martin"},{"family":"Mackenbach","given":"Johan"},{"family":"Whitehead","given":"Margaret"},{"family":"Stuckler","given":"David"}],"issued":{"date-parts":[["2017"]]},"citation-key":"reevesIntroductionNationalMinimum2017"}}],"schema":"https://github.com/citation-style-language/schema/raw/master/csl-citation.json"} </w:instrText>
      </w:r>
      <w:r w:rsidR="00C25897" w:rsidRPr="00D76340">
        <w:rPr>
          <w:rFonts w:cs="Times New Roman"/>
        </w:rPr>
        <w:fldChar w:fldCharType="separate"/>
      </w:r>
      <w:r w:rsidR="00C25897" w:rsidRPr="00D76340">
        <w:rPr>
          <w:rFonts w:cs="Times New Roman"/>
          <w:vertAlign w:val="superscript"/>
        </w:rPr>
        <w:t>19</w:t>
      </w:r>
      <w:r w:rsidR="00C25897" w:rsidRPr="00D76340">
        <w:rPr>
          <w:rFonts w:cs="Times New Roman"/>
        </w:rPr>
        <w:fldChar w:fldCharType="end"/>
      </w:r>
      <w:r w:rsidR="00C25897" w:rsidRPr="00D76340">
        <w:rPr>
          <w:rFonts w:cs="Times New Roman"/>
        </w:rPr>
        <w:t xml:space="preserve"> However, a subsequent study suggested that any improvements were short-lived.</w:t>
      </w:r>
      <w:r w:rsidR="00C25897" w:rsidRPr="00D76340">
        <w:rPr>
          <w:rFonts w:cs="Times New Roman"/>
        </w:rPr>
        <w:fldChar w:fldCharType="begin"/>
      </w:r>
      <w:r w:rsidR="00C25897" w:rsidRPr="00D76340">
        <w:rPr>
          <w:rFonts w:cs="Times New Roman"/>
        </w:rPr>
        <w:instrText xml:space="preserve"> ADDIN ZOTERO_ITEM CSL_CITATION {"citationID":"VW0VOLgE","properties":{"formattedCitation":"\\super 20\\nosupersub{}","plainCitation":"20","noteIndex":0},"citationItems":[{"id":3803,"uris":["http://zotero.org/users/5446295/items/SMNYJGZL"],"itemData":{"id":3803,"type":"article-journal","container-title":"Health, Econometrics and Data Group Working Paper","issue":"08","language":"en","source":"Zotero","title":"The impact of a wage increase on mental health: Evidence from the UK minimum wage","volume":"15","author":[{"family":"Kronenberg","given":"Christoph"},{"family":"Jacobs","given":"Rowena"},{"family":"Zucchelli","given":"Eugenio"}],"issued":{"date-parts":[["2015"]]},"citation-key":"kronenbergImpactWageIncrease2015"}}],"schema":"https://github.com/citation-style-language/schema/raw/master/csl-citation.json"} </w:instrText>
      </w:r>
      <w:r w:rsidR="00C25897" w:rsidRPr="00D76340">
        <w:rPr>
          <w:rFonts w:cs="Times New Roman"/>
        </w:rPr>
        <w:fldChar w:fldCharType="separate"/>
      </w:r>
      <w:r w:rsidR="00C25897" w:rsidRPr="00D76340">
        <w:rPr>
          <w:rFonts w:cs="Times New Roman"/>
          <w:vertAlign w:val="superscript"/>
        </w:rPr>
        <w:t>20</w:t>
      </w:r>
      <w:r w:rsidR="00C25897" w:rsidRPr="00D76340">
        <w:rPr>
          <w:rFonts w:cs="Times New Roman"/>
        </w:rPr>
        <w:fldChar w:fldCharType="end"/>
      </w:r>
      <w:r w:rsidR="00C25897" w:rsidRPr="00D76340">
        <w:rPr>
          <w:rFonts w:cs="Times New Roman"/>
        </w:rPr>
        <w:t xml:space="preserve"> In the United States, a</w:t>
      </w:r>
      <w:r w:rsidR="00045176" w:rsidRPr="00D76340">
        <w:rPr>
          <w:rFonts w:cs="Times New Roman"/>
        </w:rPr>
        <w:t xml:space="preserve"> repeated cross-sectional study from 1993 to 2014 identified improvements </w:t>
      </w:r>
      <w:r w:rsidRPr="00D76340">
        <w:rPr>
          <w:rFonts w:cs="Times New Roman"/>
        </w:rPr>
        <w:t>in the mental health of</w:t>
      </w:r>
      <w:r w:rsidR="00045176" w:rsidRPr="00D76340">
        <w:rPr>
          <w:rFonts w:cs="Times New Roman"/>
        </w:rPr>
        <w:t xml:space="preserve"> </w:t>
      </w:r>
      <w:r w:rsidR="00C25897" w:rsidRPr="00D76340">
        <w:rPr>
          <w:rFonts w:cs="Times New Roman"/>
        </w:rPr>
        <w:t>less-educated women</w:t>
      </w:r>
      <w:r w:rsidR="00045176" w:rsidRPr="00D76340">
        <w:rPr>
          <w:rFonts w:cs="Times New Roman"/>
        </w:rPr>
        <w:t xml:space="preserve"> but </w:t>
      </w:r>
      <w:r w:rsidR="00C25897" w:rsidRPr="00D76340">
        <w:rPr>
          <w:rFonts w:cs="Times New Roman"/>
        </w:rPr>
        <w:t>not men</w:t>
      </w:r>
      <w:r w:rsidR="00045176" w:rsidRPr="00D76340">
        <w:rPr>
          <w:rFonts w:cs="Times New Roman"/>
        </w:rPr>
        <w:t>.</w:t>
      </w:r>
      <w:r w:rsidR="00045176" w:rsidRPr="00D76340">
        <w:rPr>
          <w:rFonts w:cs="Times New Roman"/>
        </w:rPr>
        <w:fldChar w:fldCharType="begin"/>
      </w:r>
      <w:r w:rsidR="00C25897" w:rsidRPr="00D76340">
        <w:rPr>
          <w:rFonts w:cs="Times New Roman"/>
        </w:rPr>
        <w:instrText xml:space="preserve"> ADDIN ZOTERO_ITEM CSL_CITATION {"citationID":"Z4iXJNLi","properties":{"formattedCitation":"\\super 21\\nosupersub{}","plainCitation":"21","noteIndex":0},"citationItems":[{"id":3697,"uris":["http://zotero.org/users/5446295/items/KLQVBE7Q"],"itemData":{"id":3697,"type":"article-journal","abstract":"This study investigates whether minimum wage increases impact worker health in the United States. We consider self-reported measures of general, mental, and physical health. We use data on lesser-skilled workers from the 1993 to 2014 Behavioral Risk Factor Surveillance Survey. Among men, we find no evidence that minimum wage increases improve health; instead, we find that such increases lead to worse health outcomes, particularly among unemployed men. We find both worsening general health and improved mental health following minimum wage increases among women. These findings broaden our understanding of the full impacts of minimum wage increases on lesser-skill workers. (JEL I1, I11, I18)","container-title":"Economic Inquiry","DOI":"10.1111/ecin.12453","ISSN":"1465-7295","issue":"4","language":"en","note":"_eprint: https://onlinelibrary.wiley.com/doi/pdf/10.1111/ecin.12453","page":"1986-2007","source":"Wiley Online Library","title":"Do Minimum Wage Increases Influence Worker Health?","volume":"55","author":[{"family":"Horn","given":"Brady P."},{"family":"Maclean","given":"Johanna Catherine"},{"family":"Strain","given":"Michael R."}],"issued":{"date-parts":[["2017"]]},"citation-key":"hornMinimumWageIncreases2017"}}],"schema":"https://github.com/citation-style-language/schema/raw/master/csl-citation.json"} </w:instrText>
      </w:r>
      <w:r w:rsidR="00045176" w:rsidRPr="00D76340">
        <w:rPr>
          <w:rFonts w:cs="Times New Roman"/>
        </w:rPr>
        <w:fldChar w:fldCharType="separate"/>
      </w:r>
      <w:r w:rsidR="00C25897" w:rsidRPr="00D76340">
        <w:rPr>
          <w:rFonts w:cs="Times New Roman"/>
          <w:vertAlign w:val="superscript"/>
        </w:rPr>
        <w:t>21</w:t>
      </w:r>
      <w:r w:rsidR="00045176" w:rsidRPr="00D76340">
        <w:rPr>
          <w:rFonts w:cs="Times New Roman"/>
        </w:rPr>
        <w:fldChar w:fldCharType="end"/>
      </w:r>
      <w:r w:rsidR="00045176" w:rsidRPr="00D76340">
        <w:rPr>
          <w:rFonts w:cs="Times New Roman"/>
        </w:rPr>
        <w:t xml:space="preserve"> </w:t>
      </w:r>
      <w:r w:rsidR="00C25897" w:rsidRPr="00D76340">
        <w:rPr>
          <w:rFonts w:cs="Times New Roman"/>
        </w:rPr>
        <w:t>Meanwhile, another study in the U.S. identified null effects for less-educated adults.</w:t>
      </w:r>
      <w:r w:rsidR="00C25897" w:rsidRPr="00D76340">
        <w:rPr>
          <w:rFonts w:cs="Times New Roman"/>
        </w:rPr>
        <w:fldChar w:fldCharType="begin"/>
      </w:r>
      <w:r w:rsidRPr="00D76340">
        <w:rPr>
          <w:rFonts w:cs="Times New Roman"/>
        </w:rPr>
        <w:instrText xml:space="preserve"> ADDIN ZOTERO_ITEM CSL_CITATION {"citationID":"hAMYfwGl","properties":{"formattedCitation":"\\super 22\\nosupersub{}","plainCitation":"22","noteIndex":0},"citationItems":[{"id":3804,"uris":["http://zotero.org/users/5446295/items/NHSK84E2"],"itemData":{"id":3804,"type":"article-journal","abstract":"This study evaluates the effect of minimum wage on risky health behaviors, healthcare access, and self-reported health. We use data from the 1993–2015 Behavioral Risk Factor Surveillance System, and employ a difference-in-differences strategy that utilizes time variation in new minimum wage laws across U.S. states. Results suggest that the minimum wage increases the probability of being obese and decreases daily fruit and vegetable intake, but also decreases days with functional limitations while having no impact on healthcare access. Subsample analyses reveal that the increase in weight and decrease in fruit and vegetable intake are driven by the older population, married, and whites. The improvement in self-reported health is especially strong among non-whites, females, and married.","container-title":"International Journal of Health Economics and Management","DOI":"10.1007/s10754-018-9237-0","ISSN":"2199-9031","issue":"4","journalAbbreviation":"Int J Health Econ Manag.","language":"en","page":"337-375","source":"Springer Link","title":"The impact of the minimum wage on health","volume":"18","author":[{"family":"Andreyeva","given":"Elena"},{"family":"Ukert","given":"Benjamin"}],"issued":{"date-parts":[["2018",12,1]]},"citation-key":"andreyevaImpactMinimumWage2018"}}],"schema":"https://github.com/citation-style-language/schema/raw/master/csl-citation.json"} </w:instrText>
      </w:r>
      <w:r w:rsidR="00C25897" w:rsidRPr="00D76340">
        <w:rPr>
          <w:rFonts w:cs="Times New Roman"/>
        </w:rPr>
        <w:fldChar w:fldCharType="separate"/>
      </w:r>
      <w:r w:rsidRPr="00D76340">
        <w:rPr>
          <w:rFonts w:cs="Times New Roman"/>
          <w:vertAlign w:val="superscript"/>
        </w:rPr>
        <w:t>22</w:t>
      </w:r>
      <w:r w:rsidR="00C25897" w:rsidRPr="00D76340">
        <w:rPr>
          <w:rFonts w:cs="Times New Roman"/>
        </w:rPr>
        <w:fldChar w:fldCharType="end"/>
      </w:r>
    </w:p>
    <w:p w14:paraId="446B1B41" w14:textId="52AF4303" w:rsidR="005E65C9" w:rsidRPr="00D76340" w:rsidRDefault="00E04EEF" w:rsidP="00A33288">
      <w:pPr>
        <w:spacing w:line="480" w:lineRule="auto"/>
        <w:ind w:firstLine="720"/>
        <w:jc w:val="both"/>
        <w:rPr>
          <w:rFonts w:cs="Times New Roman"/>
        </w:rPr>
      </w:pPr>
      <w:r w:rsidRPr="00D76340">
        <w:rPr>
          <w:rFonts w:cs="Times New Roman"/>
        </w:rPr>
        <w:t>However, f</w:t>
      </w:r>
      <w:r w:rsidR="005E65C9" w:rsidRPr="00D76340">
        <w:rPr>
          <w:rFonts w:cs="Times New Roman"/>
        </w:rPr>
        <w:t>ew studies have examined the effect of minimum wage increases on children’s health</w:t>
      </w:r>
      <w:r w:rsidR="00A33288" w:rsidRPr="00D76340">
        <w:rPr>
          <w:rFonts w:cs="Times New Roman"/>
        </w:rPr>
        <w:t xml:space="preserve"> </w:t>
      </w:r>
      <w:r w:rsidR="002908F8" w:rsidRPr="00D76340">
        <w:rPr>
          <w:rFonts w:cs="Times New Roman"/>
        </w:rPr>
        <w:t>generally</w:t>
      </w:r>
      <w:r w:rsidR="00BD2136" w:rsidRPr="00D76340">
        <w:rPr>
          <w:rFonts w:cs="Times New Roman"/>
        </w:rPr>
        <w:t xml:space="preserve">, and </w:t>
      </w:r>
      <w:r w:rsidRPr="00D76340">
        <w:rPr>
          <w:rFonts w:cs="Times New Roman"/>
        </w:rPr>
        <w:t xml:space="preserve">the </w:t>
      </w:r>
      <w:r w:rsidR="00A33288" w:rsidRPr="00D76340">
        <w:rPr>
          <w:rFonts w:cs="Times New Roman"/>
        </w:rPr>
        <w:t>effect</w:t>
      </w:r>
      <w:r w:rsidRPr="00D76340">
        <w:rPr>
          <w:rFonts w:cs="Times New Roman"/>
        </w:rPr>
        <w:t xml:space="preserve"> </w:t>
      </w:r>
      <w:r w:rsidR="00A33288" w:rsidRPr="00D76340">
        <w:rPr>
          <w:rFonts w:cs="Times New Roman"/>
        </w:rPr>
        <w:t>on</w:t>
      </w:r>
      <w:r w:rsidRPr="00D76340">
        <w:rPr>
          <w:rFonts w:cs="Times New Roman"/>
        </w:rPr>
        <w:t xml:space="preserve"> children’s mental health</w:t>
      </w:r>
      <w:r w:rsidR="002908F8" w:rsidRPr="00D76340">
        <w:rPr>
          <w:rFonts w:cs="Times New Roman"/>
        </w:rPr>
        <w:t>, specifically,</w:t>
      </w:r>
      <w:r w:rsidRPr="00D76340">
        <w:rPr>
          <w:rFonts w:cs="Times New Roman"/>
        </w:rPr>
        <w:t xml:space="preserve"> </w:t>
      </w:r>
      <w:r w:rsidR="002908F8" w:rsidRPr="00D76340">
        <w:rPr>
          <w:rFonts w:cs="Times New Roman"/>
        </w:rPr>
        <w:t>is</w:t>
      </w:r>
      <w:r w:rsidRPr="00D76340">
        <w:rPr>
          <w:rFonts w:cs="Times New Roman"/>
        </w:rPr>
        <w:t xml:space="preserve"> unexplored. For example, increases in the minimum wage have been associated with improvements in</w:t>
      </w:r>
      <w:r w:rsidR="005E65C9" w:rsidRPr="00D76340">
        <w:rPr>
          <w:rFonts w:cs="Times New Roman"/>
        </w:rPr>
        <w:t xml:space="preserve"> birth weight and infant mortality</w:t>
      </w:r>
      <w:r w:rsidR="00A33288" w:rsidRPr="00D76340">
        <w:rPr>
          <w:rFonts w:cs="Times New Roman"/>
        </w:rPr>
        <w:t>,</w:t>
      </w:r>
      <w:r w:rsidR="005E65C9" w:rsidRPr="00D76340">
        <w:rPr>
          <w:rFonts w:cs="Times New Roman"/>
        </w:rPr>
        <w:fldChar w:fldCharType="begin"/>
      </w:r>
      <w:r w:rsidRPr="00D76340">
        <w:rPr>
          <w:rFonts w:cs="Times New Roman"/>
        </w:rPr>
        <w:instrText xml:space="preserve"> ADDIN ZOTERO_ITEM CSL_CITATION {"citationID":"NbKZSZlm","properties":{"formattedCitation":"\\super 23,24\\nosupersub{}","plainCitation":"23,24","noteIndex":0},"citationItems":[{"id":3709,"uris":["http://zotero.org/users/5446295/items/TCC47T7Y"],"itemData":{"id":3709,"type":"article-journal","abstract":"Objectives. To investigate the effects of state minimum wage laws on low birth weight and infant mortality in the United States.\n\nMethods. We estimated the effects of state-level minimum wage laws using a difference-in-differences approach on rates of low birth weight (&lt; 2500 g) and postneonatal mortality (28–364 days) by state and month from 1980 through 2011. All models included state and year fixed effects as well as state-specific covariates.\n\nResults. Across all models, a dollar increase in the minimum wage above the federal level was associated with a 1% to 2% decrease in low birth weight births and a 4% decrease in postneonatal mortality.\n\nConclusions. If all states in 2014 had increased their minimum wages by 1 dollar, there would likely have been 2790 fewer low birth weight births and 518 fewer postneonatal deaths for the year.","container-title":"American Journal of Public Health","DOI":"10.2105/AJPH.2016.303268","ISSN":"0090-0036","issue":"8","journalAbbreviation":"Am J Public Health","note":"publisher: American Public Health Association","page":"1514-1516","source":"ajph.aphapublications.org (Atypon)","title":"The Effect of an Increased Minimum Wage on Infant Mortality and Birth Weight","volume":"106","author":[{"family":"Komro","given":"Kelli A."},{"family":"Livingston","given":"Melvin D."},{"family":"Markowitz","given":"Sara"},{"family":"Wagenaar","given":"Alexander C."}],"issued":{"date-parts":[["2016",8]]},"citation-key":"komroEffectIncreasedMinimum2016"}},{"id":3713,"uris":["http://zotero.org/users/5446295/items/KYKDFMF8"],"itemData":{"id":3713,"type":"article-journal","abstract":"The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sidR="005E65C9" w:rsidRPr="00D76340">
        <w:rPr>
          <w:rFonts w:cs="Times New Roman"/>
        </w:rPr>
        <w:fldChar w:fldCharType="separate"/>
      </w:r>
      <w:r w:rsidRPr="00D76340">
        <w:rPr>
          <w:rFonts w:cs="Times New Roman"/>
          <w:vertAlign w:val="superscript"/>
        </w:rPr>
        <w:t>23,24</w:t>
      </w:r>
      <w:r w:rsidR="005E65C9" w:rsidRPr="00D76340">
        <w:rPr>
          <w:rFonts w:cs="Times New Roman"/>
        </w:rPr>
        <w:fldChar w:fldCharType="end"/>
      </w:r>
      <w:r w:rsidR="001E5CE0" w:rsidRPr="00D76340">
        <w:rPr>
          <w:rFonts w:cs="Times New Roman"/>
        </w:rPr>
        <w:t xml:space="preserve"> </w:t>
      </w:r>
      <w:r w:rsidR="00A33288" w:rsidRPr="00D76340">
        <w:rPr>
          <w:rFonts w:cs="Times New Roman"/>
        </w:rPr>
        <w:t>school absenteeism, and indexes of overall health.</w:t>
      </w:r>
      <w:r w:rsidR="00A33288" w:rsidRPr="00D76340">
        <w:rPr>
          <w:rFonts w:cs="Times New Roman"/>
        </w:rPr>
        <w:fldChar w:fldCharType="begin"/>
      </w:r>
      <w:r w:rsidR="00A33288" w:rsidRPr="00D76340">
        <w:rPr>
          <w:rFonts w:cs="Times New Roman"/>
        </w:rPr>
        <w:instrText xml:space="preserve"> ADDIN ZOTERO_ITEM CSL_CITATION {"citationID":"dPaRVmHf","properties":{"formattedCitation":"\\super 25\\nosupersub{}","plainCitation":"25","noteIndex":0},"citationItems":[{"id":3711,"uris":["http://zotero.org/users/5446295/items/EB3MA42L"],"itemData":{"id":3711,"type":"article-journal","abstract":"Effects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00A33288" w:rsidRPr="00D76340">
        <w:rPr>
          <w:rFonts w:cs="Times New Roman"/>
        </w:rPr>
        <w:fldChar w:fldCharType="separate"/>
      </w:r>
      <w:r w:rsidR="00A33288" w:rsidRPr="00D76340">
        <w:rPr>
          <w:rFonts w:cs="Times New Roman"/>
          <w:vertAlign w:val="superscript"/>
        </w:rPr>
        <w:t>25</w:t>
      </w:r>
      <w:r w:rsidR="00A33288" w:rsidRPr="00D76340">
        <w:rPr>
          <w:rFonts w:cs="Times New Roman"/>
        </w:rPr>
        <w:fldChar w:fldCharType="end"/>
      </w:r>
      <w:r w:rsidR="00A33288" w:rsidRPr="00D76340">
        <w:rPr>
          <w:rFonts w:cs="Times New Roman"/>
        </w:rPr>
        <w:t xml:space="preserve"> Mixed results have been retrieved for </w:t>
      </w:r>
      <w:r w:rsidR="00BD2136" w:rsidRPr="00D76340">
        <w:rPr>
          <w:rFonts w:cs="Times New Roman"/>
        </w:rPr>
        <w:t>the</w:t>
      </w:r>
      <w:r w:rsidR="001E5CE0" w:rsidRPr="00D76340">
        <w:rPr>
          <w:rFonts w:cs="Times New Roman"/>
        </w:rPr>
        <w:t xml:space="preserve"> self-reported general health </w:t>
      </w:r>
      <w:r w:rsidR="00BD2136" w:rsidRPr="00D76340">
        <w:rPr>
          <w:rFonts w:cs="Times New Roman"/>
        </w:rPr>
        <w:t>of</w:t>
      </w:r>
      <w:r w:rsidR="001E5CE0" w:rsidRPr="00D76340">
        <w:rPr>
          <w:rFonts w:cs="Times New Roman"/>
        </w:rPr>
        <w:t xml:space="preserve"> working </w:t>
      </w:r>
      <w:r w:rsidR="00064D1B" w:rsidRPr="00D76340">
        <w:rPr>
          <w:rFonts w:cs="Times New Roman"/>
        </w:rPr>
        <w:t>teens</w:t>
      </w:r>
      <w:r w:rsidR="00A33288" w:rsidRPr="00D76340">
        <w:rPr>
          <w:rFonts w:cs="Times New Roman"/>
        </w:rPr>
        <w:t>, with only some demographic groups seeing improvements,</w:t>
      </w:r>
      <w:r w:rsidR="00A33288" w:rsidRPr="00D76340">
        <w:rPr>
          <w:rFonts w:cs="Times New Roman"/>
        </w:rPr>
        <w:fldChar w:fldCharType="begin"/>
      </w:r>
      <w:r w:rsidR="00A33288" w:rsidRPr="00D76340">
        <w:rPr>
          <w:rFonts w:cs="Times New Roman"/>
        </w:rPr>
        <w:instrText xml:space="preserve"> ADDIN ZOTERO_ITEM CSL_CITATION {"citationID":"FB9IXCLd","properties":{"formattedCitation":"\\super 26\\nosupersub{}","plainCitation":"26","noteIndex":0},"citationItems":[{"id":3716,"uris":["http://zotero.org/users/5446295/items/QMABWD2V"],"itemData":{"id":3716,"type":"article-journal","abstract":"This article examines the effect of minimum wage increases on the self-reported health of teenage workers. We use a difference-in-differences estimation strategy and data from the Current Population Survey, and disaggregate the sample by race/ethnicity and gender to uncover the differential effects of changes in the minimum wage on health. We find that white women are more likely to report better health with a minimum wage increase while Hispanic men report worse health.","container-title":"Applied Economics Letters","DOI":"10.1080/13504851.2016.1259737","ISSN":"1350-4851","issue":"16","note":"publisher: Routledge\n_eprint: https://doi.org/10.1080/13504851.2016.1259737\nPMID: 30245574","page":"1127-1130","source":"Taylor and Francis+NEJM","title":"The effects of minimum wages on the health of working teenagers","volume":"24","author":[{"family":"Averett","given":"Susan L."},{"family":"Smith","given":"Julie K."},{"family":"Wang","given":"Yang"}],"issued":{"date-parts":[["2017",9,20]]},"citation-key":"averettEffectsMinimumWages2017"}}],"schema":"https://github.com/citation-style-language/schema/raw/master/csl-citation.json"} </w:instrText>
      </w:r>
      <w:r w:rsidR="00A33288" w:rsidRPr="00D76340">
        <w:rPr>
          <w:rFonts w:cs="Times New Roman"/>
        </w:rPr>
        <w:fldChar w:fldCharType="separate"/>
      </w:r>
      <w:r w:rsidR="00A33288" w:rsidRPr="00D76340">
        <w:rPr>
          <w:rFonts w:cs="Times New Roman"/>
          <w:vertAlign w:val="superscript"/>
        </w:rPr>
        <w:t>26</w:t>
      </w:r>
      <w:r w:rsidR="00A33288" w:rsidRPr="00D76340">
        <w:rPr>
          <w:rFonts w:cs="Times New Roman"/>
        </w:rPr>
        <w:fldChar w:fldCharType="end"/>
      </w:r>
      <w:r w:rsidR="00A33288" w:rsidRPr="00D76340">
        <w:rPr>
          <w:rFonts w:cs="Times New Roman"/>
        </w:rPr>
        <w:t xml:space="preserve"> and null results </w:t>
      </w:r>
      <w:r w:rsidR="002908F8" w:rsidRPr="00D76340">
        <w:rPr>
          <w:rFonts w:cs="Times New Roman"/>
        </w:rPr>
        <w:t>for</w:t>
      </w:r>
      <w:r w:rsidR="00A33288" w:rsidRPr="00D76340">
        <w:rPr>
          <w:rFonts w:cs="Times New Roman"/>
        </w:rPr>
        <w:t xml:space="preserve"> various outcomes </w:t>
      </w:r>
      <w:r w:rsidR="00064D1B" w:rsidRPr="00D76340">
        <w:rPr>
          <w:rFonts w:cs="Times New Roman"/>
        </w:rPr>
        <w:t>for</w:t>
      </w:r>
      <w:r w:rsidR="00A33288" w:rsidRPr="00D76340">
        <w:rPr>
          <w:rFonts w:cs="Times New Roman"/>
        </w:rPr>
        <w:t xml:space="preserve"> the children of immigrants</w:t>
      </w:r>
      <w:r w:rsidR="005E65C9" w:rsidRPr="00D76340">
        <w:rPr>
          <w:rFonts w:cs="Times New Roman"/>
        </w:rPr>
        <w:t>.</w:t>
      </w:r>
      <w:r w:rsidR="005E65C9" w:rsidRPr="00D76340">
        <w:rPr>
          <w:rFonts w:cs="Times New Roman"/>
        </w:rPr>
        <w:fldChar w:fldCharType="begin"/>
      </w:r>
      <w:r w:rsidR="00A33288" w:rsidRPr="00D76340">
        <w:rPr>
          <w:rFonts w:cs="Times New Roman"/>
        </w:rPr>
        <w:instrText xml:space="preserve"> ADDIN ZOTERO_ITEM CSL_CITATION {"citationID":"bd2hUigX","properties":{"formattedCitation":"\\super 27\\nosupersub{}","plainCitation":"27","noteIndex":0},"citationItems":[{"id":3718,"uris":["http://zotero.org/users/5446295/items/W68MXKEJ"],"itemData":{"id":3718,"type":"article-journal","abstract":"States are increasingly resorting to raising the minimum wage to boost the earnings of those at the bottom of the income distribution. In this article, we examine the effects of minimum wage increases on the health of immigrants’ children. Their parents are disproportionately represented in minimum wage jobs and are a growing part of the US labour force. Using a difference-in-differences identification strategy and data from the National Health Interview Survey from 2000 to 2015, we examine whether children of low-educated immigrants experience any changes in their health when the minimum wage increases. We find no evidence that this is the case despite a number of robustness checks.","container-title":"Applied Economics Letters","DOI":"10.1080/13504851.2020.1784832","ISSN":"1350-4851","issue":"11","note":"publisher: Routledge\n_eprint: https://doi.org/10.1080/13504851.2020.1784832","page":"894-901","source":"Taylor and Francis+NEJM","title":"Minimum wages and the health of immigrants’ children","volume":"28","author":[{"family":"Averett","given":"Susan L."},{"family":"Smith","given":"Julie K."},{"family":"Wang","given":"Yang"}],"issued":{"date-parts":[["2021",6,25]]},"citation-key":"averettMinimumWagesHealth2021"}}],"schema":"https://github.com/citation-style-language/schema/raw/master/csl-citation.json"} </w:instrText>
      </w:r>
      <w:r w:rsidR="005E65C9" w:rsidRPr="00D76340">
        <w:rPr>
          <w:rFonts w:cs="Times New Roman"/>
        </w:rPr>
        <w:fldChar w:fldCharType="separate"/>
      </w:r>
      <w:r w:rsidR="00A33288" w:rsidRPr="00D76340">
        <w:rPr>
          <w:rFonts w:cs="Times New Roman"/>
          <w:vertAlign w:val="superscript"/>
        </w:rPr>
        <w:t>27</w:t>
      </w:r>
      <w:r w:rsidR="005E65C9" w:rsidRPr="00D76340">
        <w:rPr>
          <w:rFonts w:cs="Times New Roman"/>
        </w:rPr>
        <w:fldChar w:fldCharType="end"/>
      </w:r>
      <w:r w:rsidR="00BD2136" w:rsidRPr="00D76340">
        <w:rPr>
          <w:rFonts w:cs="Times New Roman"/>
        </w:rPr>
        <w:t xml:space="preserve"> </w:t>
      </w:r>
      <w:r w:rsidR="00A33288" w:rsidRPr="00D76340">
        <w:rPr>
          <w:rFonts w:cs="Times New Roman"/>
        </w:rPr>
        <w:t>No studies appear to have tested the effects of raising the minimum wage on children’s mental health</w:t>
      </w:r>
      <w:r w:rsidR="00064D1B" w:rsidRPr="00D76340">
        <w:rPr>
          <w:rFonts w:cs="Times New Roman"/>
        </w:rPr>
        <w:t>, y</w:t>
      </w:r>
      <w:r w:rsidR="003F3EDB" w:rsidRPr="00D76340">
        <w:rPr>
          <w:rFonts w:cs="Times New Roman"/>
        </w:rPr>
        <w:t xml:space="preserve">et </w:t>
      </w:r>
      <w:r w:rsidR="00A33288" w:rsidRPr="00D76340">
        <w:rPr>
          <w:rFonts w:cs="Times New Roman"/>
        </w:rPr>
        <w:t xml:space="preserve">children’s mental health </w:t>
      </w:r>
      <w:r w:rsidR="00547A83" w:rsidRPr="00D76340">
        <w:rPr>
          <w:rFonts w:cs="Times New Roman"/>
        </w:rPr>
        <w:t>might</w:t>
      </w:r>
      <w:r w:rsidR="00A33288" w:rsidRPr="00D76340">
        <w:rPr>
          <w:rFonts w:cs="Times New Roman"/>
        </w:rPr>
        <w:t xml:space="preserve"> be especially sensitive to changes in a family’s economic well-being</w:t>
      </w:r>
      <w:r w:rsidR="00064D1B" w:rsidRPr="00D76340">
        <w:rPr>
          <w:rFonts w:cs="Times New Roman"/>
        </w:rPr>
        <w:t xml:space="preserve">. </w:t>
      </w:r>
      <w:r w:rsidR="00547A83" w:rsidRPr="00D76340">
        <w:rPr>
          <w:rFonts w:cs="Times New Roman"/>
        </w:rPr>
        <w:t>When</w:t>
      </w:r>
      <w:r w:rsidR="003F3EDB" w:rsidRPr="00D76340">
        <w:rPr>
          <w:rFonts w:cs="Times New Roman"/>
        </w:rPr>
        <w:t xml:space="preserve"> families’ </w:t>
      </w:r>
      <w:r w:rsidR="00064D1B" w:rsidRPr="00D76340">
        <w:rPr>
          <w:rFonts w:cs="Times New Roman"/>
        </w:rPr>
        <w:t>income</w:t>
      </w:r>
      <w:r w:rsidR="003F3EDB" w:rsidRPr="00D76340">
        <w:rPr>
          <w:rFonts w:cs="Times New Roman"/>
        </w:rPr>
        <w:t xml:space="preserve"> </w:t>
      </w:r>
      <w:r w:rsidR="002908F8" w:rsidRPr="00D76340">
        <w:rPr>
          <w:rFonts w:cs="Times New Roman"/>
        </w:rPr>
        <w:t>rise</w:t>
      </w:r>
      <w:r w:rsidR="003F3EDB" w:rsidRPr="00D76340">
        <w:rPr>
          <w:rFonts w:cs="Times New Roman"/>
        </w:rPr>
        <w:t xml:space="preserve">, they </w:t>
      </w:r>
      <w:r w:rsidR="00064D1B" w:rsidRPr="00D76340">
        <w:rPr>
          <w:rFonts w:cs="Times New Roman"/>
        </w:rPr>
        <w:t>tend</w:t>
      </w:r>
      <w:r w:rsidR="003F3EDB" w:rsidRPr="00D76340">
        <w:rPr>
          <w:rFonts w:cs="Times New Roman"/>
        </w:rPr>
        <w:t xml:space="preserve"> to </w:t>
      </w:r>
      <w:r w:rsidR="00064D1B" w:rsidRPr="00D76340">
        <w:rPr>
          <w:rFonts w:cs="Times New Roman"/>
        </w:rPr>
        <w:t xml:space="preserve">dedicate those resources to their children, </w:t>
      </w:r>
      <w:r w:rsidR="003F3EDB" w:rsidRPr="00D76340">
        <w:rPr>
          <w:rFonts w:cs="Times New Roman"/>
        </w:rPr>
        <w:t>spend</w:t>
      </w:r>
      <w:r w:rsidR="00064D1B" w:rsidRPr="00D76340">
        <w:rPr>
          <w:rFonts w:cs="Times New Roman"/>
        </w:rPr>
        <w:t>ing</w:t>
      </w:r>
      <w:r w:rsidR="003F3EDB" w:rsidRPr="00D76340">
        <w:rPr>
          <w:rFonts w:cs="Times New Roman"/>
        </w:rPr>
        <w:t xml:space="preserve"> </w:t>
      </w:r>
      <w:r w:rsidR="00064D1B" w:rsidRPr="00D76340">
        <w:rPr>
          <w:rFonts w:cs="Times New Roman"/>
        </w:rPr>
        <w:t>both</w:t>
      </w:r>
      <w:r w:rsidR="003F3EDB" w:rsidRPr="00D76340">
        <w:rPr>
          <w:rFonts w:cs="Times New Roman"/>
        </w:rPr>
        <w:t xml:space="preserve"> higher absolute amounts </w:t>
      </w:r>
      <w:r w:rsidR="00064D1B" w:rsidRPr="00D76340">
        <w:rPr>
          <w:rFonts w:cs="Times New Roman"/>
        </w:rPr>
        <w:t>and</w:t>
      </w:r>
      <w:r w:rsidR="003F3EDB" w:rsidRPr="00D76340">
        <w:rPr>
          <w:rFonts w:cs="Times New Roman"/>
        </w:rPr>
        <w:t xml:space="preserve"> higher proportions of their income</w:t>
      </w:r>
      <w:r w:rsidR="00547A83" w:rsidRPr="00D76340">
        <w:rPr>
          <w:rFonts w:cs="Times New Roman"/>
        </w:rPr>
        <w:t xml:space="preserve"> on their children</w:t>
      </w:r>
      <w:r w:rsidR="003F3EDB" w:rsidRPr="00D76340">
        <w:rPr>
          <w:rFonts w:cs="Times New Roman"/>
        </w:rPr>
        <w:t>.</w:t>
      </w:r>
      <w:r w:rsidR="003F3EDB" w:rsidRPr="00D76340">
        <w:rPr>
          <w:rFonts w:cs="Times New Roman"/>
        </w:rPr>
        <w:fldChar w:fldCharType="begin"/>
      </w:r>
      <w:r w:rsidR="003F3EDB" w:rsidRPr="00D76340">
        <w:rPr>
          <w:rFonts w:cs="Times New Roman"/>
        </w:rPr>
        <w:instrText xml:space="preserve"> ADDIN ZOTERO_ITEM CSL_CITATION {"citationID":"rd5yBHv8","properties":{"formattedCitation":"\\super 28\\nosupersub{}","plainCitation":"28","noteIndex":0},"citationItems":[{"id":3806,"uris":["http://zotero.org/users/5446295/items/ZWCLTVZV"],"itemData":{"id":3806,"type":"article-journal","abstract":"Parental spending on children is often presumed to be one of the main ways that parents invest in children and a main reason why children from wealthier households are advantaged. Yet, although research has tracked changes in the other main form of parental investment—namely, time—there is little research on spending. We use data from the Consumer Expenditure Survey to examine how spending changed from the early 1970s to the late 2000s, focusing particularly on inequality in parental investment in children. Parental spending increased, as did inequality of investment. We also investigate shifts in the composition of spending and linkages to children’s characteristics. Investment in male and female children changed substantially: households with only female children spent significantly less than parents in households with only male children in the early 1970s; but by the 1990s, spending had equalized; and by the late 2000s, girls appeared to enjoy an advantage. Finally, the shape of parental investment over the course of children’s lives changed. Prior to the 1990s, parents spent most on children in their teen years. After the 1990s, however, spending was greatest when children were under the age of 6 and in their mid-20s.","container-title":"Demography","DOI":"10.1007/s13524-012-0146-4","ISSN":"0070-3370","issue":"1","journalAbbreviation":"Demography","page":"1-23","source":"Silverchair","title":"Investing in Children: Changes in Parental Spending on Children, 1972–2007","title-short":"Investing in Children","volume":"50","author":[{"family":"Kornrich","given":"Sabino"},{"family":"Furstenberg","given":"Frank"}],"issued":{"date-parts":[["2012",9,18]]},"citation-key":"kornrichInvestingChildrenChanges2012"}}],"schema":"https://github.com/citation-style-language/schema/raw/master/csl-citation.json"} </w:instrText>
      </w:r>
      <w:r w:rsidR="003F3EDB" w:rsidRPr="00D76340">
        <w:rPr>
          <w:rFonts w:cs="Times New Roman"/>
        </w:rPr>
        <w:fldChar w:fldCharType="separate"/>
      </w:r>
      <w:r w:rsidR="003F3EDB" w:rsidRPr="00D76340">
        <w:rPr>
          <w:rFonts w:cs="Times New Roman"/>
          <w:vertAlign w:val="superscript"/>
        </w:rPr>
        <w:t>28</w:t>
      </w:r>
      <w:r w:rsidR="003F3EDB" w:rsidRPr="00D76340">
        <w:rPr>
          <w:rFonts w:cs="Times New Roman"/>
        </w:rPr>
        <w:fldChar w:fldCharType="end"/>
      </w:r>
      <w:r w:rsidR="001A1BF8" w:rsidRPr="00D76340">
        <w:rPr>
          <w:rFonts w:cs="Times New Roman"/>
        </w:rPr>
        <w:t xml:space="preserve"> </w:t>
      </w:r>
      <w:r w:rsidR="00547A83" w:rsidRPr="00D76340">
        <w:rPr>
          <w:rFonts w:cs="Times New Roman"/>
        </w:rPr>
        <w:t>G</w:t>
      </w:r>
      <w:r w:rsidR="001A1BF8" w:rsidRPr="00D76340">
        <w:rPr>
          <w:rFonts w:cs="Times New Roman"/>
        </w:rPr>
        <w:t>iven the strong association between economic stress and children’s mental health,</w:t>
      </w:r>
      <w:r w:rsidR="001A1BF8" w:rsidRPr="00D76340">
        <w:rPr>
          <w:rFonts w:cs="Times New Roman"/>
        </w:rPr>
        <w:fldChar w:fldCharType="begin"/>
      </w:r>
      <w:r w:rsidR="001A1BF8" w:rsidRPr="00D76340">
        <w:rPr>
          <w:rFonts w:cs="Times New Roman"/>
        </w:rPr>
        <w:instrText xml:space="preserve"> ADDIN ZOTERO_ITEM CSL_CITATION {"citationID":"YZovEw1R","properties":{"formattedCitation":"\\super 11,14\\nosupersub{}","plainCitation":"11,14","noteIndex":0},"citationItems":[{"id":3781,"uris":["http://zotero.org/users/5446295/items/SAJK768V"],"itemData":{"id":3781,"type":"article-journal","abstract":"This study examines the relationship between two measures of economic stress—welfare status and perceived financial stress—and children's emotional and behavioral problems. Longitudinal data from the National Survey of Children are used to test two hypotheses. The first hypothesis predicts that economic stress will adversely affect children's emotional and behavioral problems. Levels of depressive symptoms, impulsive behavior, and antisocial behavior are found to be higher among children who experienced either form of economic stress at least once between 1976 and 1981 compared to those who were unaffected by economic stress. The second hypothesis predicts that the presence of economic stress at both data collection points will have a more adverse impact than economic stress experienced at only one time point. Results provide only limited support for the persistence hypothesis. Research is needed to identify the specific processes by which economic stress affects children's well-being.","container-title":"Journal of Marriage and Family","DOI":"10.2307/353006","ISSN":"0022-2445","issue":"4","note":"publisher: [Wiley, National Council on Family Relations]","page":"1031-1041","source":"JSTOR","title":"Economic Stress in the Family and Children's Emotional and Behavioral Problems","volume":"53","author":[{"family":"Takeuchi","given":"David T."},{"family":"Williams","given":"David R."},{"family":"Adair","given":"Russell K."}],"issued":{"date-parts":[["1991"]]},"citation-key":"takeuchiEconomicStressFamily1991"}},{"id":3774,"uris":["http://zotero.org/users/5446295/items/GJBDG3MF"],"itemData":{"id":3774,"type":"article-journal","abstract":"This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schema":"https://github.com/citation-style-language/schema/raw/master/csl-citation.json"} </w:instrText>
      </w:r>
      <w:r w:rsidR="001A1BF8" w:rsidRPr="00D76340">
        <w:rPr>
          <w:rFonts w:cs="Times New Roman"/>
        </w:rPr>
        <w:fldChar w:fldCharType="separate"/>
      </w:r>
      <w:r w:rsidR="001A1BF8" w:rsidRPr="00D76340">
        <w:rPr>
          <w:rFonts w:cs="Times New Roman"/>
          <w:vertAlign w:val="superscript"/>
        </w:rPr>
        <w:t>11,14</w:t>
      </w:r>
      <w:r w:rsidR="001A1BF8" w:rsidRPr="00D76340">
        <w:rPr>
          <w:rFonts w:cs="Times New Roman"/>
        </w:rPr>
        <w:fldChar w:fldCharType="end"/>
      </w:r>
      <w:r w:rsidR="001A1BF8" w:rsidRPr="00D76340">
        <w:rPr>
          <w:rFonts w:cs="Times New Roman"/>
        </w:rPr>
        <w:t xml:space="preserve"> even modest improvements in </w:t>
      </w:r>
      <w:r w:rsidR="00547A83" w:rsidRPr="00D76340">
        <w:rPr>
          <w:rFonts w:cs="Times New Roman"/>
        </w:rPr>
        <w:t xml:space="preserve">familial </w:t>
      </w:r>
      <w:r w:rsidR="00533E16" w:rsidRPr="00D76340">
        <w:rPr>
          <w:rFonts w:cs="Times New Roman"/>
        </w:rPr>
        <w:t xml:space="preserve">resources </w:t>
      </w:r>
      <w:r w:rsidR="00547A83" w:rsidRPr="00D76340">
        <w:rPr>
          <w:rFonts w:cs="Times New Roman"/>
        </w:rPr>
        <w:t>might</w:t>
      </w:r>
      <w:r w:rsidR="00533E16" w:rsidRPr="00D76340">
        <w:rPr>
          <w:rFonts w:cs="Times New Roman"/>
        </w:rPr>
        <w:t xml:space="preserve"> improve </w:t>
      </w:r>
      <w:r w:rsidR="00547A83" w:rsidRPr="00D76340">
        <w:rPr>
          <w:rFonts w:cs="Times New Roman"/>
        </w:rPr>
        <w:t>a child’s</w:t>
      </w:r>
      <w:r w:rsidR="00533E16" w:rsidRPr="00D76340">
        <w:rPr>
          <w:rFonts w:cs="Times New Roman"/>
        </w:rPr>
        <w:t xml:space="preserve"> mental </w:t>
      </w:r>
      <w:r w:rsidR="00547A83" w:rsidRPr="00D76340">
        <w:rPr>
          <w:rFonts w:cs="Times New Roman"/>
        </w:rPr>
        <w:t>well-being</w:t>
      </w:r>
      <w:r w:rsidR="00533E16" w:rsidRPr="00D76340">
        <w:rPr>
          <w:rFonts w:cs="Times New Roman"/>
        </w:rPr>
        <w:t>.</w:t>
      </w:r>
    </w:p>
    <w:p w14:paraId="1AD282B3" w14:textId="2E8F3B3C" w:rsidR="005E65C9" w:rsidRPr="00D76340" w:rsidRDefault="002C334D" w:rsidP="00706A12">
      <w:pPr>
        <w:spacing w:line="480" w:lineRule="auto"/>
        <w:ind w:firstLine="720"/>
        <w:jc w:val="both"/>
        <w:rPr>
          <w:rFonts w:cs="Times New Roman"/>
        </w:rPr>
      </w:pPr>
      <w:r w:rsidRPr="00D76340">
        <w:rPr>
          <w:rFonts w:cs="Times New Roman"/>
        </w:rPr>
        <w:t xml:space="preserve">In this study, we use a nationally representative sample of over </w:t>
      </w:r>
      <w:r w:rsidRPr="00D76340">
        <w:rPr>
          <w:rFonts w:cs="Times New Roman"/>
          <w:highlight w:val="yellow"/>
        </w:rPr>
        <w:t>1</w:t>
      </w:r>
      <w:r w:rsidR="00706A12" w:rsidRPr="00D76340">
        <w:rPr>
          <w:rFonts w:cs="Times New Roman"/>
          <w:highlight w:val="yellow"/>
        </w:rPr>
        <w:t>5</w:t>
      </w:r>
      <w:r w:rsidRPr="00D76340">
        <w:rPr>
          <w:rFonts w:cs="Times New Roman"/>
          <w:highlight w:val="yellow"/>
        </w:rPr>
        <w:t>0,000</w:t>
      </w:r>
      <w:r w:rsidRPr="00D76340">
        <w:rPr>
          <w:rFonts w:cs="Times New Roman"/>
        </w:rPr>
        <w:t xml:space="preserve"> children</w:t>
      </w:r>
      <w:r w:rsidR="00706A12" w:rsidRPr="00D76340">
        <w:rPr>
          <w:rFonts w:cs="Times New Roman"/>
        </w:rPr>
        <w:t xml:space="preserve"> and adolescents, aged 3 to 17,</w:t>
      </w:r>
      <w:r w:rsidRPr="00D76340">
        <w:rPr>
          <w:rFonts w:cs="Times New Roman"/>
        </w:rPr>
        <w:t xml:space="preserve"> in the U</w:t>
      </w:r>
      <w:r w:rsidR="00A33288" w:rsidRPr="00D76340">
        <w:rPr>
          <w:rFonts w:cs="Times New Roman"/>
        </w:rPr>
        <w:t>nited States</w:t>
      </w:r>
      <w:r w:rsidRPr="00D76340">
        <w:rPr>
          <w:rFonts w:cs="Times New Roman"/>
        </w:rPr>
        <w:t xml:space="preserve"> between 2016 and 2020 to estimate </w:t>
      </w:r>
      <w:r w:rsidR="00A33288" w:rsidRPr="00D76340">
        <w:rPr>
          <w:rFonts w:cs="Times New Roman"/>
        </w:rPr>
        <w:t xml:space="preserve">the effect of raising </w:t>
      </w:r>
      <w:r w:rsidR="00A33288" w:rsidRPr="00D76340">
        <w:rPr>
          <w:rFonts w:cs="Times New Roman"/>
        </w:rPr>
        <w:lastRenderedPageBreak/>
        <w:t xml:space="preserve">the minimum wage on children’s </w:t>
      </w:r>
      <w:r w:rsidR="00CC36E5">
        <w:rPr>
          <w:rFonts w:cs="Times New Roman"/>
        </w:rPr>
        <w:t xml:space="preserve">mental </w:t>
      </w:r>
      <w:r w:rsidR="00A33288" w:rsidRPr="00D76340">
        <w:rPr>
          <w:rFonts w:cs="Times New Roman"/>
        </w:rPr>
        <w:t>health</w:t>
      </w:r>
      <w:r w:rsidR="00706A12" w:rsidRPr="00D76340">
        <w:rPr>
          <w:rFonts w:cs="Times New Roman"/>
        </w:rPr>
        <w:t xml:space="preserve">. We examine several outcomes, including rates of depression, anxiety, </w:t>
      </w:r>
      <w:r w:rsidR="00CC36E5">
        <w:rPr>
          <w:rFonts w:cs="Times New Roman"/>
        </w:rPr>
        <w:t>behavioral problems,</w:t>
      </w:r>
      <w:r w:rsidR="00706A12" w:rsidRPr="00D76340">
        <w:rPr>
          <w:rFonts w:cs="Times New Roman"/>
        </w:rPr>
        <w:t xml:space="preserve"> digestive </w:t>
      </w:r>
      <w:r w:rsidR="00CC36E5">
        <w:rPr>
          <w:rFonts w:cs="Times New Roman"/>
        </w:rPr>
        <w:t>issues, and missed school</w:t>
      </w:r>
      <w:r w:rsidR="00F52122" w:rsidRPr="00D76340">
        <w:rPr>
          <w:rFonts w:cs="Times New Roman"/>
        </w:rPr>
        <w:t>.</w:t>
      </w:r>
      <w:r w:rsidR="00455C20" w:rsidRPr="00D76340">
        <w:rPr>
          <w:rFonts w:cs="Times New Roman"/>
        </w:rPr>
        <w:t xml:space="preserve"> </w:t>
      </w:r>
      <w:r w:rsidR="00F52122" w:rsidRPr="00D76340">
        <w:rPr>
          <w:rFonts w:cs="Times New Roman"/>
        </w:rPr>
        <w:t xml:space="preserve">We </w:t>
      </w:r>
      <w:r w:rsidR="00455C20" w:rsidRPr="00D76340">
        <w:rPr>
          <w:rFonts w:cs="Times New Roman"/>
        </w:rPr>
        <w:t>hypothesiz</w:t>
      </w:r>
      <w:r w:rsidR="00F52122" w:rsidRPr="00D76340">
        <w:rPr>
          <w:rFonts w:cs="Times New Roman"/>
        </w:rPr>
        <w:t>e</w:t>
      </w:r>
      <w:r w:rsidR="00455C20" w:rsidRPr="00D76340">
        <w:rPr>
          <w:rFonts w:cs="Times New Roman"/>
        </w:rPr>
        <w:t xml:space="preserve"> that raising the minimum wage will improve the mental health of children. </w:t>
      </w:r>
      <w:r w:rsidR="00706A12" w:rsidRPr="00D76340">
        <w:rPr>
          <w:rFonts w:cs="Times New Roman"/>
        </w:rPr>
        <w:t xml:space="preserve">This study has important implications for the design of economic policy to improve the mental health of children, as well as the use of structural interventions to </w:t>
      </w:r>
      <w:r w:rsidR="00555999" w:rsidRPr="00D76340">
        <w:rPr>
          <w:rFonts w:cs="Times New Roman"/>
        </w:rPr>
        <w:t>benefit</w:t>
      </w:r>
      <w:r w:rsidR="00706A12" w:rsidRPr="00D76340">
        <w:rPr>
          <w:rFonts w:cs="Times New Roman"/>
        </w:rPr>
        <w:t xml:space="preserve"> vulnerable populations more generally.</w:t>
      </w:r>
    </w:p>
    <w:p w14:paraId="61AFF47B" w14:textId="77777777" w:rsidR="005E65C9" w:rsidRPr="00D76340" w:rsidRDefault="005E65C9" w:rsidP="005E65C9">
      <w:pPr>
        <w:spacing w:line="480" w:lineRule="auto"/>
        <w:jc w:val="both"/>
        <w:rPr>
          <w:rFonts w:cs="Times New Roman"/>
          <w:u w:val="single"/>
        </w:rPr>
      </w:pPr>
    </w:p>
    <w:p w14:paraId="5C245865" w14:textId="6C1EBB60" w:rsidR="005E65C9" w:rsidRPr="00D76340" w:rsidRDefault="005E65C9" w:rsidP="005E65C9">
      <w:pPr>
        <w:spacing w:line="480" w:lineRule="auto"/>
        <w:jc w:val="center"/>
        <w:rPr>
          <w:rFonts w:cs="Times New Roman"/>
          <w:b/>
          <w:bCs/>
          <w:u w:val="single"/>
        </w:rPr>
      </w:pPr>
      <w:r w:rsidRPr="00D76340">
        <w:rPr>
          <w:rFonts w:cs="Times New Roman"/>
          <w:b/>
          <w:bCs/>
          <w:u w:val="single"/>
        </w:rPr>
        <w:t>Materials and Methods</w:t>
      </w:r>
    </w:p>
    <w:p w14:paraId="7B1DAB76" w14:textId="6840AF3B" w:rsidR="005E65C9" w:rsidRPr="00D76340" w:rsidRDefault="005E65C9" w:rsidP="005E65C9">
      <w:pPr>
        <w:spacing w:line="480" w:lineRule="auto"/>
        <w:jc w:val="both"/>
        <w:rPr>
          <w:rFonts w:cs="Times New Roman"/>
          <w:b/>
          <w:bCs/>
          <w:i/>
          <w:iCs/>
        </w:rPr>
      </w:pPr>
      <w:r w:rsidRPr="00D76340">
        <w:rPr>
          <w:rFonts w:cs="Times New Roman"/>
          <w:b/>
          <w:bCs/>
          <w:i/>
          <w:iCs/>
        </w:rPr>
        <w:t>Study Population</w:t>
      </w:r>
    </w:p>
    <w:p w14:paraId="4640DA29" w14:textId="66BC54DC" w:rsidR="00656975" w:rsidRPr="00D76340" w:rsidRDefault="005E65C9" w:rsidP="00656975">
      <w:pPr>
        <w:spacing w:line="480" w:lineRule="auto"/>
        <w:jc w:val="both"/>
        <w:rPr>
          <w:rFonts w:cs="Times New Roman"/>
        </w:rPr>
      </w:pPr>
      <w:r w:rsidRPr="00D76340">
        <w:rPr>
          <w:rFonts w:cs="Times New Roman"/>
        </w:rPr>
        <w:tab/>
        <w:t xml:space="preserve">We used the 2016 to 2020 waves of the National Survey of Children’s Health (NSCH), a yearly, nationally representative study of the physical and emotional well-being of children in the United States. Using web and paper questionnaires, </w:t>
      </w:r>
      <w:r w:rsidR="00ED67AF" w:rsidRPr="00D76340">
        <w:rPr>
          <w:rFonts w:cs="Times New Roman"/>
        </w:rPr>
        <w:t>it</w:t>
      </w:r>
      <w:r w:rsidRPr="00D76340">
        <w:rPr>
          <w:rFonts w:cs="Times New Roman"/>
        </w:rPr>
        <w:t xml:space="preserve"> </w:t>
      </w:r>
      <w:r w:rsidR="00C126AC" w:rsidRPr="00D76340">
        <w:rPr>
          <w:rFonts w:cs="Times New Roman"/>
        </w:rPr>
        <w:t>surveys</w:t>
      </w:r>
      <w:r w:rsidRPr="00D76340">
        <w:rPr>
          <w:rFonts w:cs="Times New Roman"/>
        </w:rPr>
        <w:t xml:space="preserve"> parents </w:t>
      </w:r>
      <w:r w:rsidR="00ED67AF" w:rsidRPr="00D76340">
        <w:rPr>
          <w:rFonts w:cs="Times New Roman"/>
        </w:rPr>
        <w:t xml:space="preserve">and guardians </w:t>
      </w:r>
      <w:r w:rsidRPr="00D76340">
        <w:rPr>
          <w:rFonts w:cs="Times New Roman"/>
        </w:rPr>
        <w:t xml:space="preserve">about </w:t>
      </w:r>
      <w:r w:rsidR="007F48DB" w:rsidRPr="00D76340">
        <w:rPr>
          <w:rFonts w:cs="Times New Roman"/>
        </w:rPr>
        <w:t xml:space="preserve">one of </w:t>
      </w:r>
      <w:r w:rsidRPr="00D76340">
        <w:rPr>
          <w:rFonts w:cs="Times New Roman"/>
        </w:rPr>
        <w:t xml:space="preserve">their children. The NSCH uses a complex sampling design. Within each state, it draws from (1) households known to have a child under the age of 18 based on </w:t>
      </w:r>
      <w:r w:rsidR="00656975" w:rsidRPr="00D76340">
        <w:rPr>
          <w:rFonts w:cs="Times New Roman"/>
        </w:rPr>
        <w:t>C</w:t>
      </w:r>
      <w:r w:rsidRPr="00D76340">
        <w:rPr>
          <w:rFonts w:cs="Times New Roman"/>
        </w:rPr>
        <w:t>ensus data and (2) households projected to have a child based on demographic and geographic characteristics. It also provides survey weights based on demographic characteristics and a child’s probability of selection.</w:t>
      </w:r>
    </w:p>
    <w:p w14:paraId="5D4C3924" w14:textId="0DDFE166" w:rsidR="00FF46A4" w:rsidRPr="00D76340" w:rsidRDefault="00C126AC" w:rsidP="00FF46A4">
      <w:pPr>
        <w:spacing w:line="480" w:lineRule="auto"/>
        <w:ind w:firstLine="720"/>
        <w:jc w:val="both"/>
        <w:rPr>
          <w:rFonts w:cs="Times New Roman"/>
        </w:rPr>
      </w:pPr>
      <w:r w:rsidRPr="00D76340">
        <w:rPr>
          <w:rFonts w:cs="Times New Roman"/>
        </w:rPr>
        <w:t xml:space="preserve">Consistent with surveillance studies that estimate the prevalence of </w:t>
      </w:r>
      <w:r w:rsidR="00166A75">
        <w:rPr>
          <w:rFonts w:cs="Times New Roman"/>
        </w:rPr>
        <w:t>mood disorders</w:t>
      </w:r>
      <w:r w:rsidRPr="00D76340">
        <w:rPr>
          <w:rFonts w:cs="Times New Roman"/>
        </w:rPr>
        <w:t xml:space="preserve"> starting at age 3,</w:t>
      </w:r>
      <w:r w:rsidRPr="00D76340">
        <w:rPr>
          <w:rFonts w:cs="Times New Roman"/>
        </w:rPr>
        <w:fldChar w:fldCharType="begin"/>
      </w:r>
      <w:r w:rsidRPr="00D76340">
        <w:rPr>
          <w:rFonts w:cs="Times New Roman"/>
        </w:rPr>
        <w:instrText xml:space="preserve"> ADDIN ZOTERO_ITEM CSL_CITATION {"citationID":"ogn8tA8t","properties":{"formattedCitation":"\\super 7\\nosupersub{}","plainCitation":"7","noteIndex":0},"citationItems":[{"id":3773,"uris":["http://zotero.org/users/5446295/items/ZJ5N4K6P","http://zotero.org/users/5446295/items/G2RZCNYN"],"itemData":{"id":3773,"type":"article-journal","container-title":"MMWR supplements","issue":"2","note":"publisher: Centers for Disease Control and Prevention","page":"1","title":"Mental health surveillance among children—United States, 2013–2019","volume":"71","author":[{"family":"Bitsko","given":"Rebecca H."},{"family":"Claussen","given":"Angelika H."},{"family":"Lichstein","given":"Jesse"},{"family":"Black","given":"Lindsey I."},{"family":"Jones","given":"Sherry Everett"},{"family":"Danielson","given":"Melissa L."},{"family":"Hoenig","given":"Jennifer M."},{"family":"Jack","given":"Shane P. Davis"},{"family":"Brody","given":"Debra J."},{"family":"Gyawali","given":"Shiromani"}],"issued":{"date-parts":[["2022"]]},"citation-key":"bitskoMentalHealthSurveillance2022a"}}],"schema":"https://github.com/citation-style-language/schema/raw/master/csl-citation.json"} </w:instrText>
      </w:r>
      <w:r w:rsidRPr="00D76340">
        <w:rPr>
          <w:rFonts w:cs="Times New Roman"/>
        </w:rPr>
        <w:fldChar w:fldCharType="separate"/>
      </w:r>
      <w:r w:rsidRPr="00D76340">
        <w:rPr>
          <w:rFonts w:cs="Times New Roman"/>
          <w:vertAlign w:val="superscript"/>
        </w:rPr>
        <w:t>7</w:t>
      </w:r>
      <w:r w:rsidRPr="00D76340">
        <w:rPr>
          <w:rFonts w:cs="Times New Roman"/>
        </w:rPr>
        <w:fldChar w:fldCharType="end"/>
      </w:r>
      <w:r w:rsidRPr="00D76340">
        <w:rPr>
          <w:rFonts w:cs="Times New Roman"/>
        </w:rPr>
        <w:t xml:space="preserve"> </w:t>
      </w:r>
      <w:r w:rsidR="00166A75">
        <w:rPr>
          <w:rFonts w:cs="Times New Roman"/>
        </w:rPr>
        <w:t>our analyses</w:t>
      </w:r>
      <w:r w:rsidRPr="00D76340">
        <w:rPr>
          <w:rFonts w:cs="Times New Roman"/>
        </w:rPr>
        <w:t xml:space="preserve"> included all children aged 3 to 17 </w:t>
      </w:r>
      <w:r w:rsidR="00166A75">
        <w:rPr>
          <w:rFonts w:cs="Times New Roman"/>
        </w:rPr>
        <w:t xml:space="preserve">who reported at least one of the mental health outcomes described below, for a total sample of </w:t>
      </w:r>
      <w:r w:rsidR="00166A75" w:rsidRPr="00166A75">
        <w:rPr>
          <w:rFonts w:cs="Times New Roman"/>
          <w:highlight w:val="yellow"/>
        </w:rPr>
        <w:t>150</w:t>
      </w:r>
      <w:r w:rsidR="00166A75" w:rsidRPr="00166A75">
        <w:rPr>
          <w:rFonts w:cs="Times New Roman"/>
          <w:highlight w:val="yellow"/>
        </w:rPr>
        <w:t>,</w:t>
      </w:r>
      <w:r w:rsidR="00166A75" w:rsidRPr="00166A75">
        <w:rPr>
          <w:rFonts w:cs="Times New Roman"/>
          <w:highlight w:val="yellow"/>
        </w:rPr>
        <w:t>833</w:t>
      </w:r>
      <w:r w:rsidR="00166A75">
        <w:rPr>
          <w:rFonts w:cs="Times New Roman"/>
        </w:rPr>
        <w:t>. The d</w:t>
      </w:r>
      <w:r w:rsidR="005E65C9" w:rsidRPr="00D76340">
        <w:rPr>
          <w:rFonts w:cs="Times New Roman"/>
        </w:rPr>
        <w:t xml:space="preserve">emographic and socioeconomic characteristics </w:t>
      </w:r>
      <w:r w:rsidR="00166A75">
        <w:rPr>
          <w:rFonts w:cs="Times New Roman"/>
        </w:rPr>
        <w:t>of the children and their households</w:t>
      </w:r>
      <w:r w:rsidR="00166A75" w:rsidRPr="00D76340">
        <w:rPr>
          <w:rFonts w:cs="Times New Roman"/>
        </w:rPr>
        <w:t xml:space="preserve"> are</w:t>
      </w:r>
      <w:r w:rsidR="005E65C9" w:rsidRPr="00D76340">
        <w:rPr>
          <w:rFonts w:cs="Times New Roman"/>
        </w:rPr>
        <w:t xml:space="preserve"> provided in </w:t>
      </w:r>
      <w:r w:rsidR="005E65C9" w:rsidRPr="00D76340">
        <w:rPr>
          <w:rFonts w:cs="Times New Roman"/>
          <w:b/>
          <w:bCs/>
        </w:rPr>
        <w:t>Table 1</w:t>
      </w:r>
      <w:r w:rsidR="005E65C9" w:rsidRPr="00D76340">
        <w:rPr>
          <w:rFonts w:cs="Times New Roman"/>
        </w:rPr>
        <w:t>.</w:t>
      </w:r>
    </w:p>
    <w:p w14:paraId="703239B5" w14:textId="77777777" w:rsidR="00662BC4" w:rsidRPr="00D76340" w:rsidRDefault="00662BC4" w:rsidP="005E65C9">
      <w:pPr>
        <w:spacing w:line="480" w:lineRule="auto"/>
        <w:jc w:val="both"/>
        <w:rPr>
          <w:rFonts w:cs="Times New Roman"/>
        </w:rPr>
      </w:pPr>
    </w:p>
    <w:p w14:paraId="4FC6EEBF" w14:textId="53C99FB3" w:rsidR="007F48DB" w:rsidRPr="00D76340" w:rsidRDefault="007F48DB" w:rsidP="005E65C9">
      <w:pPr>
        <w:spacing w:line="480" w:lineRule="auto"/>
        <w:jc w:val="both"/>
        <w:rPr>
          <w:rFonts w:cs="Times New Roman"/>
          <w:b/>
          <w:bCs/>
          <w:i/>
          <w:iCs/>
        </w:rPr>
      </w:pPr>
      <w:r w:rsidRPr="00D76340">
        <w:rPr>
          <w:rFonts w:cs="Times New Roman"/>
          <w:b/>
          <w:bCs/>
          <w:i/>
          <w:iCs/>
        </w:rPr>
        <w:t>Exposure and Outcome Measures</w:t>
      </w:r>
    </w:p>
    <w:p w14:paraId="5337B704" w14:textId="7B62E6F4" w:rsidR="00BA2FB3" w:rsidRPr="00D76340" w:rsidRDefault="00AD4D9A" w:rsidP="005E65C9">
      <w:pPr>
        <w:spacing w:line="480" w:lineRule="auto"/>
        <w:jc w:val="both"/>
        <w:rPr>
          <w:rFonts w:cs="Times New Roman"/>
        </w:rPr>
      </w:pPr>
      <w:r w:rsidRPr="00D76340">
        <w:rPr>
          <w:rFonts w:cs="Times New Roman"/>
        </w:rPr>
        <w:tab/>
      </w:r>
      <w:r w:rsidR="00176331" w:rsidRPr="00D76340">
        <w:rPr>
          <w:rFonts w:cs="Times New Roman"/>
        </w:rPr>
        <w:t>In cross-sectional analyses, o</w:t>
      </w:r>
      <w:r w:rsidR="007F48DB" w:rsidRPr="00D76340">
        <w:rPr>
          <w:rFonts w:cs="Times New Roman"/>
        </w:rPr>
        <w:t>ur independent variable of interest is</w:t>
      </w:r>
      <w:r w:rsidR="00176331" w:rsidRPr="00D76340">
        <w:rPr>
          <w:rFonts w:cs="Times New Roman"/>
        </w:rPr>
        <w:t xml:space="preserve"> a household’s income, relative to the federal poverty level (FPL</w:t>
      </w:r>
      <w:r w:rsidR="00EE28F2" w:rsidRPr="00D76340">
        <w:rPr>
          <w:rFonts w:cs="Times New Roman"/>
        </w:rPr>
        <w:t>)</w:t>
      </w:r>
      <w:r w:rsidR="00DD06DA" w:rsidRPr="00D76340">
        <w:rPr>
          <w:rFonts w:cs="Times New Roman"/>
        </w:rPr>
        <w:t>, which</w:t>
      </w:r>
      <w:r w:rsidR="002908D5" w:rsidRPr="00D76340">
        <w:rPr>
          <w:rFonts w:cs="Times New Roman"/>
        </w:rPr>
        <w:t xml:space="preserve"> we</w:t>
      </w:r>
      <w:r w:rsidR="00EE28F2" w:rsidRPr="00D76340">
        <w:rPr>
          <w:rFonts w:cs="Times New Roman"/>
        </w:rPr>
        <w:t xml:space="preserve"> categorized</w:t>
      </w:r>
      <w:r w:rsidR="002908D5" w:rsidRPr="00D76340">
        <w:rPr>
          <w:rFonts w:cs="Times New Roman"/>
        </w:rPr>
        <w:t xml:space="preserve"> </w:t>
      </w:r>
      <w:r w:rsidR="00EE28F2" w:rsidRPr="00D76340">
        <w:rPr>
          <w:rFonts w:cs="Times New Roman"/>
        </w:rPr>
        <w:t xml:space="preserve">as less than 100% FPL, 100% to </w:t>
      </w:r>
      <w:r w:rsidR="00EE28F2" w:rsidRPr="00D76340">
        <w:rPr>
          <w:rFonts w:cs="Times New Roman"/>
        </w:rPr>
        <w:lastRenderedPageBreak/>
        <w:t>199%, 200% to 299%, 300% to 399%, and 400% or greater</w:t>
      </w:r>
      <w:r w:rsidR="00176331" w:rsidRPr="00D76340">
        <w:rPr>
          <w:rFonts w:cs="Times New Roman"/>
        </w:rPr>
        <w:t xml:space="preserve">. In time-variant analyses, we </w:t>
      </w:r>
      <w:r w:rsidR="0091362E" w:rsidRPr="00D76340">
        <w:rPr>
          <w:rFonts w:cs="Times New Roman"/>
        </w:rPr>
        <w:t>focus on</w:t>
      </w:r>
      <w:r w:rsidR="007F48DB" w:rsidRPr="00D76340">
        <w:rPr>
          <w:rFonts w:cs="Times New Roman"/>
        </w:rPr>
        <w:t xml:space="preserve"> </w:t>
      </w:r>
      <w:r w:rsidR="00176331" w:rsidRPr="00D76340">
        <w:rPr>
          <w:rFonts w:cs="Times New Roman"/>
        </w:rPr>
        <w:t>a state’s</w:t>
      </w:r>
      <w:r w:rsidR="007F48DB" w:rsidRPr="00D76340">
        <w:rPr>
          <w:rFonts w:cs="Times New Roman"/>
        </w:rPr>
        <w:t xml:space="preserve"> effective minimum wage </w:t>
      </w:r>
      <w:r w:rsidR="00C60785" w:rsidRPr="00D76340">
        <w:rPr>
          <w:rFonts w:cs="Times New Roman"/>
        </w:rPr>
        <w:t xml:space="preserve">per year </w:t>
      </w:r>
      <w:r w:rsidR="007F48DB" w:rsidRPr="00D76340">
        <w:rPr>
          <w:rFonts w:cs="Times New Roman"/>
        </w:rPr>
        <w:t xml:space="preserve">in </w:t>
      </w:r>
      <w:r w:rsidR="00EA2B93" w:rsidRPr="00D76340">
        <w:rPr>
          <w:rFonts w:cs="Times New Roman"/>
        </w:rPr>
        <w:t xml:space="preserve">U.S. </w:t>
      </w:r>
      <w:r w:rsidR="007F48DB" w:rsidRPr="00D76340">
        <w:rPr>
          <w:rFonts w:cs="Times New Roman"/>
        </w:rPr>
        <w:t>dollars</w:t>
      </w:r>
      <w:r w:rsidR="0091362E" w:rsidRPr="00D76340">
        <w:rPr>
          <w:rFonts w:cs="Times New Roman"/>
        </w:rPr>
        <w:t>. We use</w:t>
      </w:r>
      <w:r w:rsidR="00176331" w:rsidRPr="00D76340">
        <w:rPr>
          <w:rFonts w:cs="Times New Roman"/>
        </w:rPr>
        <w:t xml:space="preserve"> </w:t>
      </w:r>
      <w:r w:rsidR="0091362E" w:rsidRPr="00D76340">
        <w:rPr>
          <w:rFonts w:cs="Times New Roman"/>
        </w:rPr>
        <w:t xml:space="preserve">wage </w:t>
      </w:r>
      <w:r w:rsidR="00176331" w:rsidRPr="00D76340">
        <w:rPr>
          <w:rFonts w:cs="Times New Roman"/>
        </w:rPr>
        <w:t>data</w:t>
      </w:r>
      <w:r w:rsidR="007F48DB" w:rsidRPr="00D76340">
        <w:rPr>
          <w:rFonts w:cs="Times New Roman"/>
        </w:rPr>
        <w:t xml:space="preserve"> </w:t>
      </w:r>
      <w:r w:rsidR="00CE135C" w:rsidRPr="00D76340">
        <w:rPr>
          <w:rFonts w:cs="Times New Roman"/>
        </w:rPr>
        <w:t>from</w:t>
      </w:r>
      <w:r w:rsidR="007F48DB" w:rsidRPr="00D76340">
        <w:rPr>
          <w:rFonts w:cs="Times New Roman"/>
        </w:rPr>
        <w:t xml:space="preserve"> </w:t>
      </w:r>
      <w:r w:rsidRPr="00D76340">
        <w:rPr>
          <w:rFonts w:cs="Times New Roman"/>
        </w:rPr>
        <w:t xml:space="preserve">the </w:t>
      </w:r>
      <w:r w:rsidR="007F48DB" w:rsidRPr="00D76340">
        <w:rPr>
          <w:rFonts w:cs="Times New Roman"/>
        </w:rPr>
        <w:t xml:space="preserve">Bureau of Labor Statistics, which provides the </w:t>
      </w:r>
      <w:r w:rsidR="0091362E" w:rsidRPr="00D76340">
        <w:rPr>
          <w:rFonts w:cs="Times New Roman"/>
        </w:rPr>
        <w:t>higher</w:t>
      </w:r>
      <w:r w:rsidR="007F48DB" w:rsidRPr="00D76340">
        <w:rPr>
          <w:rFonts w:cs="Times New Roman"/>
        </w:rPr>
        <w:t xml:space="preserve"> of a state’s minimum wage or the federal minimum wage, which has been $7.25 since 2009.</w:t>
      </w:r>
      <w:r w:rsidR="002908D5" w:rsidRPr="00D76340">
        <w:rPr>
          <w:rFonts w:cs="Times New Roman"/>
        </w:rPr>
        <w:t xml:space="preserve"> Descriptive statistics for the wages are provided in </w:t>
      </w:r>
      <w:r w:rsidR="002908D5" w:rsidRPr="00D76340">
        <w:rPr>
          <w:rFonts w:cs="Times New Roman"/>
          <w:b/>
          <w:bCs/>
        </w:rPr>
        <w:t>Figure 1</w:t>
      </w:r>
      <w:r w:rsidR="002908D5" w:rsidRPr="00D76340">
        <w:rPr>
          <w:rFonts w:cs="Times New Roman"/>
        </w:rPr>
        <w:t>.</w:t>
      </w:r>
      <w:r w:rsidR="007F48DB" w:rsidRPr="00D76340">
        <w:rPr>
          <w:rFonts w:cs="Times New Roman"/>
        </w:rPr>
        <w:t xml:space="preserve"> </w:t>
      </w:r>
      <w:r w:rsidR="00CE135C" w:rsidRPr="00D76340">
        <w:rPr>
          <w:rFonts w:cs="Times New Roman"/>
        </w:rPr>
        <w:t xml:space="preserve">Our results are not sensitive to adjusting </w:t>
      </w:r>
      <w:r w:rsidR="007F48DB" w:rsidRPr="00D76340">
        <w:rPr>
          <w:rFonts w:cs="Times New Roman"/>
        </w:rPr>
        <w:t>wage</w:t>
      </w:r>
      <w:r w:rsidR="0091362E" w:rsidRPr="00D76340">
        <w:rPr>
          <w:rFonts w:cs="Times New Roman"/>
        </w:rPr>
        <w:t>s</w:t>
      </w:r>
      <w:r w:rsidR="007F48DB" w:rsidRPr="00D76340">
        <w:rPr>
          <w:rFonts w:cs="Times New Roman"/>
        </w:rPr>
        <w:t xml:space="preserve"> for inflation in 2020 dollars (</w:t>
      </w:r>
      <w:r w:rsidR="009A6A53" w:rsidRPr="00D76340">
        <w:rPr>
          <w:rFonts w:cs="Times New Roman"/>
        </w:rPr>
        <w:t>see appendix</w:t>
      </w:r>
      <w:r w:rsidR="007F48DB" w:rsidRPr="00D76340">
        <w:rPr>
          <w:rFonts w:cs="Times New Roman"/>
        </w:rPr>
        <w:t>).</w:t>
      </w:r>
    </w:p>
    <w:p w14:paraId="76CBA02D" w14:textId="091096B9" w:rsidR="00FF46A4" w:rsidRPr="00D76340" w:rsidRDefault="00CE135C" w:rsidP="005E65C9">
      <w:pPr>
        <w:spacing w:line="480" w:lineRule="auto"/>
        <w:jc w:val="both"/>
        <w:rPr>
          <w:rFonts w:cs="Times New Roman"/>
        </w:rPr>
      </w:pPr>
      <w:r w:rsidRPr="00D76340">
        <w:rPr>
          <w:rFonts w:cs="Times New Roman"/>
        </w:rPr>
        <w:tab/>
      </w:r>
      <w:r w:rsidR="0067611F" w:rsidRPr="00D76340">
        <w:rPr>
          <w:rFonts w:cs="Times New Roman"/>
        </w:rPr>
        <w:t>Our</w:t>
      </w:r>
      <w:r w:rsidRPr="00D76340">
        <w:rPr>
          <w:rFonts w:cs="Times New Roman"/>
        </w:rPr>
        <w:t xml:space="preserve"> dependent variables of interest are several mental health </w:t>
      </w:r>
      <w:r w:rsidR="00FF46A4" w:rsidRPr="00D76340">
        <w:rPr>
          <w:rFonts w:cs="Times New Roman"/>
        </w:rPr>
        <w:t>outcomes for children</w:t>
      </w:r>
      <w:r w:rsidR="00C4111C" w:rsidRPr="00D76340">
        <w:rPr>
          <w:rFonts w:cs="Times New Roman"/>
        </w:rPr>
        <w:t>, as reported by parents</w:t>
      </w:r>
      <w:r w:rsidR="00FF46A4" w:rsidRPr="00D76340">
        <w:rPr>
          <w:rFonts w:cs="Times New Roman"/>
        </w:rPr>
        <w:t xml:space="preserve"> or guardians</w:t>
      </w:r>
      <w:r w:rsidRPr="00D76340">
        <w:rPr>
          <w:rFonts w:cs="Times New Roman"/>
        </w:rPr>
        <w:t xml:space="preserve">. </w:t>
      </w:r>
      <w:r w:rsidR="00C4111C" w:rsidRPr="00D76340">
        <w:rPr>
          <w:rFonts w:cs="Times New Roman"/>
        </w:rPr>
        <w:t>W</w:t>
      </w:r>
      <w:r w:rsidRPr="00D76340">
        <w:rPr>
          <w:rFonts w:cs="Times New Roman"/>
        </w:rPr>
        <w:t xml:space="preserve">e </w:t>
      </w:r>
      <w:r w:rsidR="0067611F" w:rsidRPr="00D76340">
        <w:rPr>
          <w:rFonts w:cs="Times New Roman"/>
        </w:rPr>
        <w:t xml:space="preserve">evaluated </w:t>
      </w:r>
      <w:r w:rsidR="00FF46A4" w:rsidRPr="00D76340">
        <w:rPr>
          <w:rFonts w:cs="Times New Roman"/>
        </w:rPr>
        <w:t>whether</w:t>
      </w:r>
      <w:r w:rsidR="00C4111C" w:rsidRPr="00D76340">
        <w:rPr>
          <w:rFonts w:cs="Times New Roman"/>
        </w:rPr>
        <w:t xml:space="preserve"> </w:t>
      </w:r>
      <w:r w:rsidR="00FF46A4" w:rsidRPr="00D76340">
        <w:rPr>
          <w:rFonts w:cs="Times New Roman"/>
        </w:rPr>
        <w:t>a child</w:t>
      </w:r>
      <w:r w:rsidR="00C4111C" w:rsidRPr="00D76340">
        <w:rPr>
          <w:rFonts w:cs="Times New Roman"/>
        </w:rPr>
        <w:t xml:space="preserve"> (1) currently ha</w:t>
      </w:r>
      <w:r w:rsidR="00FF46A4" w:rsidRPr="00D76340">
        <w:rPr>
          <w:rFonts w:cs="Times New Roman"/>
        </w:rPr>
        <w:t>s</w:t>
      </w:r>
      <w:r w:rsidR="00C4111C" w:rsidRPr="00D76340">
        <w:rPr>
          <w:rFonts w:cs="Times New Roman"/>
        </w:rPr>
        <w:t xml:space="preserve"> depression diagnosed by a </w:t>
      </w:r>
      <w:r w:rsidR="008A0D74">
        <w:rPr>
          <w:rFonts w:cs="Times New Roman"/>
        </w:rPr>
        <w:t xml:space="preserve">doctor or other </w:t>
      </w:r>
      <w:r w:rsidR="00C4111C" w:rsidRPr="00D76340">
        <w:rPr>
          <w:rFonts w:cs="Times New Roman"/>
        </w:rPr>
        <w:t>health care provider</w:t>
      </w:r>
      <w:r w:rsidR="00FF46A4" w:rsidRPr="00D76340">
        <w:rPr>
          <w:rFonts w:cs="Times New Roman"/>
        </w:rPr>
        <w:t xml:space="preserve">; </w:t>
      </w:r>
      <w:r w:rsidR="00C4111C" w:rsidRPr="00D76340">
        <w:rPr>
          <w:rFonts w:cs="Times New Roman"/>
        </w:rPr>
        <w:t xml:space="preserve">(2) currently </w:t>
      </w:r>
      <w:r w:rsidR="00FF46A4" w:rsidRPr="00D76340">
        <w:rPr>
          <w:rFonts w:cs="Times New Roman"/>
        </w:rPr>
        <w:t>has</w:t>
      </w:r>
      <w:r w:rsidR="00C4111C" w:rsidRPr="00D76340">
        <w:rPr>
          <w:rFonts w:cs="Times New Roman"/>
        </w:rPr>
        <w:t xml:space="preserve"> anxiety diagnosed by a provider</w:t>
      </w:r>
      <w:r w:rsidR="00FF46A4" w:rsidRPr="00D76340">
        <w:rPr>
          <w:rFonts w:cs="Times New Roman"/>
        </w:rPr>
        <w:t>;</w:t>
      </w:r>
      <w:r w:rsidR="008A0D74">
        <w:rPr>
          <w:rFonts w:cs="Times New Roman"/>
        </w:rPr>
        <w:t xml:space="preserve"> (3) currently has behavioral problems identified by a provider or educator; </w:t>
      </w:r>
      <w:r w:rsidR="008A0D74" w:rsidRPr="00D76340">
        <w:rPr>
          <w:rFonts w:cs="Times New Roman"/>
        </w:rPr>
        <w:t>(</w:t>
      </w:r>
      <w:r w:rsidR="008A0D74">
        <w:rPr>
          <w:rFonts w:cs="Times New Roman"/>
        </w:rPr>
        <w:t>4</w:t>
      </w:r>
      <w:r w:rsidR="008A0D74" w:rsidRPr="00D76340">
        <w:rPr>
          <w:rFonts w:cs="Times New Roman"/>
        </w:rPr>
        <w:t>) has had frequent or chronic difficulty digesting food (including stomach or intestinal problems, constipation, or diarrhea) in the previous calendar year, which is a common manifestation of anxiety in children</w:t>
      </w:r>
      <w:r w:rsidR="008A0D74">
        <w:rPr>
          <w:rFonts w:cs="Times New Roman"/>
        </w:rPr>
        <w:t>; and</w:t>
      </w:r>
      <w:r w:rsidR="00C4111C" w:rsidRPr="00D76340">
        <w:rPr>
          <w:rFonts w:cs="Times New Roman"/>
        </w:rPr>
        <w:t xml:space="preserve"> (</w:t>
      </w:r>
      <w:r w:rsidR="008A0D74">
        <w:rPr>
          <w:rFonts w:cs="Times New Roman"/>
        </w:rPr>
        <w:t>5</w:t>
      </w:r>
      <w:r w:rsidR="00C4111C" w:rsidRPr="00D76340">
        <w:rPr>
          <w:rFonts w:cs="Times New Roman"/>
        </w:rPr>
        <w:t xml:space="preserve">) </w:t>
      </w:r>
      <w:r w:rsidR="00FF46A4" w:rsidRPr="00D76340">
        <w:rPr>
          <w:rFonts w:cs="Times New Roman"/>
        </w:rPr>
        <w:t>has</w:t>
      </w:r>
      <w:r w:rsidR="00C4111C" w:rsidRPr="00D76340">
        <w:rPr>
          <w:rFonts w:cs="Times New Roman"/>
        </w:rPr>
        <w:t xml:space="preserve"> missed 7 or more days of school in the previous calendar year,</w:t>
      </w:r>
      <w:r w:rsidR="00FF46A4" w:rsidRPr="00D76340">
        <w:rPr>
          <w:rFonts w:cs="Times New Roman"/>
        </w:rPr>
        <w:t xml:space="preserve"> which can result if a child has debilitating mental health problems (although not exclusively mental health ones)</w:t>
      </w:r>
      <w:r w:rsidR="00C4111C" w:rsidRPr="00D76340">
        <w:rPr>
          <w:rFonts w:cs="Times New Roman"/>
        </w:rPr>
        <w:t>.</w:t>
      </w:r>
    </w:p>
    <w:p w14:paraId="3142DCDD" w14:textId="77777777" w:rsidR="00FF46A4" w:rsidRPr="00D76340" w:rsidRDefault="00FF46A4" w:rsidP="005E65C9">
      <w:pPr>
        <w:spacing w:line="480" w:lineRule="auto"/>
        <w:jc w:val="both"/>
        <w:rPr>
          <w:rFonts w:cs="Times New Roman"/>
        </w:rPr>
      </w:pPr>
    </w:p>
    <w:p w14:paraId="234E821A" w14:textId="2C00B31F" w:rsidR="00FF46A4" w:rsidRPr="00D76340" w:rsidRDefault="00FF46A4" w:rsidP="005E65C9">
      <w:pPr>
        <w:spacing w:line="480" w:lineRule="auto"/>
        <w:jc w:val="both"/>
        <w:rPr>
          <w:rFonts w:cs="Times New Roman"/>
          <w:b/>
          <w:bCs/>
          <w:i/>
          <w:iCs/>
        </w:rPr>
      </w:pPr>
      <w:r w:rsidRPr="00D76340">
        <w:rPr>
          <w:rFonts w:cs="Times New Roman"/>
          <w:b/>
          <w:bCs/>
          <w:i/>
          <w:iCs/>
        </w:rPr>
        <w:t>Statistical Analyses</w:t>
      </w:r>
    </w:p>
    <w:p w14:paraId="2C88D0FB" w14:textId="27308F44" w:rsidR="005C1BA7" w:rsidRDefault="00FF46A4" w:rsidP="005E65C9">
      <w:pPr>
        <w:spacing w:line="480" w:lineRule="auto"/>
        <w:jc w:val="both"/>
        <w:rPr>
          <w:rFonts w:cs="Times New Roman"/>
        </w:rPr>
      </w:pPr>
      <w:r w:rsidRPr="00D76340">
        <w:rPr>
          <w:rFonts w:cs="Times New Roman"/>
        </w:rPr>
        <w:tab/>
      </w:r>
      <w:r w:rsidR="002E4741" w:rsidRPr="00D76340">
        <w:rPr>
          <w:rFonts w:cs="Times New Roman"/>
        </w:rPr>
        <w:t xml:space="preserve">First, we examine the association between a household’s FPL, divided into five categories, and </w:t>
      </w:r>
      <w:r w:rsidR="00E419D7" w:rsidRPr="00D76340">
        <w:rPr>
          <w:rFonts w:cs="Times New Roman"/>
        </w:rPr>
        <w:t xml:space="preserve">adverse </w:t>
      </w:r>
      <w:r w:rsidR="002E4741" w:rsidRPr="00D76340">
        <w:rPr>
          <w:rFonts w:cs="Times New Roman"/>
        </w:rPr>
        <w:t>children’s mental health outcomes using ordinary least squares (OLS) regressions. Then, w</w:t>
      </w:r>
      <w:r w:rsidR="004F5149" w:rsidRPr="00D76340">
        <w:rPr>
          <w:rFonts w:cs="Times New Roman"/>
        </w:rPr>
        <w:t xml:space="preserve">e test the effect of raising </w:t>
      </w:r>
      <w:r w:rsidR="00E419D7" w:rsidRPr="00D76340">
        <w:rPr>
          <w:rFonts w:cs="Times New Roman"/>
        </w:rPr>
        <w:t>a state’s</w:t>
      </w:r>
      <w:r w:rsidR="004F5149" w:rsidRPr="00D76340">
        <w:rPr>
          <w:rFonts w:cs="Times New Roman"/>
        </w:rPr>
        <w:t xml:space="preserve"> minimum wage on mental health outcomes using </w:t>
      </w:r>
      <w:r w:rsidRPr="00D76340">
        <w:rPr>
          <w:rFonts w:cs="Times New Roman"/>
        </w:rPr>
        <w:t>OLS regressions</w:t>
      </w:r>
      <w:r w:rsidR="00E419D7" w:rsidRPr="00D76340">
        <w:rPr>
          <w:rFonts w:cs="Times New Roman"/>
        </w:rPr>
        <w:t>; these models</w:t>
      </w:r>
      <w:r w:rsidR="004F5149" w:rsidRPr="00D76340">
        <w:rPr>
          <w:rFonts w:cs="Times New Roman"/>
        </w:rPr>
        <w:t xml:space="preserve"> </w:t>
      </w:r>
      <w:r w:rsidR="004E43F2" w:rsidRPr="00D76340">
        <w:rPr>
          <w:rFonts w:cs="Times New Roman"/>
        </w:rPr>
        <w:t xml:space="preserve">estimate the percentage-point </w:t>
      </w:r>
      <w:r w:rsidR="00E419D7" w:rsidRPr="00D76340">
        <w:rPr>
          <w:rFonts w:cs="Times New Roman"/>
        </w:rPr>
        <w:t xml:space="preserve">change in the rate of children with each </w:t>
      </w:r>
      <w:r w:rsidR="008427B5" w:rsidRPr="00D76340">
        <w:rPr>
          <w:rFonts w:cs="Times New Roman"/>
        </w:rPr>
        <w:t xml:space="preserve">mental health </w:t>
      </w:r>
      <w:r w:rsidR="00E419D7" w:rsidRPr="00D76340">
        <w:rPr>
          <w:rFonts w:cs="Times New Roman"/>
        </w:rPr>
        <w:t>outcome due to</w:t>
      </w:r>
      <w:r w:rsidR="004E43F2" w:rsidRPr="00D76340">
        <w:rPr>
          <w:rFonts w:cs="Times New Roman"/>
        </w:rPr>
        <w:t xml:space="preserve"> raising the minimum wage by $1.</w:t>
      </w:r>
      <w:r w:rsidR="004F5149" w:rsidRPr="00D76340">
        <w:rPr>
          <w:rFonts w:cs="Times New Roman"/>
        </w:rPr>
        <w:t xml:space="preserve"> </w:t>
      </w:r>
      <w:r w:rsidR="002E4741" w:rsidRPr="00D76340">
        <w:rPr>
          <w:rFonts w:cs="Times New Roman"/>
        </w:rPr>
        <w:t>All m</w:t>
      </w:r>
      <w:r w:rsidR="004F5149" w:rsidRPr="00D76340">
        <w:rPr>
          <w:rFonts w:cs="Times New Roman"/>
        </w:rPr>
        <w:t xml:space="preserve">odels </w:t>
      </w:r>
      <w:r w:rsidR="004E43F2" w:rsidRPr="00D76340">
        <w:rPr>
          <w:rFonts w:cs="Times New Roman"/>
        </w:rPr>
        <w:t xml:space="preserve">are </w:t>
      </w:r>
      <w:r w:rsidR="004F5149" w:rsidRPr="00D76340">
        <w:rPr>
          <w:rFonts w:cs="Times New Roman"/>
        </w:rPr>
        <w:t>adjust</w:t>
      </w:r>
      <w:r w:rsidR="004E43F2" w:rsidRPr="00D76340">
        <w:rPr>
          <w:rFonts w:cs="Times New Roman"/>
        </w:rPr>
        <w:t>ed</w:t>
      </w:r>
      <w:r w:rsidR="004F5149" w:rsidRPr="00D76340">
        <w:rPr>
          <w:rFonts w:cs="Times New Roman"/>
        </w:rPr>
        <w:t xml:space="preserve"> for a child’s age, sex, race, and ethnicity; the highest level of educational attainment </w:t>
      </w:r>
      <w:r w:rsidR="002E4741" w:rsidRPr="00D76340">
        <w:rPr>
          <w:rFonts w:cs="Times New Roman"/>
        </w:rPr>
        <w:t>by</w:t>
      </w:r>
      <w:r w:rsidR="004F5149" w:rsidRPr="00D76340">
        <w:rPr>
          <w:rFonts w:cs="Times New Roman"/>
        </w:rPr>
        <w:t xml:space="preserve"> an</w:t>
      </w:r>
      <w:r w:rsidR="004E43F2" w:rsidRPr="00D76340">
        <w:rPr>
          <w:rFonts w:cs="Times New Roman"/>
        </w:rPr>
        <w:t>y</w:t>
      </w:r>
      <w:r w:rsidR="004F5149" w:rsidRPr="00D76340">
        <w:rPr>
          <w:rFonts w:cs="Times New Roman"/>
        </w:rPr>
        <w:t xml:space="preserve"> adult in the household; and the household’s </w:t>
      </w:r>
      <w:r w:rsidR="00E419D7" w:rsidRPr="00D76340">
        <w:rPr>
          <w:rFonts w:cs="Times New Roman"/>
        </w:rPr>
        <w:t>FPL</w:t>
      </w:r>
      <w:r w:rsidR="004F5149" w:rsidRPr="00D76340">
        <w:rPr>
          <w:rFonts w:cs="Times New Roman"/>
        </w:rPr>
        <w:t xml:space="preserve">. </w:t>
      </w:r>
      <w:r w:rsidR="002E4741" w:rsidRPr="00D76340">
        <w:rPr>
          <w:rFonts w:cs="Times New Roman"/>
        </w:rPr>
        <w:t>All models</w:t>
      </w:r>
      <w:r w:rsidR="004E43F2" w:rsidRPr="00D76340">
        <w:rPr>
          <w:rFonts w:cs="Times New Roman"/>
        </w:rPr>
        <w:t xml:space="preserve"> also include state fixed effects to account for </w:t>
      </w:r>
      <w:r w:rsidR="004E43F2" w:rsidRPr="00D76340">
        <w:rPr>
          <w:rFonts w:cs="Times New Roman"/>
        </w:rPr>
        <w:lastRenderedPageBreak/>
        <w:t xml:space="preserve">time-invariant statewide sociodemographic </w:t>
      </w:r>
      <w:r w:rsidR="00DF4557" w:rsidRPr="00D76340">
        <w:rPr>
          <w:rFonts w:cs="Times New Roman"/>
        </w:rPr>
        <w:t xml:space="preserve">and policy </w:t>
      </w:r>
      <w:r w:rsidR="004E43F2" w:rsidRPr="00D76340">
        <w:rPr>
          <w:rFonts w:cs="Times New Roman"/>
        </w:rPr>
        <w:t>characteristics, as well as year fixed effects to account for time-variant national economic and other trends</w:t>
      </w:r>
      <w:r w:rsidR="00F40B24">
        <w:rPr>
          <w:rFonts w:cs="Times New Roman"/>
        </w:rPr>
        <w:t>. Thus, we have:</w:t>
      </w:r>
    </w:p>
    <w:p w14:paraId="2E0F8AB9" w14:textId="37B4DDC7" w:rsidR="007C0471" w:rsidRPr="00F40B24" w:rsidRDefault="007C0471" w:rsidP="005E65C9">
      <w:pPr>
        <w:spacing w:line="480" w:lineRule="auto"/>
        <w:jc w:val="both"/>
        <w:rPr>
          <w:rFonts w:eastAsiaTheme="minorEastAsia" w:cs="Times New Roman"/>
          <w:i/>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min. wage</m:t>
                  </m:r>
                </m:e>
              </m:d>
            </m:e>
            <m:sub>
              <m:r>
                <w:rPr>
                  <w:rFonts w:ascii="Cambria Math" w:hAnsi="Cambria Math" w:cs="Times New Roman"/>
                </w:rPr>
                <m:t>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ist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i/>
                </w:rPr>
                <w:sym w:font="Symbol" w:char="F065"/>
              </m:r>
            </m:e>
            <m:sub>
              <m:r>
                <w:rPr>
                  <w:rFonts w:ascii="Cambria Math" w:eastAsiaTheme="minorEastAsia" w:hAnsi="Cambria Math" w:cs="Times New Roman"/>
                </w:rPr>
                <m:t>ist</m:t>
              </m:r>
            </m:sub>
          </m:sSub>
        </m:oMath>
      </m:oMathPara>
    </w:p>
    <w:p w14:paraId="42A87643" w14:textId="0BF09DC7" w:rsidR="00F40B24" w:rsidRPr="00F40B24" w:rsidRDefault="00F40B24" w:rsidP="005E65C9">
      <w:pPr>
        <w:spacing w:line="480" w:lineRule="auto"/>
        <w:jc w:val="both"/>
        <w:rPr>
          <w:rFonts w:cs="Times New Roman"/>
        </w:rPr>
      </w:pPr>
      <w:r>
        <w:rPr>
          <w:rFonts w:eastAsiaTheme="minorEastAsia" w:cs="Times New Roman"/>
        </w:rPr>
        <w:t xml:space="preserve">where </w:t>
      </w:r>
      <w:proofErr w:type="spellStart"/>
      <w:r w:rsidRPr="00F40B24">
        <w:rPr>
          <w:rFonts w:eastAsiaTheme="minorEastAsia" w:cs="Times New Roman"/>
          <w:i/>
          <w:iCs/>
        </w:rPr>
        <w:t>Y</w:t>
      </w:r>
      <w:r w:rsidRPr="00F40B24">
        <w:rPr>
          <w:rFonts w:eastAsiaTheme="minorEastAsia" w:cs="Times New Roman"/>
          <w:i/>
          <w:iCs/>
          <w:vertAlign w:val="subscript"/>
        </w:rPr>
        <w:t>ist</w:t>
      </w:r>
      <w:proofErr w:type="spellEnd"/>
      <w:r>
        <w:rPr>
          <w:rFonts w:eastAsiaTheme="minorEastAsia" w:cs="Times New Roman"/>
        </w:rPr>
        <w:t xml:space="preserve"> is the mental health outcome for individual </w:t>
      </w:r>
      <w:proofErr w:type="spellStart"/>
      <w:r>
        <w:rPr>
          <w:rFonts w:eastAsiaTheme="minorEastAsia" w:cs="Times New Roman"/>
          <w:i/>
          <w:iCs/>
        </w:rPr>
        <w:t>i</w:t>
      </w:r>
      <w:proofErr w:type="spellEnd"/>
      <w:r>
        <w:rPr>
          <w:rFonts w:eastAsiaTheme="minorEastAsia" w:cs="Times New Roman"/>
        </w:rPr>
        <w:t xml:space="preserve"> in </w:t>
      </w:r>
      <w:proofErr w:type="spellStart"/>
      <w:r>
        <w:rPr>
          <w:rFonts w:eastAsiaTheme="minorEastAsia" w:cs="Times New Roman"/>
        </w:rPr>
        <w:t xml:space="preserve">state </w:t>
      </w:r>
      <w:r>
        <w:rPr>
          <w:rFonts w:eastAsiaTheme="minorEastAsia" w:cs="Times New Roman"/>
          <w:i/>
          <w:iCs/>
        </w:rPr>
        <w:t>s</w:t>
      </w:r>
      <w:proofErr w:type="spellEnd"/>
      <w:r>
        <w:rPr>
          <w:rFonts w:eastAsiaTheme="minorEastAsia" w:cs="Times New Roman"/>
        </w:rPr>
        <w:t xml:space="preserve"> in year </w:t>
      </w:r>
      <w:r>
        <w:rPr>
          <w:rFonts w:eastAsiaTheme="minorEastAsia" w:cs="Times New Roman"/>
          <w:i/>
          <w:iCs/>
        </w:rPr>
        <w:t>t</w:t>
      </w:r>
      <w:r>
        <w:rPr>
          <w:rFonts w:eastAsiaTheme="minorEastAsia" w:cs="Times New Roman"/>
        </w:rPr>
        <w:t xml:space="preserve">; </w:t>
      </w:r>
      <w:r w:rsidRPr="00F40B24">
        <w:rPr>
          <w:rFonts w:eastAsiaTheme="minorEastAsia" w:cs="Times New Roman"/>
          <w:i/>
          <w:iCs/>
        </w:rPr>
        <w:t xml:space="preserve">(min. </w:t>
      </w:r>
      <w:proofErr w:type="gramStart"/>
      <w:r w:rsidRPr="00F40B24">
        <w:rPr>
          <w:rFonts w:eastAsiaTheme="minorEastAsia" w:cs="Times New Roman"/>
          <w:i/>
          <w:iCs/>
        </w:rPr>
        <w:t>wage)</w:t>
      </w:r>
      <w:proofErr w:type="spellStart"/>
      <w:r w:rsidRPr="00F40B24">
        <w:rPr>
          <w:rFonts w:eastAsiaTheme="minorEastAsia" w:cs="Times New Roman"/>
          <w:i/>
          <w:iCs/>
          <w:vertAlign w:val="subscript"/>
        </w:rPr>
        <w:t>st</w:t>
      </w:r>
      <w:proofErr w:type="spellEnd"/>
      <w:proofErr w:type="gramEnd"/>
      <w:r>
        <w:rPr>
          <w:rFonts w:eastAsiaTheme="minorEastAsia" w:cs="Times New Roman"/>
        </w:rPr>
        <w:t xml:space="preserve"> is the effective minimum wage in a state-year, </w:t>
      </w:r>
      <w:proofErr w:type="spellStart"/>
      <w:r>
        <w:rPr>
          <w:rFonts w:eastAsiaTheme="minorEastAsia" w:cs="Times New Roman"/>
          <w:i/>
          <w:iCs/>
        </w:rPr>
        <w:t>X</w:t>
      </w:r>
      <w:r w:rsidRPr="00F40B24">
        <w:rPr>
          <w:rFonts w:eastAsiaTheme="minorEastAsia" w:cs="Times New Roman"/>
          <w:i/>
          <w:iCs/>
          <w:vertAlign w:val="subscript"/>
        </w:rPr>
        <w:t>ist</w:t>
      </w:r>
      <w:proofErr w:type="spellEnd"/>
      <w:r>
        <w:rPr>
          <w:rFonts w:eastAsiaTheme="minorEastAsia" w:cs="Times New Roman"/>
        </w:rPr>
        <w:t xml:space="preserve"> is a vector of individual-level controls; </w:t>
      </w:r>
      <w:r w:rsidRPr="00F40B24">
        <w:rPr>
          <w:rFonts w:eastAsiaTheme="minorEastAsia" w:cs="Times New Roman"/>
          <w:i/>
          <w:iCs/>
        </w:rPr>
        <w:sym w:font="Symbol" w:char="F044"/>
      </w:r>
      <w:r w:rsidRPr="00F40B24">
        <w:rPr>
          <w:rFonts w:eastAsiaTheme="minorEastAsia" w:cs="Times New Roman"/>
          <w:i/>
          <w:iCs/>
          <w:vertAlign w:val="subscript"/>
        </w:rPr>
        <w:t>s</w:t>
      </w:r>
      <w:r>
        <w:rPr>
          <w:rFonts w:eastAsiaTheme="minorEastAsia" w:cs="Times New Roman"/>
        </w:rPr>
        <w:t xml:space="preserve"> is the time-invariant state fixed effect; </w:t>
      </w:r>
      <w:r w:rsidRPr="00F40B24">
        <w:rPr>
          <w:rFonts w:eastAsiaTheme="minorEastAsia" w:cs="Times New Roman"/>
          <w:i/>
          <w:iCs/>
        </w:rPr>
        <w:sym w:font="Symbol" w:char="F074"/>
      </w:r>
      <w:r w:rsidRPr="00F40B24">
        <w:rPr>
          <w:rFonts w:eastAsiaTheme="minorEastAsia" w:cs="Times New Roman"/>
          <w:i/>
          <w:iCs/>
          <w:vertAlign w:val="subscript"/>
        </w:rPr>
        <w:t>t</w:t>
      </w:r>
      <w:r>
        <w:rPr>
          <w:rFonts w:eastAsiaTheme="minorEastAsia" w:cs="Times New Roman"/>
        </w:rPr>
        <w:t xml:space="preserve"> is the year fixed effect; and </w:t>
      </w:r>
      <w:r w:rsidRPr="00F40B24">
        <w:rPr>
          <w:rFonts w:eastAsiaTheme="minorEastAsia" w:cs="Times New Roman"/>
          <w:i/>
          <w:iCs/>
        </w:rPr>
        <w:sym w:font="Symbol" w:char="F065"/>
      </w:r>
      <w:proofErr w:type="spellStart"/>
      <w:r w:rsidRPr="00F40B24">
        <w:rPr>
          <w:rFonts w:eastAsiaTheme="minorEastAsia" w:cs="Times New Roman"/>
          <w:i/>
          <w:iCs/>
          <w:vertAlign w:val="subscript"/>
        </w:rPr>
        <w:t>ist</w:t>
      </w:r>
      <w:proofErr w:type="spellEnd"/>
      <w:r>
        <w:rPr>
          <w:rFonts w:eastAsiaTheme="minorEastAsia" w:cs="Times New Roman"/>
        </w:rPr>
        <w:t xml:space="preserve"> is the error term</w:t>
      </w:r>
      <w:r w:rsidR="00166A75">
        <w:rPr>
          <w:rFonts w:eastAsiaTheme="minorEastAsia" w:cs="Times New Roman"/>
        </w:rPr>
        <w:t>.</w:t>
      </w:r>
    </w:p>
    <w:p w14:paraId="31E46F40" w14:textId="6C5569F2" w:rsidR="00FF46A4" w:rsidRPr="00D76340" w:rsidRDefault="005C1BA7" w:rsidP="005C1BA7">
      <w:pPr>
        <w:spacing w:line="480" w:lineRule="auto"/>
        <w:ind w:firstLine="720"/>
        <w:jc w:val="both"/>
        <w:rPr>
          <w:rFonts w:cs="Times New Roman"/>
        </w:rPr>
      </w:pPr>
      <w:r w:rsidRPr="00D76340">
        <w:rPr>
          <w:rFonts w:cs="Times New Roman"/>
        </w:rPr>
        <w:t>To account for the NSCH’s complex sampling design, w</w:t>
      </w:r>
      <w:r w:rsidR="00DF4557" w:rsidRPr="00D76340">
        <w:rPr>
          <w:rFonts w:cs="Times New Roman"/>
        </w:rPr>
        <w:t xml:space="preserve">e used the “survey” package in R, which can accommodate nested </w:t>
      </w:r>
      <w:r w:rsidR="00575FCD" w:rsidRPr="00D76340">
        <w:rPr>
          <w:rFonts w:cs="Times New Roman"/>
        </w:rPr>
        <w:t xml:space="preserve">cluster-robust </w:t>
      </w:r>
      <w:r w:rsidRPr="00D76340">
        <w:rPr>
          <w:rFonts w:cs="Times New Roman"/>
        </w:rPr>
        <w:t>standard error</w:t>
      </w:r>
      <w:r w:rsidR="00575FCD" w:rsidRPr="00D76340">
        <w:rPr>
          <w:rFonts w:cs="Times New Roman"/>
        </w:rPr>
        <w:t>s</w:t>
      </w:r>
      <w:r w:rsidR="00656975" w:rsidRPr="00D76340">
        <w:rPr>
          <w:rFonts w:cs="Times New Roman"/>
        </w:rPr>
        <w:t xml:space="preserve">. Clusters were defined </w:t>
      </w:r>
      <w:r w:rsidR="006A743A" w:rsidRPr="00D76340">
        <w:rPr>
          <w:rFonts w:cs="Times New Roman"/>
        </w:rPr>
        <w:t>as</w:t>
      </w:r>
      <w:r w:rsidR="00656975" w:rsidRPr="00D76340">
        <w:rPr>
          <w:rFonts w:cs="Times New Roman"/>
        </w:rPr>
        <w:t xml:space="preserve"> </w:t>
      </w:r>
      <w:r w:rsidRPr="00D76340">
        <w:rPr>
          <w:rFonts w:cs="Times New Roman"/>
        </w:rPr>
        <w:t>sampling strata nested within states</w:t>
      </w:r>
      <w:r w:rsidR="006A743A" w:rsidRPr="00D76340">
        <w:rPr>
          <w:rFonts w:cs="Times New Roman"/>
        </w:rPr>
        <w:t>, consistent with the NSCH’s design</w:t>
      </w:r>
      <w:r w:rsidRPr="00D76340">
        <w:rPr>
          <w:rFonts w:cs="Times New Roman"/>
        </w:rPr>
        <w:t xml:space="preserve">. </w:t>
      </w:r>
      <w:r w:rsidR="00575FCD" w:rsidRPr="00D76340">
        <w:rPr>
          <w:rFonts w:cs="Times New Roman"/>
        </w:rPr>
        <w:t>W</w:t>
      </w:r>
      <w:r w:rsidRPr="00D76340">
        <w:rPr>
          <w:rFonts w:cs="Times New Roman"/>
        </w:rPr>
        <w:t xml:space="preserve">e also </w:t>
      </w:r>
      <w:r w:rsidR="006A743A" w:rsidRPr="00D76340">
        <w:rPr>
          <w:rFonts w:cs="Times New Roman"/>
        </w:rPr>
        <w:t>applied</w:t>
      </w:r>
      <w:r w:rsidRPr="00D76340">
        <w:rPr>
          <w:rFonts w:cs="Times New Roman"/>
        </w:rPr>
        <w:t xml:space="preserve"> the NSCH’s survey weights </w:t>
      </w:r>
      <w:r w:rsidR="00656975" w:rsidRPr="00D76340">
        <w:rPr>
          <w:rFonts w:cs="Times New Roman"/>
        </w:rPr>
        <w:t>so that all analyses, including descriptive</w:t>
      </w:r>
      <w:r w:rsidR="00B058E1" w:rsidRPr="00D76340">
        <w:rPr>
          <w:rFonts w:cs="Times New Roman"/>
        </w:rPr>
        <w:t xml:space="preserve"> statistic</w:t>
      </w:r>
      <w:r w:rsidR="00656975" w:rsidRPr="00D76340">
        <w:rPr>
          <w:rFonts w:cs="Times New Roman"/>
        </w:rPr>
        <w:t xml:space="preserve">s, </w:t>
      </w:r>
      <w:r w:rsidR="00B058E1" w:rsidRPr="00D76340">
        <w:rPr>
          <w:rFonts w:cs="Times New Roman"/>
        </w:rPr>
        <w:t>were</w:t>
      </w:r>
      <w:r w:rsidR="00656975" w:rsidRPr="00D76340">
        <w:rPr>
          <w:rFonts w:cs="Times New Roman"/>
        </w:rPr>
        <w:t xml:space="preserve"> nationally representative</w:t>
      </w:r>
      <w:r w:rsidR="00166A75">
        <w:rPr>
          <w:rFonts w:cs="Times New Roman"/>
        </w:rPr>
        <w:t>.</w:t>
      </w:r>
    </w:p>
    <w:p w14:paraId="3D9F1050" w14:textId="4135797C" w:rsidR="005E65C9" w:rsidRDefault="00575FCD" w:rsidP="00325E99">
      <w:pPr>
        <w:spacing w:line="480" w:lineRule="auto"/>
        <w:ind w:firstLine="720"/>
        <w:jc w:val="both"/>
        <w:rPr>
          <w:rFonts w:cs="Times New Roman"/>
        </w:rPr>
      </w:pPr>
      <w:r w:rsidRPr="00D76340">
        <w:rPr>
          <w:rFonts w:cs="Times New Roman"/>
        </w:rPr>
        <w:t xml:space="preserve">Of note, our main models include children of all income levels. </w:t>
      </w:r>
      <w:r w:rsidR="00FF46A4" w:rsidRPr="00D76340">
        <w:rPr>
          <w:rFonts w:cs="Times New Roman"/>
        </w:rPr>
        <w:t xml:space="preserve">This design is analogous to intention-to-treat, as a change in the minimum wage </w:t>
      </w:r>
      <w:r w:rsidRPr="00D76340">
        <w:rPr>
          <w:rFonts w:cs="Times New Roman"/>
        </w:rPr>
        <w:t>may</w:t>
      </w:r>
      <w:r w:rsidR="00FF46A4" w:rsidRPr="00D76340">
        <w:rPr>
          <w:rFonts w:cs="Times New Roman"/>
        </w:rPr>
        <w:t xml:space="preserve"> affect any</w:t>
      </w:r>
      <w:r w:rsidRPr="00D76340">
        <w:rPr>
          <w:rFonts w:cs="Times New Roman"/>
        </w:rPr>
        <w:t xml:space="preserve"> or all</w:t>
      </w:r>
      <w:r w:rsidR="00FF46A4" w:rsidRPr="00D76340">
        <w:rPr>
          <w:rFonts w:cs="Times New Roman"/>
        </w:rPr>
        <w:t xml:space="preserve"> household</w:t>
      </w:r>
      <w:r w:rsidRPr="00D76340">
        <w:rPr>
          <w:rFonts w:cs="Times New Roman"/>
        </w:rPr>
        <w:t>s</w:t>
      </w:r>
      <w:r w:rsidR="00FF46A4" w:rsidRPr="00D76340">
        <w:rPr>
          <w:rFonts w:cs="Times New Roman"/>
        </w:rPr>
        <w:t xml:space="preserve"> in a state. </w:t>
      </w:r>
      <w:r w:rsidRPr="00D76340">
        <w:rPr>
          <w:rFonts w:cs="Times New Roman"/>
        </w:rPr>
        <w:t>H</w:t>
      </w:r>
      <w:r w:rsidR="00FF46A4" w:rsidRPr="00D76340">
        <w:rPr>
          <w:rFonts w:cs="Times New Roman"/>
        </w:rPr>
        <w:t xml:space="preserve">ouseholds </w:t>
      </w:r>
      <w:r w:rsidRPr="00D76340">
        <w:rPr>
          <w:rFonts w:cs="Times New Roman"/>
        </w:rPr>
        <w:t>earning near</w:t>
      </w:r>
      <w:r w:rsidR="00FF46A4" w:rsidRPr="00D76340">
        <w:rPr>
          <w:rFonts w:cs="Times New Roman"/>
        </w:rPr>
        <w:t xml:space="preserve"> the minimum wage </w:t>
      </w:r>
      <w:r w:rsidRPr="00D76340">
        <w:rPr>
          <w:rFonts w:cs="Times New Roman"/>
        </w:rPr>
        <w:t>are mostly likely to</w:t>
      </w:r>
      <w:r w:rsidR="00FF46A4" w:rsidRPr="00D76340">
        <w:rPr>
          <w:rFonts w:cs="Times New Roman"/>
        </w:rPr>
        <w:t xml:space="preserve"> see their take-home pay rise, </w:t>
      </w:r>
      <w:r w:rsidRPr="00D76340">
        <w:rPr>
          <w:rFonts w:cs="Times New Roman"/>
        </w:rPr>
        <w:t>but</w:t>
      </w:r>
      <w:r w:rsidR="00FF46A4" w:rsidRPr="00D76340">
        <w:rPr>
          <w:rFonts w:cs="Times New Roman"/>
        </w:rPr>
        <w:t xml:space="preserve"> households earning above the minimum wage </w:t>
      </w:r>
      <w:r w:rsidR="0038659B">
        <w:rPr>
          <w:rFonts w:cs="Times New Roman"/>
        </w:rPr>
        <w:t>may</w:t>
      </w:r>
      <w:r w:rsidR="00FF46A4" w:rsidRPr="00D76340">
        <w:rPr>
          <w:rFonts w:cs="Times New Roman"/>
        </w:rPr>
        <w:t xml:space="preserve"> experience spillover wage growth.</w:t>
      </w:r>
      <w:r w:rsidR="00FF46A4" w:rsidRPr="00D76340">
        <w:rPr>
          <w:rFonts w:cs="Times New Roman"/>
        </w:rPr>
        <w:fldChar w:fldCharType="begin"/>
      </w:r>
      <w:r w:rsidR="00FF46A4" w:rsidRPr="00D76340">
        <w:rPr>
          <w:rFonts w:cs="Times New Roman"/>
        </w:rPr>
        <w:instrText xml:space="preserve"> ADDIN ZOTERO_ITEM CSL_CITATION {"citationID":"8XfXWqej","properties":{"formattedCitation":"\\super 30\\nosupersub{}","plainCitation":"30","noteIndex":0},"citationItems":[{"id":3740,"uris":["http://zotero.org/users/5446295/items/VTGPJMDK"],"itemData":{"id":3740,"type":"article-journal","abstract":"We conduct a laboratory experiment to study spillover effects of minimum wages on wages above the minimum. In a bilateral firm-worker bargaining setting, the participants sit face-to-face and make alternating offers. We find that the introduction of a minimum wage exerts upward pressure on wages even if the minimum wage is too low to be a binding restriction. Furthermore, raising the minimum wage to a binding level increases bargained wages strictly above the new minimum wage level. Our results show that wage negotiations might be an additional channel through which spillover effects of minimum wages might arise. (JEL codes: C91, J30, J38)","container-title":"CESifo Economic Studies","DOI":"10.1093/cesifo/ifu034","ISSN":"1610-241X","issue":"4","journalAbbreviation":"CESifo Economic Studies","page":"780-804","source":"Silverchair","title":"Spillover Effects of Minimum Wages in Experimental Wage Negotiations","volume":"60","author":[{"family":"Dittrich","given":"Marcus"},{"family":"Knabe","given":"Andreas"},{"family":"Leipold","given":"Kristina"}],"issued":{"date-parts":[["2014",12,1]]},"citation-key":"dittrichSpilloverEffectsMinimum2014"}}],"schema":"https://github.com/citation-style-language/schema/raw/master/csl-citation.json"} </w:instrText>
      </w:r>
      <w:r w:rsidR="00FF46A4" w:rsidRPr="00D76340">
        <w:rPr>
          <w:rFonts w:cs="Times New Roman"/>
        </w:rPr>
        <w:fldChar w:fldCharType="separate"/>
      </w:r>
      <w:r w:rsidR="00FF46A4" w:rsidRPr="00D76340">
        <w:rPr>
          <w:rFonts w:cs="Times New Roman"/>
          <w:vertAlign w:val="superscript"/>
        </w:rPr>
        <w:t>30</w:t>
      </w:r>
      <w:r w:rsidR="00FF46A4" w:rsidRPr="00D76340">
        <w:rPr>
          <w:rFonts w:cs="Times New Roman"/>
        </w:rPr>
        <w:fldChar w:fldCharType="end"/>
      </w:r>
      <w:r w:rsidRPr="00D76340">
        <w:rPr>
          <w:rFonts w:cs="Times New Roman"/>
        </w:rPr>
        <w:t xml:space="preserve"> Even so, we </w:t>
      </w:r>
      <w:r w:rsidR="007C0471">
        <w:rPr>
          <w:rFonts w:cs="Times New Roman"/>
        </w:rPr>
        <w:t xml:space="preserve">also </w:t>
      </w:r>
      <w:r w:rsidRPr="00D76340">
        <w:rPr>
          <w:rFonts w:cs="Times New Roman"/>
        </w:rPr>
        <w:t xml:space="preserve">estimate </w:t>
      </w:r>
      <w:r w:rsidR="007C0471">
        <w:rPr>
          <w:rFonts w:cs="Times New Roman"/>
        </w:rPr>
        <w:t>the effects for</w:t>
      </w:r>
      <w:r w:rsidRPr="00D76340">
        <w:rPr>
          <w:rFonts w:cs="Times New Roman"/>
        </w:rPr>
        <w:t xml:space="preserve"> </w:t>
      </w:r>
      <w:r w:rsidR="007C0471">
        <w:rPr>
          <w:rFonts w:cs="Times New Roman"/>
        </w:rPr>
        <w:t>children most likely to benefit: (1) those in households</w:t>
      </w:r>
      <w:r w:rsidRPr="00D76340">
        <w:rPr>
          <w:rFonts w:cs="Times New Roman"/>
        </w:rPr>
        <w:t xml:space="preserve"> earning </w:t>
      </w:r>
      <w:r w:rsidR="007C0471">
        <w:rPr>
          <w:rFonts w:cs="Times New Roman"/>
        </w:rPr>
        <w:t>less than</w:t>
      </w:r>
      <w:r w:rsidRPr="00D76340">
        <w:rPr>
          <w:rFonts w:cs="Times New Roman"/>
        </w:rPr>
        <w:t xml:space="preserve"> 200% of the federal poverty level</w:t>
      </w:r>
      <w:r w:rsidR="007C0471">
        <w:rPr>
          <w:rFonts w:cs="Times New Roman"/>
        </w:rPr>
        <w:t>; (2) non-white children; and (3) adolescents (age 13–17), many of whom work minimum wage jobs. To do so, we estimated interaction models, which interact the minimum wage term with a dummy variable for the demographic of interest</w:t>
      </w:r>
      <w:r w:rsidRPr="00D76340">
        <w:rPr>
          <w:rFonts w:cs="Times New Roman"/>
        </w:rPr>
        <w:t>.</w:t>
      </w:r>
    </w:p>
    <w:p w14:paraId="3B8261B7" w14:textId="3419403E" w:rsidR="00325E99" w:rsidRPr="00D76340" w:rsidRDefault="00166A75" w:rsidP="00325E99">
      <w:pPr>
        <w:spacing w:line="480" w:lineRule="auto"/>
        <w:ind w:firstLine="720"/>
        <w:jc w:val="both"/>
        <w:rPr>
          <w:rFonts w:cs="Times New Roman"/>
        </w:rPr>
      </w:pPr>
      <w:r>
        <w:rPr>
          <w:rFonts w:cs="Times New Roman"/>
        </w:rPr>
        <w:t xml:space="preserve">To </w:t>
      </w:r>
      <w:r w:rsidR="009C6945">
        <w:rPr>
          <w:rFonts w:cs="Times New Roman"/>
        </w:rPr>
        <w:t>examine</w:t>
      </w:r>
      <w:r>
        <w:rPr>
          <w:rFonts w:cs="Times New Roman"/>
        </w:rPr>
        <w:t xml:space="preserve"> the sensitivity of our </w:t>
      </w:r>
      <w:r w:rsidR="009C6945">
        <w:rPr>
          <w:rFonts w:cs="Times New Roman"/>
        </w:rPr>
        <w:t>results</w:t>
      </w:r>
      <w:r>
        <w:rPr>
          <w:rFonts w:cs="Times New Roman"/>
        </w:rPr>
        <w:t xml:space="preserve">, we also specify models with (1) inflation-adjusted minimum wages (in 2020 dollars); (2) wages lagged by 1 year, in case gains in </w:t>
      </w:r>
      <w:r w:rsidR="009C6945">
        <w:rPr>
          <w:rFonts w:cs="Times New Roman"/>
        </w:rPr>
        <w:t xml:space="preserve">children’s </w:t>
      </w:r>
      <w:r>
        <w:rPr>
          <w:rFonts w:cs="Times New Roman"/>
        </w:rPr>
        <w:t xml:space="preserve">mental health take time to manifest; and (3) </w:t>
      </w:r>
      <w:r w:rsidR="009C6945">
        <w:rPr>
          <w:rFonts w:cs="Times New Roman"/>
        </w:rPr>
        <w:t xml:space="preserve">estimations by </w:t>
      </w:r>
      <w:r>
        <w:rPr>
          <w:rFonts w:cs="Times New Roman"/>
        </w:rPr>
        <w:t>logistic regression</w:t>
      </w:r>
      <w:r w:rsidR="009C6945">
        <w:rPr>
          <w:rFonts w:cs="Times New Roman"/>
        </w:rPr>
        <w:t xml:space="preserve">, which provides the odds ratio for </w:t>
      </w:r>
      <w:r w:rsidR="009C6945" w:rsidRPr="00D76340">
        <w:rPr>
          <w:rFonts w:cs="Times New Roman"/>
        </w:rPr>
        <w:t>each mental health outcome given a $1 increase in the minimum wage</w:t>
      </w:r>
      <w:r>
        <w:rPr>
          <w:rFonts w:cs="Times New Roman"/>
        </w:rPr>
        <w:t xml:space="preserve"> </w:t>
      </w:r>
      <w:r w:rsidR="009C6945">
        <w:rPr>
          <w:rFonts w:cs="Times New Roman"/>
          <w:highlight w:val="yellow"/>
        </w:rPr>
        <w:t>(see appendix)</w:t>
      </w:r>
      <w:r w:rsidRPr="005D2186">
        <w:rPr>
          <w:rFonts w:cs="Times New Roman"/>
          <w:highlight w:val="yellow"/>
        </w:rPr>
        <w:t>.</w:t>
      </w:r>
      <w:r>
        <w:rPr>
          <w:rFonts w:cs="Times New Roman"/>
        </w:rPr>
        <w:t xml:space="preserve"> </w:t>
      </w:r>
      <w:r w:rsidR="00325E99">
        <w:rPr>
          <w:rFonts w:cs="Times New Roman"/>
        </w:rPr>
        <w:lastRenderedPageBreak/>
        <w:t>This study did not require institutional review board approval as it used public, deidentified data. All analyses were conducted in R. All replication materials are available at XXXXXXX.</w:t>
      </w:r>
    </w:p>
    <w:p w14:paraId="0759D219" w14:textId="77777777" w:rsidR="00D76340" w:rsidRPr="00D76340" w:rsidRDefault="00D76340" w:rsidP="00D76340">
      <w:pPr>
        <w:spacing w:line="480" w:lineRule="auto"/>
        <w:jc w:val="both"/>
        <w:rPr>
          <w:rFonts w:cs="Times New Roman"/>
        </w:rPr>
      </w:pPr>
    </w:p>
    <w:p w14:paraId="6B663937" w14:textId="77777777" w:rsidR="00D76340" w:rsidRPr="00D76340" w:rsidRDefault="00D76340" w:rsidP="00D76340">
      <w:pPr>
        <w:spacing w:line="480" w:lineRule="auto"/>
        <w:ind w:firstLine="720"/>
        <w:jc w:val="center"/>
        <w:rPr>
          <w:rFonts w:cs="Times New Roman"/>
          <w:b/>
          <w:bCs/>
          <w:u w:val="single"/>
        </w:rPr>
      </w:pPr>
      <w:r w:rsidRPr="00D76340">
        <w:rPr>
          <w:rFonts w:cs="Times New Roman"/>
          <w:b/>
          <w:bCs/>
          <w:u w:val="single"/>
        </w:rPr>
        <w:t>Results</w:t>
      </w:r>
    </w:p>
    <w:p w14:paraId="4BADE552" w14:textId="32E2F43D" w:rsidR="00D76340" w:rsidRPr="00D76340" w:rsidRDefault="00D76340" w:rsidP="00D76340">
      <w:pPr>
        <w:spacing w:line="480" w:lineRule="auto"/>
        <w:ind w:firstLine="720"/>
        <w:jc w:val="both"/>
        <w:rPr>
          <w:rFonts w:cs="Times New Roman"/>
        </w:rPr>
      </w:pPr>
      <w:r w:rsidRPr="00D76340">
        <w:rPr>
          <w:rFonts w:cs="Times New Roman"/>
        </w:rPr>
        <w:t>Between 2016 and 2020, 150,83</w:t>
      </w:r>
      <w:r w:rsidR="009C6945">
        <w:rPr>
          <w:rFonts w:cs="Times New Roman"/>
        </w:rPr>
        <w:t>3</w:t>
      </w:r>
      <w:r w:rsidRPr="00D76340">
        <w:rPr>
          <w:rFonts w:cs="Times New Roman"/>
        </w:rPr>
        <w:t xml:space="preserve"> children ages 3–17 were surveyed by the National Survey of Children’s Health and included in our analyses (</w:t>
      </w:r>
      <w:r w:rsidRPr="00D76340">
        <w:rPr>
          <w:rFonts w:cs="Times New Roman"/>
          <w:b/>
          <w:bCs/>
        </w:rPr>
        <w:t>Table 1</w:t>
      </w:r>
      <w:r w:rsidRPr="00D76340">
        <w:rPr>
          <w:rFonts w:cs="Times New Roman"/>
        </w:rPr>
        <w:t>). A weighted 51% were males and 49% females. About two-thirds were white, 14% Black, and 19% of another race or mixed race, with 25% identifying as Hispanic or Latino. Nearly half (49%) of the households included an adult who had graduated college, while in 30% of households, the highest educational attainment was high school or less. Meanwhile, 40% of the sample was living under 200% of the FPL.</w:t>
      </w:r>
    </w:p>
    <w:p w14:paraId="69435BD2" w14:textId="2AFBD854" w:rsidR="00D76340" w:rsidRPr="00D76340" w:rsidRDefault="00D76340" w:rsidP="00D76340">
      <w:pPr>
        <w:spacing w:line="480" w:lineRule="auto"/>
        <w:ind w:firstLine="720"/>
        <w:jc w:val="both"/>
        <w:rPr>
          <w:rFonts w:cs="Times New Roman"/>
        </w:rPr>
      </w:pPr>
      <w:r w:rsidRPr="00D76340">
        <w:rPr>
          <w:rFonts w:cs="Times New Roman"/>
        </w:rPr>
        <w:t>In cross-sectional analyses, children’s mental health outcomes were substantially worse in lower-income households (</w:t>
      </w:r>
      <w:r w:rsidRPr="00D76340">
        <w:rPr>
          <w:rFonts w:cs="Times New Roman"/>
          <w:b/>
          <w:bCs/>
        </w:rPr>
        <w:t>Figure 2</w:t>
      </w:r>
      <w:r w:rsidRPr="00D76340">
        <w:rPr>
          <w:rFonts w:cs="Times New Roman"/>
        </w:rPr>
        <w:t>). For example, 6% of children in households earning less than 100% of the FPL had active, diagnosed depression, compared to 3% in households above 400% FPL, after adjusting for child and household demographic characteristics, state, and year. Similarly, an adjusted 9% of children in households under 100% FPL had active anxiety, compared to 5% of those above 400%. There were similarly stark inequities in the rates of digestive issues during the past year, which are a common manifestation of anxiety in children, and having missed at least 7 days of school during the past year, a potential consequence of poor mental health.</w:t>
      </w:r>
    </w:p>
    <w:p w14:paraId="582669BE" w14:textId="4C743606" w:rsidR="00D76340" w:rsidRPr="00D76340" w:rsidRDefault="00D76340" w:rsidP="00D76340">
      <w:pPr>
        <w:spacing w:line="480" w:lineRule="auto"/>
        <w:ind w:firstLine="720"/>
        <w:jc w:val="both"/>
        <w:rPr>
          <w:rFonts w:cs="Times New Roman"/>
        </w:rPr>
      </w:pPr>
      <w:r w:rsidRPr="00D76340">
        <w:rPr>
          <w:rFonts w:cs="Times New Roman"/>
        </w:rPr>
        <w:t>Next, we evaluated whether increases in a state’s minimum wage improved children’s mental health. Between 2016 and 2020, the effective minimum wages ranged from $7.25 to $14 across states (plus the District of Columbia) (</w:t>
      </w:r>
      <w:r w:rsidRPr="00D76340">
        <w:rPr>
          <w:rFonts w:cs="Times New Roman"/>
          <w:b/>
          <w:bCs/>
        </w:rPr>
        <w:t>Figure 1</w:t>
      </w:r>
      <w:r w:rsidRPr="00D76340">
        <w:rPr>
          <w:rFonts w:cs="Times New Roman"/>
        </w:rPr>
        <w:t xml:space="preserve">). During that period, 24 states used the federal minimum of $7.25 for the entire time, while 26 states (plus D.C.) increased their minimum wage, with a range of $0.44 to $4.50. Examining the association between the minimum wage and </w:t>
      </w:r>
      <w:r w:rsidRPr="00D76340">
        <w:rPr>
          <w:rFonts w:cs="Times New Roman"/>
        </w:rPr>
        <w:lastRenderedPageBreak/>
        <w:t>children’s mental health returned precisely estimated nulls for all four outcomes (</w:t>
      </w:r>
      <w:r w:rsidRPr="00D76340">
        <w:rPr>
          <w:rFonts w:cs="Times New Roman"/>
          <w:b/>
          <w:bCs/>
        </w:rPr>
        <w:t>Figure 3</w:t>
      </w:r>
      <w:r w:rsidRPr="00D76340">
        <w:rPr>
          <w:rFonts w:cs="Times New Roman"/>
        </w:rPr>
        <w:t xml:space="preserve">; see </w:t>
      </w:r>
      <w:r w:rsidRPr="00D76340">
        <w:rPr>
          <w:rFonts w:cs="Times New Roman"/>
          <w:b/>
          <w:bCs/>
        </w:rPr>
        <w:t xml:space="preserve">Appendix Table 1 </w:t>
      </w:r>
      <w:r w:rsidRPr="00D76340">
        <w:rPr>
          <w:rFonts w:cs="Times New Roman"/>
        </w:rPr>
        <w:t xml:space="preserve">for the models). </w:t>
      </w:r>
      <w:commentRangeStart w:id="0"/>
      <w:r w:rsidRPr="00D76340">
        <w:rPr>
          <w:rFonts w:cs="Times New Roman"/>
        </w:rPr>
        <w:t>A $1 increase in a state’s effective minimum wage did not improve the rate of active depression among children aged 3–17 (+0.3 percentage-points [pp]; 95% C.I., −0.0 to 0.7 pp; P=0.075)</w:t>
      </w:r>
      <w:commentRangeEnd w:id="0"/>
      <w:r w:rsidR="009C6945">
        <w:rPr>
          <w:rStyle w:val="CommentReference"/>
        </w:rPr>
        <w:commentReference w:id="0"/>
      </w:r>
      <w:r w:rsidRPr="00D76340">
        <w:rPr>
          <w:rFonts w:cs="Times New Roman"/>
        </w:rPr>
        <w:t>, nor the rate of active anxiety (+0.4 pp, 95% C.I. −0.1 to 0.9 pp, P=0.078), digestive issues during the past year (+0.2 pp, 95% C.I. −0.3 to 0.6 pp, P=0.52), or for having missed at least 7 days of school in the past year (–0.4 pp; 95% C.I., −1.2 to 0.4 pp; P=0.32). For depression, anxiety, and digestive issues, we can rule out an improvement greater than one-third of a percentage point for every $1 increase in a state’s effective minimum wage.</w:t>
      </w:r>
    </w:p>
    <w:p w14:paraId="54B391C9" w14:textId="1030F0B1" w:rsidR="00D76340" w:rsidRDefault="00D76340" w:rsidP="00D76340">
      <w:pPr>
        <w:spacing w:line="480" w:lineRule="auto"/>
        <w:ind w:firstLine="720"/>
        <w:jc w:val="both"/>
        <w:rPr>
          <w:rFonts w:cs="Times New Roman"/>
        </w:rPr>
      </w:pPr>
      <w:r w:rsidRPr="00D76340">
        <w:rPr>
          <w:rFonts w:cs="Times New Roman"/>
        </w:rPr>
        <w:t>Lastly, we examined whether children in low-income households — who were more likely to benefit from an increase in the minimum wage — were also more likely to experience improvements in their mental health. Yet even for households below 200% FPL, the effect of the minimum wage on all four mental health outcomes remained null and precisely specified (</w:t>
      </w:r>
      <w:r w:rsidRPr="00D76340">
        <w:rPr>
          <w:rFonts w:cs="Times New Roman"/>
          <w:b/>
          <w:bCs/>
        </w:rPr>
        <w:t>Figure 3</w:t>
      </w:r>
      <w:r w:rsidRPr="00D76340">
        <w:rPr>
          <w:rFonts w:cs="Times New Roman"/>
        </w:rPr>
        <w:t xml:space="preserve">; see </w:t>
      </w:r>
      <w:r w:rsidRPr="00D76340">
        <w:rPr>
          <w:rFonts w:cs="Times New Roman"/>
          <w:b/>
          <w:bCs/>
        </w:rPr>
        <w:t>Appendix Table 1</w:t>
      </w:r>
      <w:r w:rsidRPr="00D76340">
        <w:rPr>
          <w:rFonts w:cs="Times New Roman"/>
        </w:rPr>
        <w:t xml:space="preserve"> for the models). A $1 increase in the minimum wage did not improve rates of depression (+0.3 pp; 95% C.I., −0.1 to 0.7 pp; P=0.12); anxiety (+0.1 pp; 95% C.I., −0.5 to 0.7 pp; P=0.80); digestive issues during the past year (+0.0 pp; 95% C.I., −0.4 to 0.5 pp; P=0.89); or having missed 7+ days of school in the past year (+0.5 pp; 95% C.I., −1.4 to 0.3 pp; P=0.22). For depression, anxiety, and digestive issues, we can rule out an improvement greater than one-half of a percentage point for every $1 increase in a state’s effective minimum wage.</w:t>
      </w:r>
    </w:p>
    <w:p w14:paraId="408E801B" w14:textId="6D69006E" w:rsidR="009C6945" w:rsidRPr="00D76340" w:rsidRDefault="009C6945" w:rsidP="00D76340">
      <w:pPr>
        <w:spacing w:line="480" w:lineRule="auto"/>
        <w:ind w:firstLine="720"/>
        <w:jc w:val="both"/>
        <w:rPr>
          <w:rFonts w:cs="Times New Roman"/>
        </w:rPr>
      </w:pPr>
      <w:r w:rsidRPr="009C6945">
        <w:rPr>
          <w:rFonts w:cs="Times New Roman"/>
          <w:highlight w:val="yellow"/>
        </w:rPr>
        <w:t xml:space="preserve">ADD BRIEF DISCUSSION OF ADOLESCENTS + NON-WHITE + </w:t>
      </w:r>
      <w:proofErr w:type="gramStart"/>
      <w:r w:rsidRPr="009C6945">
        <w:rPr>
          <w:rFonts w:cs="Times New Roman"/>
          <w:highlight w:val="yellow"/>
        </w:rPr>
        <w:t>ROBUSTNESS</w:t>
      </w:r>
      <w:proofErr w:type="gramEnd"/>
    </w:p>
    <w:p w14:paraId="62ABD309" w14:textId="247DD4A8" w:rsidR="00D76340" w:rsidRDefault="00D76340" w:rsidP="002908D5">
      <w:pPr>
        <w:spacing w:line="480" w:lineRule="auto"/>
        <w:ind w:firstLine="720"/>
        <w:jc w:val="both"/>
        <w:rPr>
          <w:rFonts w:cs="Times New Roman"/>
        </w:rPr>
      </w:pPr>
    </w:p>
    <w:p w14:paraId="0A53E7CF" w14:textId="77777777" w:rsidR="00C67685" w:rsidRDefault="00C67685" w:rsidP="002908D5">
      <w:pPr>
        <w:spacing w:line="480" w:lineRule="auto"/>
        <w:ind w:firstLine="720"/>
        <w:jc w:val="both"/>
        <w:rPr>
          <w:rFonts w:cs="Times New Roman"/>
        </w:rPr>
      </w:pPr>
    </w:p>
    <w:p w14:paraId="1F274A57" w14:textId="2C62FBEE" w:rsidR="0038659B" w:rsidRPr="0038659B" w:rsidRDefault="0038659B" w:rsidP="0038659B">
      <w:pPr>
        <w:spacing w:line="480" w:lineRule="auto"/>
        <w:ind w:firstLine="720"/>
        <w:jc w:val="center"/>
        <w:rPr>
          <w:rFonts w:cs="Times New Roman"/>
          <w:b/>
          <w:bCs/>
          <w:u w:val="single"/>
        </w:rPr>
      </w:pPr>
      <w:r w:rsidRPr="0038659B">
        <w:rPr>
          <w:rFonts w:cs="Times New Roman"/>
          <w:b/>
          <w:bCs/>
          <w:u w:val="single"/>
        </w:rPr>
        <w:t>Discussion</w:t>
      </w:r>
    </w:p>
    <w:p w14:paraId="6C67B432" w14:textId="1ED23546" w:rsidR="0038659B" w:rsidRDefault="0038659B" w:rsidP="004D5927">
      <w:pPr>
        <w:spacing w:line="480" w:lineRule="auto"/>
        <w:jc w:val="both"/>
        <w:rPr>
          <w:rFonts w:cs="Times New Roman"/>
        </w:rPr>
      </w:pPr>
    </w:p>
    <w:p w14:paraId="01527249" w14:textId="77777777" w:rsidR="009C6945" w:rsidRDefault="009C6945" w:rsidP="004D5927">
      <w:pPr>
        <w:spacing w:line="480" w:lineRule="auto"/>
        <w:jc w:val="both"/>
        <w:rPr>
          <w:rFonts w:cs="Times New Roman"/>
        </w:rPr>
      </w:pPr>
    </w:p>
    <w:p w14:paraId="1A8724FE" w14:textId="11B91FDD" w:rsidR="004D5927" w:rsidRPr="00D76340" w:rsidRDefault="004D5927" w:rsidP="004D5927">
      <w:pPr>
        <w:spacing w:line="480" w:lineRule="auto"/>
        <w:jc w:val="both"/>
        <w:rPr>
          <w:rFonts w:cs="Times New Roman"/>
        </w:rPr>
      </w:pPr>
      <w:r w:rsidRPr="004D5927">
        <w:rPr>
          <w:rFonts w:cs="Times New Roman"/>
          <w:strike/>
        </w:rPr>
        <w:t>Since mood and anxiety disorders are uncommonly diagnosed before age 6,</w:t>
      </w:r>
      <w:r w:rsidRPr="004D5927">
        <w:rPr>
          <w:rFonts w:cs="Times New Roman"/>
          <w:strike/>
        </w:rPr>
        <w:fldChar w:fldCharType="begin"/>
      </w:r>
      <w:r w:rsidRPr="004D5927">
        <w:rPr>
          <w:rFonts w:cs="Times New Roman"/>
          <w:strike/>
        </w:rPr>
        <w:instrText xml:space="preserve"> ADDIN ZOTERO_ITEM CSL_CITATION {"citationID":"1TeGlIuh","properties":{"formattedCitation":"\\super 29\\nosupersub{}","plainCitation":"29","noteIndex":0},"citationItems":[{"id":3720,"uris":["http://zotero.org/users/5446295/items/B7UXNN74"],"itemData":{"id":3720,"type":"article-journal","abstract":"Knowledge about the epidemiology of mental disorders in children and adolescents is essential for research and planning of health services. Surveys can provide prevalence rates, whereas population-based registers are instrumental to obtain precise estimates of incidence rates and risks.To estimate age- and sex-specific incidence rates and risks of being diagnosed with any mental disorder during childhood and adolescence.This cohort study included all individuals born in Denmark from January 1, 1995, through December 31, 2016 (1.3 million), and followed up from birth until December 31, 2016, or the date of death, emigration, disappearance, or diagnosis of 1 of the mental disorders examined (14.4 million person-years of follow-up). Data were analyzed from September 14, 2018, through June 11, 2019.Age and sex.Incidence rates and cumulative incidences of all mental disorders according to the ICD-10 Classification of Mental and Behavioral Disorders: Diagnostic Criteria for Research, diagnosed before 18 years of age during the study period.A total of 99 926 individuals (15.01%; 95% CI, 14.98%-15.17%), including 41 350 girls (14.63%; 95% CI, 14.48%-14.77%) and 58 576 boys (15.51%; 95% CI, 15.18%-15.84%), were diagnosed with a mental disorder before 18 years of age. Anxiety disorder was the most common diagnosis in girls (7.85%; 95% CI, 7.74%-7.97%); attention-deficit/hyperactivity disorder (ADHD) was the most common in boys (5.90%; 95% CI, 5.76%-6.03%). Girls had a higher risk than boys of schizophrenia (0.76% [95% CI, 0.72%-0.80%] vs 0.48% [95% CI, 0.39%-0.59%]), obsessive-compulsive disorder (0.96% [95% CI, 0.92%-1.00%] vs 0.63% [95% CI, 0.56%-0.72%]), and mood disorders (2.54% [95% CI, 2.47%-2.61%] vs 1.10% [95% CI, 0.84%-1.21%]). Incidence peaked earlier in boys than girls in ADHD (8 vs 17 years of age), intellectual disability (5 vs 14 years of age), and other developmental disorders (5 vs 16 years of age). The overall risk of being diagnosed with a mental disorder before 6 years of age was 2.13% (95% CI, 2.11%-2.16%) and was higher in boys (2.78% [95% CI, 2.44%-3.15%]) than in girls (1.45% [95% CI, 1.42%-1.49%]).This nationwide population-based cohort study provides a first comprehensive assessment of the incidence and risks of mental disorders in childhood and adolescence. By 18 years of age, 15.01% of children and adolescents in this study were diagnosed with a mental disorder. The incidence of several neurodevelopmental disorders peaked in late adolescence in girls, suggesting possible delayed detection. The distinct signatures of the different mental disorders with respect to sex and age may have important implications for service planning and etiological research.","container-title":"JAMA Psychiatry","DOI":"10.1001/jamapsychiatry.2019.3523","ISSN":"2168-622X","issue":"2","journalAbbreviation":"JAMA Psychiatry","page":"155-164","source":"Silverchair","title":"Incidence Rates and Cumulative Incidences of the Full Spectrum of Diagnosed Mental Disorders in Childhood and Adolescence","volume":"77","author":[{"family":"Dalsgaard","given":"Søren"},{"family":"Thorsteinsson","given":"Erla"},{"family":"Trabjerg","given":"Betina B."},{"family":"Schullehner","given":"Jörg"},{"family":"Plana-Ripoll","given":"Oleguer"},{"family":"Brikell","given":"Isabell"},{"family":"Wimberley","given":"Theresa"},{"family":"Thygesen","given":"Malene"},{"family":"Madsen","given":"Kathrine Bang"},{"family":"Timmerman","given":"Allan"},{"family":"Schendel","given":"Diana"},{"family":"McGrath","given":"John J."},{"family":"Mortensen","given":"Preben Bo"},{"family":"Pedersen","given":"Carsten B."}],"issued":{"date-parts":[["2020",2,1]]},"citation-key":"dalsgaardIncidenceRatesCumulative2020"}}],"schema":"https://github.com/citation-style-language/schema/raw/master/csl-citation.json"} </w:instrText>
      </w:r>
      <w:r w:rsidRPr="004D5927">
        <w:rPr>
          <w:rFonts w:cs="Times New Roman"/>
          <w:strike/>
        </w:rPr>
        <w:fldChar w:fldCharType="separate"/>
      </w:r>
      <w:r w:rsidRPr="004D5927">
        <w:rPr>
          <w:rFonts w:cs="Times New Roman"/>
          <w:strike/>
          <w:vertAlign w:val="superscript"/>
        </w:rPr>
        <w:t>29</w:t>
      </w:r>
      <w:r w:rsidRPr="004D5927">
        <w:rPr>
          <w:rFonts w:cs="Times New Roman"/>
          <w:strike/>
        </w:rPr>
        <w:fldChar w:fldCharType="end"/>
      </w:r>
      <w:r w:rsidRPr="004D5927">
        <w:rPr>
          <w:rFonts w:cs="Times New Roman"/>
          <w:strike/>
        </w:rPr>
        <w:t xml:space="preserve"> </w:t>
      </w:r>
      <w:r w:rsidRPr="004D5927">
        <w:rPr>
          <w:rFonts w:cs="Times New Roman"/>
          <w:strike/>
          <w:highlight w:val="yellow"/>
        </w:rPr>
        <w:t>we show in robustness checks that our results are not sensitive to restricting the sample to ages 6–17</w:t>
      </w:r>
      <w:r w:rsidRPr="004D5927">
        <w:rPr>
          <w:rFonts w:cs="Times New Roman"/>
          <w:strike/>
        </w:rPr>
        <w:t xml:space="preserve"> (see appendix).</w:t>
      </w:r>
    </w:p>
    <w:p w14:paraId="1F654E03" w14:textId="77777777" w:rsidR="005E65C9" w:rsidRPr="00D76340" w:rsidRDefault="005E65C9">
      <w:pPr>
        <w:rPr>
          <w:rFonts w:cs="Times New Roman"/>
          <w:b/>
          <w:bCs/>
          <w:u w:val="single"/>
        </w:rPr>
      </w:pPr>
      <w:r w:rsidRPr="00D76340">
        <w:rPr>
          <w:rFonts w:cs="Times New Roman"/>
          <w:b/>
          <w:bCs/>
          <w:u w:val="single"/>
        </w:rPr>
        <w:br w:type="page"/>
      </w:r>
    </w:p>
    <w:p w14:paraId="11D5313B" w14:textId="33E2D07E" w:rsidR="005E65C9" w:rsidRPr="00D76340" w:rsidRDefault="005E65C9" w:rsidP="005E65C9">
      <w:pPr>
        <w:spacing w:line="480" w:lineRule="auto"/>
        <w:jc w:val="both"/>
        <w:rPr>
          <w:rFonts w:cs="Times New Roman"/>
          <w:b/>
          <w:bCs/>
          <w:u w:val="single"/>
        </w:rPr>
      </w:pPr>
      <w:r w:rsidRPr="00D76340">
        <w:rPr>
          <w:rFonts w:cs="Times New Roman"/>
          <w:b/>
          <w:bCs/>
          <w:u w:val="single"/>
        </w:rPr>
        <w:lastRenderedPageBreak/>
        <w:t>References</w:t>
      </w:r>
    </w:p>
    <w:p w14:paraId="62FD495C" w14:textId="77777777" w:rsidR="00C126AC" w:rsidRPr="00D76340" w:rsidRDefault="005E65C9" w:rsidP="00C126AC">
      <w:pPr>
        <w:pStyle w:val="Bibliography"/>
        <w:rPr>
          <w:rFonts w:cs="Times New Roman"/>
        </w:rPr>
      </w:pPr>
      <w:r w:rsidRPr="00D76340">
        <w:rPr>
          <w:rFonts w:asciiTheme="minorHAnsi" w:hAnsiTheme="minorHAnsi"/>
        </w:rPr>
        <w:fldChar w:fldCharType="begin"/>
      </w:r>
      <w:r w:rsidR="00E04EEF" w:rsidRPr="00D76340">
        <w:instrText xml:space="preserve"> ADDIN ZOTERO_BIBL {"uncited":[],"omitted":[],"custom":[]} CSL_BIBLIOGRAPHY </w:instrText>
      </w:r>
      <w:r w:rsidRPr="00D76340">
        <w:rPr>
          <w:rFonts w:asciiTheme="minorHAnsi" w:hAnsiTheme="minorHAnsi"/>
        </w:rPr>
        <w:fldChar w:fldCharType="separate"/>
      </w:r>
      <w:r w:rsidR="00C126AC" w:rsidRPr="00D76340">
        <w:rPr>
          <w:rFonts w:cs="Times New Roman"/>
        </w:rPr>
        <w:t>1.</w:t>
      </w:r>
      <w:r w:rsidR="00C126AC" w:rsidRPr="00D76340">
        <w:rPr>
          <w:rFonts w:cs="Times New Roman"/>
        </w:rPr>
        <w:tab/>
        <w:t xml:space="preserve">Bitsko RH, Holbrook JR, Ghandour RM, et al. Epidemiology and Impact of Health Care Provider–Diagnosed Anxiety and Depression Among US Children. </w:t>
      </w:r>
      <w:r w:rsidR="00C126AC" w:rsidRPr="00D76340">
        <w:rPr>
          <w:rFonts w:cs="Times New Roman"/>
          <w:i/>
          <w:iCs/>
        </w:rPr>
        <w:t>J Dev Behav Pediatr</w:t>
      </w:r>
      <w:r w:rsidR="00C126AC" w:rsidRPr="00D76340">
        <w:rPr>
          <w:rFonts w:cs="Times New Roman"/>
        </w:rPr>
        <w:t>. 2018;39(5):395-403. doi:10.1097/DBP.0000000000000571</w:t>
      </w:r>
    </w:p>
    <w:p w14:paraId="29F43BE5" w14:textId="77777777" w:rsidR="00C126AC" w:rsidRPr="00D76340" w:rsidRDefault="00C126AC" w:rsidP="00C126AC">
      <w:pPr>
        <w:pStyle w:val="Bibliography"/>
        <w:rPr>
          <w:rFonts w:cs="Times New Roman"/>
        </w:rPr>
      </w:pPr>
      <w:r w:rsidRPr="00D76340">
        <w:rPr>
          <w:rFonts w:cs="Times New Roman"/>
        </w:rPr>
        <w:t>2.</w:t>
      </w:r>
      <w:r w:rsidRPr="00D76340">
        <w:rPr>
          <w:rFonts w:cs="Times New Roman"/>
        </w:rPr>
        <w:tab/>
        <w:t xml:space="preserve">Mojtabai R, Olfson M, Han B. National Trends in the Prevalence and Treatment of Depression in Adolescents and Young Adults. </w:t>
      </w:r>
      <w:r w:rsidRPr="00D76340">
        <w:rPr>
          <w:rFonts w:cs="Times New Roman"/>
          <w:i/>
          <w:iCs/>
        </w:rPr>
        <w:t>Pediatrics</w:t>
      </w:r>
      <w:r w:rsidRPr="00D76340">
        <w:rPr>
          <w:rFonts w:cs="Times New Roman"/>
        </w:rPr>
        <w:t>. 2016;138(6):e20161878. doi:10.1542/peds.2016-1878</w:t>
      </w:r>
    </w:p>
    <w:p w14:paraId="19AA9922" w14:textId="77777777" w:rsidR="00C126AC" w:rsidRPr="00D76340" w:rsidRDefault="00C126AC" w:rsidP="00C126AC">
      <w:pPr>
        <w:pStyle w:val="Bibliography"/>
        <w:rPr>
          <w:rFonts w:cs="Times New Roman"/>
        </w:rPr>
      </w:pPr>
      <w:r w:rsidRPr="00D76340">
        <w:rPr>
          <w:rFonts w:cs="Times New Roman"/>
        </w:rPr>
        <w:t>3.</w:t>
      </w:r>
      <w:r w:rsidRPr="00D76340">
        <w:rPr>
          <w:rFonts w:cs="Times New Roman"/>
        </w:rPr>
        <w:tab/>
        <w:t xml:space="preserve">Twenge JM. The age of anxiety? The birth cohort change in anxiety and neuroticism, 1952–1993. </w:t>
      </w:r>
      <w:r w:rsidRPr="00D76340">
        <w:rPr>
          <w:rFonts w:cs="Times New Roman"/>
          <w:i/>
          <w:iCs/>
        </w:rPr>
        <w:t>Journal of Personality and Social Psychology</w:t>
      </w:r>
      <w:r w:rsidRPr="00D76340">
        <w:rPr>
          <w:rFonts w:cs="Times New Roman"/>
        </w:rPr>
        <w:t>. 2000;79:1007-1021. doi:10.1037/0022-3514.79.6.1007</w:t>
      </w:r>
    </w:p>
    <w:p w14:paraId="40C17821" w14:textId="77777777" w:rsidR="00C126AC" w:rsidRPr="00D76340" w:rsidRDefault="00C126AC" w:rsidP="00C126AC">
      <w:pPr>
        <w:pStyle w:val="Bibliography"/>
        <w:rPr>
          <w:rFonts w:cs="Times New Roman"/>
        </w:rPr>
      </w:pPr>
      <w:r w:rsidRPr="00D76340">
        <w:rPr>
          <w:rFonts w:cs="Times New Roman"/>
        </w:rPr>
        <w:t>4.</w:t>
      </w:r>
      <w:r w:rsidRPr="00D76340">
        <w:rPr>
          <w:rFonts w:cs="Times New Roman"/>
        </w:rPr>
        <w:tab/>
        <w:t xml:space="preserve">Twenge JM, Gentile B, DeWall CN, Ma D, Lacefield K, Schurtz DR. Birth cohort increases in psychopathology among young Americans, 1938–2007: A cross-temporal meta-analysis of the MMPI. </w:t>
      </w:r>
      <w:r w:rsidRPr="00D76340">
        <w:rPr>
          <w:rFonts w:cs="Times New Roman"/>
          <w:i/>
          <w:iCs/>
        </w:rPr>
        <w:t>Clinical Psychology Review</w:t>
      </w:r>
      <w:r w:rsidRPr="00D76340">
        <w:rPr>
          <w:rFonts w:cs="Times New Roman"/>
        </w:rPr>
        <w:t>. 2010;30(2):145-154. doi:10.1016/j.cpr.2009.10.005</w:t>
      </w:r>
    </w:p>
    <w:p w14:paraId="592A6E77" w14:textId="77777777" w:rsidR="00C126AC" w:rsidRPr="00D76340" w:rsidRDefault="00C126AC" w:rsidP="00C126AC">
      <w:pPr>
        <w:pStyle w:val="Bibliography"/>
        <w:rPr>
          <w:rFonts w:cs="Times New Roman"/>
        </w:rPr>
      </w:pPr>
      <w:r w:rsidRPr="00D76340">
        <w:rPr>
          <w:rFonts w:cs="Times New Roman"/>
        </w:rPr>
        <w:t>5.</w:t>
      </w:r>
      <w:r w:rsidRPr="00D76340">
        <w:rPr>
          <w:rFonts w:cs="Times New Roman"/>
        </w:rPr>
        <w:tab/>
        <w:t xml:space="preserve">Keyes KM, Gary D, O’Malley PM, Hamilton A, Schulenberg J. Recent increases in depressive symptoms among US adolescents: trends from 1991 to 2018. </w:t>
      </w:r>
      <w:r w:rsidRPr="00D76340">
        <w:rPr>
          <w:rFonts w:cs="Times New Roman"/>
          <w:i/>
          <w:iCs/>
        </w:rPr>
        <w:t>Soc Psychiatry Psychiatr Epidemiol</w:t>
      </w:r>
      <w:r w:rsidRPr="00D76340">
        <w:rPr>
          <w:rFonts w:cs="Times New Roman"/>
        </w:rPr>
        <w:t>. 2019;54(8):987-996. doi:10.1007/s00127-019-01697-8</w:t>
      </w:r>
    </w:p>
    <w:p w14:paraId="4BDCBB53" w14:textId="77777777" w:rsidR="00C126AC" w:rsidRPr="00D76340" w:rsidRDefault="00C126AC" w:rsidP="00C126AC">
      <w:pPr>
        <w:pStyle w:val="Bibliography"/>
        <w:rPr>
          <w:rFonts w:cs="Times New Roman"/>
        </w:rPr>
      </w:pPr>
      <w:r w:rsidRPr="00D76340">
        <w:rPr>
          <w:rFonts w:cs="Times New Roman"/>
        </w:rPr>
        <w:t>6.</w:t>
      </w:r>
      <w:r w:rsidRPr="00D76340">
        <w:rPr>
          <w:rFonts w:cs="Times New Roman"/>
        </w:rPr>
        <w:tab/>
        <w:t xml:space="preserve">Bor W, Dean AJ, Najman J, Hayatbakhsh R. Are child and adolescent mental health problems increasing in the 21st century? A systematic review. </w:t>
      </w:r>
      <w:r w:rsidRPr="00D76340">
        <w:rPr>
          <w:rFonts w:cs="Times New Roman"/>
          <w:i/>
          <w:iCs/>
        </w:rPr>
        <w:t>Aust N Z J Psychiatry</w:t>
      </w:r>
      <w:r w:rsidRPr="00D76340">
        <w:rPr>
          <w:rFonts w:cs="Times New Roman"/>
        </w:rPr>
        <w:t>. 2014;48(7):606-616. doi:10.1177/0004867414533834</w:t>
      </w:r>
    </w:p>
    <w:p w14:paraId="6E0B2ECC" w14:textId="77777777" w:rsidR="00C126AC" w:rsidRPr="00D76340" w:rsidRDefault="00C126AC" w:rsidP="00C126AC">
      <w:pPr>
        <w:pStyle w:val="Bibliography"/>
        <w:rPr>
          <w:rFonts w:cs="Times New Roman"/>
        </w:rPr>
      </w:pPr>
      <w:r w:rsidRPr="00D76340">
        <w:rPr>
          <w:rFonts w:cs="Times New Roman"/>
        </w:rPr>
        <w:t>7.</w:t>
      </w:r>
      <w:r w:rsidRPr="00D76340">
        <w:rPr>
          <w:rFonts w:cs="Times New Roman"/>
        </w:rPr>
        <w:tab/>
        <w:t xml:space="preserve">Bitsko RH, Claussen AH, Lichstein J, et al. Mental health surveillance among children—United States, 2013–2019. </w:t>
      </w:r>
      <w:r w:rsidRPr="00D76340">
        <w:rPr>
          <w:rFonts w:cs="Times New Roman"/>
          <w:i/>
          <w:iCs/>
        </w:rPr>
        <w:t>MMWR supplements</w:t>
      </w:r>
      <w:r w:rsidRPr="00D76340">
        <w:rPr>
          <w:rFonts w:cs="Times New Roman"/>
        </w:rPr>
        <w:t>. 2022;71(2):1.</w:t>
      </w:r>
    </w:p>
    <w:p w14:paraId="3E0F4B89" w14:textId="77777777" w:rsidR="00C126AC" w:rsidRPr="00D76340" w:rsidRDefault="00C126AC" w:rsidP="00C126AC">
      <w:pPr>
        <w:pStyle w:val="Bibliography"/>
        <w:rPr>
          <w:rFonts w:cs="Times New Roman"/>
        </w:rPr>
      </w:pPr>
      <w:r w:rsidRPr="00D76340">
        <w:rPr>
          <w:rFonts w:cs="Times New Roman"/>
        </w:rPr>
        <w:t>8.</w:t>
      </w:r>
      <w:r w:rsidRPr="00D76340">
        <w:rPr>
          <w:rFonts w:cs="Times New Roman"/>
        </w:rPr>
        <w:tab/>
        <w:t xml:space="preserve">Racine N, McArthur BA, Cooke JE, Eirich R, Zhu J, Madigan S. Global Prevalence of Depressive and Anxiety Symptoms in Children and Adolescents During COVID-19: A Meta-analysis. </w:t>
      </w:r>
      <w:r w:rsidRPr="00D76340">
        <w:rPr>
          <w:rFonts w:cs="Times New Roman"/>
          <w:i/>
          <w:iCs/>
        </w:rPr>
        <w:t>JAMA Pediatrics</w:t>
      </w:r>
      <w:r w:rsidRPr="00D76340">
        <w:rPr>
          <w:rFonts w:cs="Times New Roman"/>
        </w:rPr>
        <w:t>. 2021;175(11):1142-1150. doi:10.1001/jamapediatrics.2021.2482</w:t>
      </w:r>
    </w:p>
    <w:p w14:paraId="6BD19152" w14:textId="77777777" w:rsidR="00C126AC" w:rsidRPr="00D76340" w:rsidRDefault="00C126AC" w:rsidP="00C126AC">
      <w:pPr>
        <w:pStyle w:val="Bibliography"/>
        <w:rPr>
          <w:rFonts w:cs="Times New Roman"/>
        </w:rPr>
      </w:pPr>
      <w:r w:rsidRPr="00D76340">
        <w:rPr>
          <w:rFonts w:cs="Times New Roman"/>
        </w:rPr>
        <w:t>9.</w:t>
      </w:r>
      <w:r w:rsidRPr="00D76340">
        <w:rPr>
          <w:rFonts w:cs="Times New Roman"/>
        </w:rPr>
        <w:tab/>
        <w:t xml:space="preserve">Suldo SM, Gormley MJ, DuPaul GJ, Anderson-Butcher D. The Impact of School Mental Health on Student and School-Level Academic Outcomes: Current Status of the Research and Future Directions. </w:t>
      </w:r>
      <w:r w:rsidRPr="00D76340">
        <w:rPr>
          <w:rFonts w:cs="Times New Roman"/>
          <w:i/>
          <w:iCs/>
        </w:rPr>
        <w:t>School Mental Health</w:t>
      </w:r>
      <w:r w:rsidRPr="00D76340">
        <w:rPr>
          <w:rFonts w:cs="Times New Roman"/>
        </w:rPr>
        <w:t>. 2014;6(2):84-98. doi:10.1007/s12310-013-9116-2</w:t>
      </w:r>
    </w:p>
    <w:p w14:paraId="61C0ECB9" w14:textId="77777777" w:rsidR="00C126AC" w:rsidRPr="00D76340" w:rsidRDefault="00C126AC" w:rsidP="00C126AC">
      <w:pPr>
        <w:pStyle w:val="Bibliography"/>
        <w:rPr>
          <w:rFonts w:cs="Times New Roman"/>
        </w:rPr>
      </w:pPr>
      <w:r w:rsidRPr="00D76340">
        <w:rPr>
          <w:rFonts w:cs="Times New Roman"/>
        </w:rPr>
        <w:t>10.</w:t>
      </w:r>
      <w:r w:rsidRPr="00D76340">
        <w:rPr>
          <w:rFonts w:cs="Times New Roman"/>
        </w:rPr>
        <w:tab/>
        <w:t xml:space="preserve">Clayborne ZM, Varin M, Colman I. Systematic Review and Meta-Analysis: Adolescent Depression and Long-Term Psychosocial Outcomes. </w:t>
      </w:r>
      <w:r w:rsidRPr="00D76340">
        <w:rPr>
          <w:rFonts w:cs="Times New Roman"/>
          <w:i/>
          <w:iCs/>
        </w:rPr>
        <w:t>Journal of the American Academy of Child &amp; Adolescent Psychiatry</w:t>
      </w:r>
      <w:r w:rsidRPr="00D76340">
        <w:rPr>
          <w:rFonts w:cs="Times New Roman"/>
        </w:rPr>
        <w:t>. 2019;58(1):72-79. doi:10.1016/j.jaac.2018.07.896</w:t>
      </w:r>
    </w:p>
    <w:p w14:paraId="414671D0" w14:textId="77777777" w:rsidR="00C126AC" w:rsidRPr="00D76340" w:rsidRDefault="00C126AC" w:rsidP="00C126AC">
      <w:pPr>
        <w:pStyle w:val="Bibliography"/>
        <w:rPr>
          <w:rFonts w:cs="Times New Roman"/>
        </w:rPr>
      </w:pPr>
      <w:r w:rsidRPr="00D76340">
        <w:rPr>
          <w:rFonts w:cs="Times New Roman"/>
        </w:rPr>
        <w:t>11.</w:t>
      </w:r>
      <w:r w:rsidRPr="00D76340">
        <w:rPr>
          <w:rFonts w:cs="Times New Roman"/>
        </w:rPr>
        <w:tab/>
        <w:t xml:space="preserve">Larson K, Halfon N. Family Income Gradients in the Health and Health Care Access of US Children. </w:t>
      </w:r>
      <w:r w:rsidRPr="00D76340">
        <w:rPr>
          <w:rFonts w:cs="Times New Roman"/>
          <w:i/>
          <w:iCs/>
        </w:rPr>
        <w:t>Matern Child Health J</w:t>
      </w:r>
      <w:r w:rsidRPr="00D76340">
        <w:rPr>
          <w:rFonts w:cs="Times New Roman"/>
        </w:rPr>
        <w:t>. 2010;14(3):332-342. doi:10.1007/s10995-009-0477-y</w:t>
      </w:r>
    </w:p>
    <w:p w14:paraId="46891506" w14:textId="77777777" w:rsidR="00C126AC" w:rsidRPr="00D76340" w:rsidRDefault="00C126AC" w:rsidP="00C126AC">
      <w:pPr>
        <w:pStyle w:val="Bibliography"/>
        <w:rPr>
          <w:rFonts w:cs="Times New Roman"/>
        </w:rPr>
      </w:pPr>
      <w:r w:rsidRPr="00D76340">
        <w:rPr>
          <w:rFonts w:cs="Times New Roman"/>
        </w:rPr>
        <w:t>12.</w:t>
      </w:r>
      <w:r w:rsidRPr="00D76340">
        <w:rPr>
          <w:rFonts w:cs="Times New Roman"/>
        </w:rPr>
        <w:tab/>
        <w:t xml:space="preserve">Ormel J, Cuijpers P, Jorm AF, Schoevers R. Prevention of depression will only succeed when it is structurally embedded and targets big determinants. </w:t>
      </w:r>
      <w:r w:rsidRPr="00D76340">
        <w:rPr>
          <w:rFonts w:cs="Times New Roman"/>
          <w:i/>
          <w:iCs/>
        </w:rPr>
        <w:t>World Psychiatry</w:t>
      </w:r>
      <w:r w:rsidRPr="00D76340">
        <w:rPr>
          <w:rFonts w:cs="Times New Roman"/>
        </w:rPr>
        <w:t>. 2019;18(1):111-112. doi:10.1002/wps.20580</w:t>
      </w:r>
    </w:p>
    <w:p w14:paraId="13F86691" w14:textId="77777777" w:rsidR="00C126AC" w:rsidRPr="00D76340" w:rsidRDefault="00C126AC" w:rsidP="00C126AC">
      <w:pPr>
        <w:pStyle w:val="Bibliography"/>
        <w:rPr>
          <w:rFonts w:cs="Times New Roman"/>
        </w:rPr>
      </w:pPr>
      <w:r w:rsidRPr="00D76340">
        <w:rPr>
          <w:rFonts w:cs="Times New Roman"/>
        </w:rPr>
        <w:lastRenderedPageBreak/>
        <w:t>13.</w:t>
      </w:r>
      <w:r w:rsidRPr="00D76340">
        <w:rPr>
          <w:rFonts w:cs="Times New Roman"/>
        </w:rPr>
        <w:tab/>
        <w:t xml:space="preserve">Stuckler D, Basu S, Suhrcke M, Coutts A, McKee M. The public health effect of economic crises and alternative policy responses in Europe: an empirical analysis. </w:t>
      </w:r>
      <w:r w:rsidRPr="00D76340">
        <w:rPr>
          <w:rFonts w:cs="Times New Roman"/>
          <w:i/>
          <w:iCs/>
        </w:rPr>
        <w:t>The Lancet</w:t>
      </w:r>
      <w:r w:rsidRPr="00D76340">
        <w:rPr>
          <w:rFonts w:cs="Times New Roman"/>
        </w:rPr>
        <w:t>. 2009;374(9686):315-323. doi:10.1016/S0140-6736(09)61124-7</w:t>
      </w:r>
    </w:p>
    <w:p w14:paraId="3B8384EB" w14:textId="77777777" w:rsidR="00C126AC" w:rsidRPr="00D76340" w:rsidRDefault="00C126AC" w:rsidP="00C126AC">
      <w:pPr>
        <w:pStyle w:val="Bibliography"/>
        <w:rPr>
          <w:rFonts w:cs="Times New Roman"/>
        </w:rPr>
      </w:pPr>
      <w:r w:rsidRPr="00D76340">
        <w:rPr>
          <w:rFonts w:cs="Times New Roman"/>
        </w:rPr>
        <w:t>14.</w:t>
      </w:r>
      <w:r w:rsidRPr="00D76340">
        <w:rPr>
          <w:rFonts w:cs="Times New Roman"/>
        </w:rPr>
        <w:tab/>
        <w:t xml:space="preserve">Takeuchi DT, Williams DR, Adair RK. Economic Stress in the Family and Children’s Emotional and Behavioral Problems. </w:t>
      </w:r>
      <w:r w:rsidRPr="00D76340">
        <w:rPr>
          <w:rFonts w:cs="Times New Roman"/>
          <w:i/>
          <w:iCs/>
        </w:rPr>
        <w:t>Journal of Marriage and Family</w:t>
      </w:r>
      <w:r w:rsidRPr="00D76340">
        <w:rPr>
          <w:rFonts w:cs="Times New Roman"/>
        </w:rPr>
        <w:t>. 1991;53(4):1031-1041. doi:10.2307/353006</w:t>
      </w:r>
    </w:p>
    <w:p w14:paraId="3F8F06B6" w14:textId="77777777" w:rsidR="00C126AC" w:rsidRPr="00D76340" w:rsidRDefault="00C126AC" w:rsidP="00C126AC">
      <w:pPr>
        <w:pStyle w:val="Bibliography"/>
        <w:rPr>
          <w:rFonts w:cs="Times New Roman"/>
        </w:rPr>
      </w:pPr>
      <w:r w:rsidRPr="00D76340">
        <w:rPr>
          <w:rFonts w:cs="Times New Roman"/>
        </w:rPr>
        <w:t>15.</w:t>
      </w:r>
      <w:r w:rsidRPr="00D76340">
        <w:rPr>
          <w:rFonts w:cs="Times New Roman"/>
        </w:rPr>
        <w:tab/>
        <w:t xml:space="preserve">McCarrier KP, Zimmerman FJ, Ralston JD, Martin DP. Associations Between Minimum Wage Policy and Access to Health Care: Evidence From the Behavioral Risk Factor Surveillance System, 1996–2007. </w:t>
      </w:r>
      <w:r w:rsidRPr="00D76340">
        <w:rPr>
          <w:rFonts w:cs="Times New Roman"/>
          <w:i/>
          <w:iCs/>
        </w:rPr>
        <w:t>Am J Public Health</w:t>
      </w:r>
      <w:r w:rsidRPr="00D76340">
        <w:rPr>
          <w:rFonts w:cs="Times New Roman"/>
        </w:rPr>
        <w:t>. 2011;101(2):359-367. doi:10.2105/AJPH.2006.108928</w:t>
      </w:r>
    </w:p>
    <w:p w14:paraId="6D0137B3" w14:textId="77777777" w:rsidR="00C126AC" w:rsidRPr="00D76340" w:rsidRDefault="00C126AC" w:rsidP="00C126AC">
      <w:pPr>
        <w:pStyle w:val="Bibliography"/>
        <w:rPr>
          <w:rFonts w:cs="Times New Roman"/>
        </w:rPr>
      </w:pPr>
      <w:r w:rsidRPr="00D76340">
        <w:rPr>
          <w:rFonts w:cs="Times New Roman"/>
        </w:rPr>
        <w:t>16.</w:t>
      </w:r>
      <w:r w:rsidRPr="00D76340">
        <w:rPr>
          <w:rFonts w:cs="Times New Roman"/>
        </w:rPr>
        <w:tab/>
        <w:t xml:space="preserve">Du J, Yagihashi T. Health capital investment and time spent on health-related activities. </w:t>
      </w:r>
      <w:r w:rsidRPr="00D76340">
        <w:rPr>
          <w:rFonts w:cs="Times New Roman"/>
          <w:i/>
          <w:iCs/>
        </w:rPr>
        <w:t>Rev Econ Household</w:t>
      </w:r>
      <w:r w:rsidRPr="00D76340">
        <w:rPr>
          <w:rFonts w:cs="Times New Roman"/>
        </w:rPr>
        <w:t>. 2017;15(4):1215-1248. doi:10.1007/s11150-017-9378-9</w:t>
      </w:r>
    </w:p>
    <w:p w14:paraId="62C2C815" w14:textId="77777777" w:rsidR="00C126AC" w:rsidRPr="00D76340" w:rsidRDefault="00C126AC" w:rsidP="00C126AC">
      <w:pPr>
        <w:pStyle w:val="Bibliography"/>
        <w:rPr>
          <w:rFonts w:cs="Times New Roman"/>
        </w:rPr>
      </w:pPr>
      <w:r w:rsidRPr="00D76340">
        <w:rPr>
          <w:rFonts w:cs="Times New Roman"/>
        </w:rPr>
        <w:t>17.</w:t>
      </w:r>
      <w:r w:rsidRPr="00D76340">
        <w:rPr>
          <w:rFonts w:cs="Times New Roman"/>
        </w:rPr>
        <w:tab/>
        <w:t xml:space="preserve">Smith AA. The minimum wage and teen educational attainment. </w:t>
      </w:r>
      <w:r w:rsidRPr="00D76340">
        <w:rPr>
          <w:rFonts w:cs="Times New Roman"/>
          <w:i/>
          <w:iCs/>
        </w:rPr>
        <w:t>Labour Economics</w:t>
      </w:r>
      <w:r w:rsidRPr="00D76340">
        <w:rPr>
          <w:rFonts w:cs="Times New Roman"/>
        </w:rPr>
        <w:t>. 2021;73:102061. doi:10.1016/j.labeco.2021.102061</w:t>
      </w:r>
    </w:p>
    <w:p w14:paraId="6582C9C8" w14:textId="77777777" w:rsidR="00C126AC" w:rsidRPr="00D76340" w:rsidRDefault="00C126AC" w:rsidP="00C126AC">
      <w:pPr>
        <w:pStyle w:val="Bibliography"/>
        <w:rPr>
          <w:rFonts w:cs="Times New Roman"/>
        </w:rPr>
      </w:pPr>
      <w:r w:rsidRPr="00D76340">
        <w:rPr>
          <w:rFonts w:cs="Times New Roman"/>
        </w:rPr>
        <w:t>18.</w:t>
      </w:r>
      <w:r w:rsidRPr="00D76340">
        <w:rPr>
          <w:rFonts w:cs="Times New Roman"/>
        </w:rPr>
        <w:tab/>
        <w:t xml:space="preserve">Leigh JP, Leigh WA, Du J. Minimum wages and public health: A literature review. </w:t>
      </w:r>
      <w:r w:rsidRPr="00D76340">
        <w:rPr>
          <w:rFonts w:cs="Times New Roman"/>
          <w:i/>
          <w:iCs/>
        </w:rPr>
        <w:t>Preventive Medicine</w:t>
      </w:r>
      <w:r w:rsidRPr="00D76340">
        <w:rPr>
          <w:rFonts w:cs="Times New Roman"/>
        </w:rPr>
        <w:t>. 2019;118:122-134. doi:10.1016/j.ypmed.2018.10.005</w:t>
      </w:r>
    </w:p>
    <w:p w14:paraId="6583FD08" w14:textId="77777777" w:rsidR="00C126AC" w:rsidRPr="00D76340" w:rsidRDefault="00C126AC" w:rsidP="00C126AC">
      <w:pPr>
        <w:pStyle w:val="Bibliography"/>
        <w:rPr>
          <w:rFonts w:cs="Times New Roman"/>
        </w:rPr>
      </w:pPr>
      <w:r w:rsidRPr="00D76340">
        <w:rPr>
          <w:rFonts w:cs="Times New Roman"/>
        </w:rPr>
        <w:t>19.</w:t>
      </w:r>
      <w:r w:rsidRPr="00D76340">
        <w:rPr>
          <w:rFonts w:cs="Times New Roman"/>
        </w:rPr>
        <w:tab/>
        <w:t xml:space="preserve">Reeves A, McKee M, Mackenbach J, Whitehead M, Stuckler D. Introduction of a National Minimum Wage Reduced Depressive Symptoms in Low-Wage Workers: A Quasi-Natural Experiment in the UK. </w:t>
      </w:r>
      <w:r w:rsidRPr="00D76340">
        <w:rPr>
          <w:rFonts w:cs="Times New Roman"/>
          <w:i/>
          <w:iCs/>
        </w:rPr>
        <w:t>Health Economics</w:t>
      </w:r>
      <w:r w:rsidRPr="00D76340">
        <w:rPr>
          <w:rFonts w:cs="Times New Roman"/>
        </w:rPr>
        <w:t>. 2017;26(5):639-655. doi:10.1002/hec.3336</w:t>
      </w:r>
    </w:p>
    <w:p w14:paraId="138F1405" w14:textId="77777777" w:rsidR="00C126AC" w:rsidRPr="00D76340" w:rsidRDefault="00C126AC" w:rsidP="00C126AC">
      <w:pPr>
        <w:pStyle w:val="Bibliography"/>
        <w:rPr>
          <w:rFonts w:cs="Times New Roman"/>
        </w:rPr>
      </w:pPr>
      <w:r w:rsidRPr="00D76340">
        <w:rPr>
          <w:rFonts w:cs="Times New Roman"/>
        </w:rPr>
        <w:t>20.</w:t>
      </w:r>
      <w:r w:rsidRPr="00D76340">
        <w:rPr>
          <w:rFonts w:cs="Times New Roman"/>
        </w:rPr>
        <w:tab/>
        <w:t xml:space="preserve">Kronenberg C, Jacobs R, Zucchelli E. The impact of a wage increase on mental health: Evidence from the UK minimum wage. </w:t>
      </w:r>
      <w:r w:rsidRPr="00D76340">
        <w:rPr>
          <w:rFonts w:cs="Times New Roman"/>
          <w:i/>
          <w:iCs/>
        </w:rPr>
        <w:t>Health, Econometrics and Data Group Working Paper</w:t>
      </w:r>
      <w:r w:rsidRPr="00D76340">
        <w:rPr>
          <w:rFonts w:cs="Times New Roman"/>
        </w:rPr>
        <w:t>. 2015;15(08).</w:t>
      </w:r>
    </w:p>
    <w:p w14:paraId="72FFBDCF" w14:textId="77777777" w:rsidR="00C126AC" w:rsidRPr="00D76340" w:rsidRDefault="00C126AC" w:rsidP="00C126AC">
      <w:pPr>
        <w:pStyle w:val="Bibliography"/>
        <w:rPr>
          <w:rFonts w:cs="Times New Roman"/>
        </w:rPr>
      </w:pPr>
      <w:r w:rsidRPr="00D76340">
        <w:rPr>
          <w:rFonts w:cs="Times New Roman"/>
        </w:rPr>
        <w:t>21.</w:t>
      </w:r>
      <w:r w:rsidRPr="00D76340">
        <w:rPr>
          <w:rFonts w:cs="Times New Roman"/>
        </w:rPr>
        <w:tab/>
        <w:t xml:space="preserve">Horn BP, Maclean JC, Strain MR. Do Minimum Wage Increases Influence Worker Health? </w:t>
      </w:r>
      <w:r w:rsidRPr="00D76340">
        <w:rPr>
          <w:rFonts w:cs="Times New Roman"/>
          <w:i/>
          <w:iCs/>
        </w:rPr>
        <w:t>Economic Inquiry</w:t>
      </w:r>
      <w:r w:rsidRPr="00D76340">
        <w:rPr>
          <w:rFonts w:cs="Times New Roman"/>
        </w:rPr>
        <w:t>. 2017;55(4):1986-2007. doi:10.1111/ecin.12453</w:t>
      </w:r>
    </w:p>
    <w:p w14:paraId="58219EAA" w14:textId="77777777" w:rsidR="00C126AC" w:rsidRPr="00D76340" w:rsidRDefault="00C126AC" w:rsidP="00C126AC">
      <w:pPr>
        <w:pStyle w:val="Bibliography"/>
        <w:rPr>
          <w:rFonts w:cs="Times New Roman"/>
        </w:rPr>
      </w:pPr>
      <w:r w:rsidRPr="00D76340">
        <w:rPr>
          <w:rFonts w:cs="Times New Roman"/>
        </w:rPr>
        <w:t>22.</w:t>
      </w:r>
      <w:r w:rsidRPr="00D76340">
        <w:rPr>
          <w:rFonts w:cs="Times New Roman"/>
        </w:rPr>
        <w:tab/>
        <w:t xml:space="preserve">Andreyeva E, Ukert B. The impact of the minimum wage on health. </w:t>
      </w:r>
      <w:r w:rsidRPr="00D76340">
        <w:rPr>
          <w:rFonts w:cs="Times New Roman"/>
          <w:i/>
          <w:iCs/>
        </w:rPr>
        <w:t>Int J Health Econ Manag</w:t>
      </w:r>
      <w:r w:rsidRPr="00D76340">
        <w:rPr>
          <w:rFonts w:cs="Times New Roman"/>
        </w:rPr>
        <w:t>. 2018;18(4):337-375. doi:10.1007/s10754-018-9237-0</w:t>
      </w:r>
    </w:p>
    <w:p w14:paraId="1CD0D253" w14:textId="77777777" w:rsidR="00C126AC" w:rsidRPr="00D76340" w:rsidRDefault="00C126AC" w:rsidP="00C126AC">
      <w:pPr>
        <w:pStyle w:val="Bibliography"/>
        <w:rPr>
          <w:rFonts w:cs="Times New Roman"/>
        </w:rPr>
      </w:pPr>
      <w:r w:rsidRPr="00D76340">
        <w:rPr>
          <w:rFonts w:cs="Times New Roman"/>
        </w:rPr>
        <w:t>23.</w:t>
      </w:r>
      <w:r w:rsidRPr="00D76340">
        <w:rPr>
          <w:rFonts w:cs="Times New Roman"/>
        </w:rPr>
        <w:tab/>
        <w:t xml:space="preserve">Komro KA, Livingston MD, Markowitz S, Wagenaar AC. The Effect of an Increased Minimum Wage on Infant Mortality and Birth Weight. </w:t>
      </w:r>
      <w:r w:rsidRPr="00D76340">
        <w:rPr>
          <w:rFonts w:cs="Times New Roman"/>
          <w:i/>
          <w:iCs/>
        </w:rPr>
        <w:t>Am J Public Health</w:t>
      </w:r>
      <w:r w:rsidRPr="00D76340">
        <w:rPr>
          <w:rFonts w:cs="Times New Roman"/>
        </w:rPr>
        <w:t>. 2016;106(8):1514-1516. doi:10.2105/AJPH.2016.303268</w:t>
      </w:r>
    </w:p>
    <w:p w14:paraId="12218994" w14:textId="77777777" w:rsidR="00C126AC" w:rsidRPr="00D76340" w:rsidRDefault="00C126AC" w:rsidP="00C126AC">
      <w:pPr>
        <w:pStyle w:val="Bibliography"/>
        <w:rPr>
          <w:rFonts w:cs="Times New Roman"/>
        </w:rPr>
      </w:pPr>
      <w:r w:rsidRPr="00D76340">
        <w:rPr>
          <w:rFonts w:cs="Times New Roman"/>
        </w:rPr>
        <w:t>24.</w:t>
      </w:r>
      <w:r w:rsidRPr="00D76340">
        <w:rPr>
          <w:rFonts w:cs="Times New Roman"/>
        </w:rPr>
        <w:tab/>
        <w:t xml:space="preserve">Wehby GL, Dave DM, Kaestner R. Effects of the Minimum Wage on Infant Health. </w:t>
      </w:r>
      <w:r w:rsidRPr="00D76340">
        <w:rPr>
          <w:rFonts w:cs="Times New Roman"/>
          <w:i/>
          <w:iCs/>
        </w:rPr>
        <w:t>Journal of Policy Analysis and Management</w:t>
      </w:r>
      <w:r w:rsidRPr="00D76340">
        <w:rPr>
          <w:rFonts w:cs="Times New Roman"/>
        </w:rPr>
        <w:t>. 2020;39(2):411-443. doi:10.1002/pam.22174</w:t>
      </w:r>
    </w:p>
    <w:p w14:paraId="2BA7BAEC" w14:textId="77777777" w:rsidR="00C126AC" w:rsidRPr="00D76340" w:rsidRDefault="00C126AC" w:rsidP="00C126AC">
      <w:pPr>
        <w:pStyle w:val="Bibliography"/>
        <w:rPr>
          <w:rFonts w:cs="Times New Roman"/>
        </w:rPr>
      </w:pPr>
      <w:r w:rsidRPr="00D76340">
        <w:rPr>
          <w:rFonts w:cs="Times New Roman"/>
        </w:rPr>
        <w:t>25.</w:t>
      </w:r>
      <w:r w:rsidRPr="00D76340">
        <w:rPr>
          <w:rFonts w:cs="Times New Roman"/>
        </w:rPr>
        <w:tab/>
        <w:t xml:space="preserve">Wehby GL, Kaestner R, Lyu W, Dave DM. Effects of the Minimum Wage on Child Health. </w:t>
      </w:r>
      <w:r w:rsidRPr="00D76340">
        <w:rPr>
          <w:rFonts w:cs="Times New Roman"/>
          <w:i/>
          <w:iCs/>
        </w:rPr>
        <w:t>American Journal of Health Economics</w:t>
      </w:r>
      <w:r w:rsidRPr="00D76340">
        <w:rPr>
          <w:rFonts w:cs="Times New Roman"/>
        </w:rPr>
        <w:t>. 2022;8(3):412-448. doi:10.1086/719364</w:t>
      </w:r>
    </w:p>
    <w:p w14:paraId="5CBAC680" w14:textId="77777777" w:rsidR="00C126AC" w:rsidRPr="00D76340" w:rsidRDefault="00C126AC" w:rsidP="00C126AC">
      <w:pPr>
        <w:pStyle w:val="Bibliography"/>
        <w:rPr>
          <w:rFonts w:cs="Times New Roman"/>
        </w:rPr>
      </w:pPr>
      <w:r w:rsidRPr="00D76340">
        <w:rPr>
          <w:rFonts w:cs="Times New Roman"/>
        </w:rPr>
        <w:lastRenderedPageBreak/>
        <w:t>26.</w:t>
      </w:r>
      <w:r w:rsidRPr="00D76340">
        <w:rPr>
          <w:rFonts w:cs="Times New Roman"/>
        </w:rPr>
        <w:tab/>
        <w:t xml:space="preserve">Averett SL, Smith JK, Wang Y. The effects of minimum wages on the health of working teenagers. </w:t>
      </w:r>
      <w:r w:rsidRPr="00D76340">
        <w:rPr>
          <w:rFonts w:cs="Times New Roman"/>
          <w:i/>
          <w:iCs/>
        </w:rPr>
        <w:t>Applied Economics Letters</w:t>
      </w:r>
      <w:r w:rsidRPr="00D76340">
        <w:rPr>
          <w:rFonts w:cs="Times New Roman"/>
        </w:rPr>
        <w:t>. 2017;24(16):1127-1130. doi:10.1080/13504851.2016.1259737</w:t>
      </w:r>
    </w:p>
    <w:p w14:paraId="045E0361" w14:textId="77777777" w:rsidR="00C126AC" w:rsidRPr="00D76340" w:rsidRDefault="00C126AC" w:rsidP="00C126AC">
      <w:pPr>
        <w:pStyle w:val="Bibliography"/>
        <w:rPr>
          <w:rFonts w:cs="Times New Roman"/>
        </w:rPr>
      </w:pPr>
      <w:r w:rsidRPr="00D76340">
        <w:rPr>
          <w:rFonts w:cs="Times New Roman"/>
        </w:rPr>
        <w:t>27.</w:t>
      </w:r>
      <w:r w:rsidRPr="00D76340">
        <w:rPr>
          <w:rFonts w:cs="Times New Roman"/>
        </w:rPr>
        <w:tab/>
        <w:t xml:space="preserve">Averett SL, Smith JK, Wang Y. Minimum wages and the health of immigrants’ children. </w:t>
      </w:r>
      <w:r w:rsidRPr="00D76340">
        <w:rPr>
          <w:rFonts w:cs="Times New Roman"/>
          <w:i/>
          <w:iCs/>
        </w:rPr>
        <w:t>Applied Economics Letters</w:t>
      </w:r>
      <w:r w:rsidRPr="00D76340">
        <w:rPr>
          <w:rFonts w:cs="Times New Roman"/>
        </w:rPr>
        <w:t>. 2021;28(11):894-901. doi:10.1080/13504851.2020.1784832</w:t>
      </w:r>
    </w:p>
    <w:p w14:paraId="25B462C7" w14:textId="77777777" w:rsidR="00C126AC" w:rsidRPr="00D76340" w:rsidRDefault="00C126AC" w:rsidP="00C126AC">
      <w:pPr>
        <w:pStyle w:val="Bibliography"/>
        <w:rPr>
          <w:rFonts w:cs="Times New Roman"/>
        </w:rPr>
      </w:pPr>
      <w:r w:rsidRPr="00D76340">
        <w:rPr>
          <w:rFonts w:cs="Times New Roman"/>
        </w:rPr>
        <w:t>28.</w:t>
      </w:r>
      <w:r w:rsidRPr="00D76340">
        <w:rPr>
          <w:rFonts w:cs="Times New Roman"/>
        </w:rPr>
        <w:tab/>
        <w:t xml:space="preserve">Kornrich S, Furstenberg F. Investing in Children: Changes in Parental Spending on Children, 1972–2007. </w:t>
      </w:r>
      <w:r w:rsidRPr="00D76340">
        <w:rPr>
          <w:rFonts w:cs="Times New Roman"/>
          <w:i/>
          <w:iCs/>
        </w:rPr>
        <w:t>Demography</w:t>
      </w:r>
      <w:r w:rsidRPr="00D76340">
        <w:rPr>
          <w:rFonts w:cs="Times New Roman"/>
        </w:rPr>
        <w:t>. 2012;50(1):1-23. doi:10.1007/s13524-012-0146-4</w:t>
      </w:r>
    </w:p>
    <w:p w14:paraId="143E2B29" w14:textId="77777777" w:rsidR="00C126AC" w:rsidRPr="00D76340" w:rsidRDefault="00C126AC" w:rsidP="00C126AC">
      <w:pPr>
        <w:pStyle w:val="Bibliography"/>
        <w:rPr>
          <w:rFonts w:cs="Times New Roman"/>
        </w:rPr>
      </w:pPr>
      <w:r w:rsidRPr="00D76340">
        <w:rPr>
          <w:rFonts w:cs="Times New Roman"/>
        </w:rPr>
        <w:t>29.</w:t>
      </w:r>
      <w:r w:rsidRPr="00D76340">
        <w:rPr>
          <w:rFonts w:cs="Times New Roman"/>
        </w:rPr>
        <w:tab/>
        <w:t xml:space="preserve">Dalsgaard S, Thorsteinsson E, Trabjerg BB, et al. Incidence Rates and Cumulative Incidences of the Full Spectrum of Diagnosed Mental Disorders in Childhood and Adolescence. </w:t>
      </w:r>
      <w:r w:rsidRPr="00D76340">
        <w:rPr>
          <w:rFonts w:cs="Times New Roman"/>
          <w:i/>
          <w:iCs/>
        </w:rPr>
        <w:t>JAMA Psychiatry</w:t>
      </w:r>
      <w:r w:rsidRPr="00D76340">
        <w:rPr>
          <w:rFonts w:cs="Times New Roman"/>
        </w:rPr>
        <w:t>. 2020;77(2):155-164. doi:10.1001/jamapsychiatry.2019.3523</w:t>
      </w:r>
    </w:p>
    <w:p w14:paraId="300A8695" w14:textId="77777777" w:rsidR="00C126AC" w:rsidRPr="00D76340" w:rsidRDefault="00C126AC" w:rsidP="00C126AC">
      <w:pPr>
        <w:pStyle w:val="Bibliography"/>
        <w:rPr>
          <w:rFonts w:cs="Times New Roman"/>
        </w:rPr>
      </w:pPr>
      <w:r w:rsidRPr="00D76340">
        <w:rPr>
          <w:rFonts w:cs="Times New Roman"/>
        </w:rPr>
        <w:t>30.</w:t>
      </w:r>
      <w:r w:rsidRPr="00D76340">
        <w:rPr>
          <w:rFonts w:cs="Times New Roman"/>
        </w:rPr>
        <w:tab/>
        <w:t xml:space="preserve">Dittrich M, Knabe A, Leipold K. Spillover Effects of Minimum Wages in Experimental Wage Negotiations. </w:t>
      </w:r>
      <w:r w:rsidRPr="00D76340">
        <w:rPr>
          <w:rFonts w:cs="Times New Roman"/>
          <w:i/>
          <w:iCs/>
        </w:rPr>
        <w:t>CESifo Economic Studies</w:t>
      </w:r>
      <w:r w:rsidRPr="00D76340">
        <w:rPr>
          <w:rFonts w:cs="Times New Roman"/>
        </w:rPr>
        <w:t>. 2014;60(4):780-804. doi:10.1093/cesifo/ifu034</w:t>
      </w:r>
    </w:p>
    <w:p w14:paraId="39645529" w14:textId="0B3DDB50" w:rsidR="00D76340" w:rsidRDefault="005E65C9" w:rsidP="002854E7">
      <w:pPr>
        <w:spacing w:line="480" w:lineRule="auto"/>
        <w:jc w:val="both"/>
        <w:rPr>
          <w:rFonts w:cs="Times New Roman"/>
        </w:rPr>
      </w:pPr>
      <w:r w:rsidRPr="00D76340">
        <w:rPr>
          <w:rFonts w:cs="Times New Roman"/>
        </w:rPr>
        <w:fldChar w:fldCharType="end"/>
      </w:r>
      <w:r w:rsidR="00D76340">
        <w:rPr>
          <w:rFonts w:cs="Times New Roman"/>
        </w:rPr>
        <w:br w:type="page"/>
      </w:r>
    </w:p>
    <w:p w14:paraId="071A3366" w14:textId="77777777" w:rsidR="00D76340" w:rsidRPr="00D76340" w:rsidRDefault="00D76340" w:rsidP="00D76340">
      <w:pPr>
        <w:spacing w:line="480" w:lineRule="auto"/>
        <w:jc w:val="both"/>
        <w:rPr>
          <w:rFonts w:eastAsia="Times New Roman" w:cs="Times New Roman"/>
          <w:b/>
          <w:bCs/>
        </w:rPr>
      </w:pPr>
      <w:r w:rsidRPr="00D76340">
        <w:rPr>
          <w:rFonts w:eastAsia="Times New Roman" w:cs="Times New Roman"/>
          <w:b/>
          <w:bCs/>
        </w:rPr>
        <w:lastRenderedPageBreak/>
        <w:t>Table 1. Characteristics of children aged 3–17 in the sample.</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4800"/>
        <w:gridCol w:w="1137"/>
        <w:gridCol w:w="1138"/>
        <w:gridCol w:w="1137"/>
        <w:gridCol w:w="1138"/>
      </w:tblGrid>
      <w:tr w:rsidR="00D76340" w:rsidRPr="00D76340" w14:paraId="4514B4DC" w14:textId="77777777" w:rsidTr="004A2C48">
        <w:tc>
          <w:tcPr>
            <w:tcW w:w="4800" w:type="dxa"/>
          </w:tcPr>
          <w:p w14:paraId="13327213" w14:textId="77777777" w:rsidR="00D76340" w:rsidRPr="00D76340" w:rsidRDefault="00D76340" w:rsidP="00D76340">
            <w:pPr>
              <w:spacing w:line="276" w:lineRule="auto"/>
              <w:jc w:val="center"/>
              <w:rPr>
                <w:rFonts w:eastAsia="Times New Roman" w:cs="Times New Roman"/>
                <w:sz w:val="21"/>
                <w:szCs w:val="21"/>
              </w:rPr>
            </w:pPr>
          </w:p>
        </w:tc>
        <w:tc>
          <w:tcPr>
            <w:tcW w:w="2275" w:type="dxa"/>
            <w:gridSpan w:val="2"/>
          </w:tcPr>
          <w:p w14:paraId="114F0837" w14:textId="77777777" w:rsidR="00D76340" w:rsidRPr="00D76340" w:rsidRDefault="00D76340" w:rsidP="00D76340">
            <w:pPr>
              <w:spacing w:line="276" w:lineRule="auto"/>
              <w:jc w:val="center"/>
              <w:rPr>
                <w:rFonts w:eastAsia="Times New Roman" w:cs="Times New Roman"/>
                <w:b/>
                <w:bCs/>
                <w:sz w:val="21"/>
                <w:szCs w:val="21"/>
              </w:rPr>
            </w:pPr>
            <w:r w:rsidRPr="00D76340">
              <w:rPr>
                <w:rFonts w:eastAsia="Times New Roman" w:cs="Times New Roman"/>
                <w:b/>
                <w:bCs/>
                <w:sz w:val="21"/>
                <w:szCs w:val="21"/>
              </w:rPr>
              <w:t>Unweighted</w:t>
            </w:r>
          </w:p>
          <w:p w14:paraId="1FFADA22" w14:textId="77777777" w:rsidR="00D76340" w:rsidRPr="00D76340" w:rsidRDefault="00D76340" w:rsidP="00D76340">
            <w:pPr>
              <w:spacing w:line="276" w:lineRule="auto"/>
              <w:jc w:val="center"/>
              <w:rPr>
                <w:rFonts w:eastAsia="Times New Roman" w:cs="Times New Roman"/>
                <w:sz w:val="21"/>
                <w:szCs w:val="21"/>
              </w:rPr>
            </w:pPr>
            <w:r w:rsidRPr="00D76340">
              <w:rPr>
                <w:rFonts w:eastAsia="Times New Roman" w:cs="Times New Roman"/>
                <w:sz w:val="21"/>
                <w:szCs w:val="21"/>
              </w:rPr>
              <w:t>N=150,834</w:t>
            </w:r>
          </w:p>
        </w:tc>
        <w:tc>
          <w:tcPr>
            <w:tcW w:w="2275" w:type="dxa"/>
            <w:gridSpan w:val="2"/>
          </w:tcPr>
          <w:p w14:paraId="758F0E02" w14:textId="77777777" w:rsidR="00D76340" w:rsidRPr="00D76340" w:rsidRDefault="00D76340" w:rsidP="00D76340">
            <w:pPr>
              <w:spacing w:line="276" w:lineRule="auto"/>
              <w:jc w:val="center"/>
              <w:rPr>
                <w:rFonts w:eastAsia="Times New Roman" w:cs="Times New Roman"/>
                <w:b/>
                <w:bCs/>
                <w:sz w:val="21"/>
                <w:szCs w:val="21"/>
              </w:rPr>
            </w:pPr>
            <w:r w:rsidRPr="00D76340">
              <w:rPr>
                <w:rFonts w:eastAsia="Times New Roman" w:cs="Times New Roman"/>
                <w:b/>
                <w:bCs/>
                <w:sz w:val="21"/>
                <w:szCs w:val="21"/>
              </w:rPr>
              <w:t>Weighted</w:t>
            </w:r>
          </w:p>
          <w:p w14:paraId="0C1963C2" w14:textId="77777777" w:rsidR="00D76340" w:rsidRPr="00D76340" w:rsidRDefault="00D76340" w:rsidP="00D76340">
            <w:pPr>
              <w:spacing w:line="276" w:lineRule="auto"/>
              <w:jc w:val="center"/>
              <w:rPr>
                <w:rFonts w:eastAsia="Times New Roman" w:cs="Times New Roman"/>
                <w:sz w:val="21"/>
                <w:szCs w:val="21"/>
              </w:rPr>
            </w:pPr>
            <w:r w:rsidRPr="00D76340">
              <w:rPr>
                <w:rFonts w:eastAsia="Times New Roman" w:cs="Times New Roman"/>
                <w:sz w:val="21"/>
                <w:szCs w:val="21"/>
              </w:rPr>
              <w:t>N=146,050</w:t>
            </w:r>
          </w:p>
        </w:tc>
      </w:tr>
      <w:tr w:rsidR="00D76340" w:rsidRPr="00D76340" w14:paraId="25DFB05A" w14:textId="77777777" w:rsidTr="004A2C48">
        <w:tc>
          <w:tcPr>
            <w:tcW w:w="4800" w:type="dxa"/>
          </w:tcPr>
          <w:p w14:paraId="466B3C48" w14:textId="77777777" w:rsidR="00D76340" w:rsidRPr="00D76340" w:rsidRDefault="00D76340" w:rsidP="00D76340">
            <w:pPr>
              <w:spacing w:line="276" w:lineRule="auto"/>
              <w:jc w:val="both"/>
              <w:rPr>
                <w:rFonts w:eastAsia="Times New Roman" w:cs="Times New Roman"/>
                <w:b/>
                <w:bCs/>
                <w:sz w:val="21"/>
                <w:szCs w:val="21"/>
              </w:rPr>
            </w:pPr>
            <w:r w:rsidRPr="00D76340">
              <w:rPr>
                <w:rFonts w:eastAsia="Times New Roman" w:cs="Times New Roman"/>
                <w:b/>
                <w:bCs/>
                <w:sz w:val="21"/>
                <w:szCs w:val="21"/>
              </w:rPr>
              <w:t>Age</w:t>
            </w:r>
          </w:p>
          <w:p w14:paraId="1AF46043"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Mean (SD)</w:t>
            </w:r>
          </w:p>
        </w:tc>
        <w:tc>
          <w:tcPr>
            <w:tcW w:w="1137" w:type="dxa"/>
          </w:tcPr>
          <w:p w14:paraId="2C1DB678" w14:textId="77777777" w:rsidR="00D76340" w:rsidRPr="00D76340" w:rsidRDefault="00D76340" w:rsidP="00D76340">
            <w:pPr>
              <w:spacing w:line="276" w:lineRule="auto"/>
              <w:jc w:val="right"/>
              <w:rPr>
                <w:rFonts w:eastAsia="Times New Roman" w:cs="Times New Roman"/>
                <w:sz w:val="21"/>
                <w:szCs w:val="21"/>
              </w:rPr>
            </w:pPr>
          </w:p>
          <w:p w14:paraId="0AEDE20E"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10.7</w:t>
            </w:r>
          </w:p>
        </w:tc>
        <w:tc>
          <w:tcPr>
            <w:tcW w:w="1138" w:type="dxa"/>
          </w:tcPr>
          <w:p w14:paraId="6305D8FF" w14:textId="77777777" w:rsidR="00D76340" w:rsidRPr="00D76340" w:rsidRDefault="00D76340" w:rsidP="00D76340">
            <w:pPr>
              <w:spacing w:line="276" w:lineRule="auto"/>
              <w:rPr>
                <w:rFonts w:eastAsia="Times New Roman" w:cs="Times New Roman"/>
                <w:sz w:val="21"/>
                <w:szCs w:val="21"/>
              </w:rPr>
            </w:pPr>
          </w:p>
          <w:p w14:paraId="7262AB64"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(4.4)</w:t>
            </w:r>
          </w:p>
        </w:tc>
        <w:tc>
          <w:tcPr>
            <w:tcW w:w="1137" w:type="dxa"/>
          </w:tcPr>
          <w:p w14:paraId="4E5605BA" w14:textId="77777777" w:rsidR="00D76340" w:rsidRPr="00D76340" w:rsidRDefault="00D76340" w:rsidP="00D76340">
            <w:pPr>
              <w:spacing w:line="276" w:lineRule="auto"/>
              <w:jc w:val="right"/>
              <w:rPr>
                <w:rFonts w:eastAsia="Times New Roman" w:cs="Times New Roman"/>
                <w:sz w:val="21"/>
                <w:szCs w:val="21"/>
              </w:rPr>
            </w:pPr>
          </w:p>
          <w:p w14:paraId="552687B6"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10.1</w:t>
            </w:r>
          </w:p>
        </w:tc>
        <w:tc>
          <w:tcPr>
            <w:tcW w:w="1138" w:type="dxa"/>
          </w:tcPr>
          <w:p w14:paraId="42313479" w14:textId="77777777" w:rsidR="00D76340" w:rsidRPr="00D76340" w:rsidRDefault="00D76340" w:rsidP="00D76340">
            <w:pPr>
              <w:spacing w:line="276" w:lineRule="auto"/>
              <w:rPr>
                <w:rFonts w:eastAsia="Times New Roman" w:cs="Times New Roman"/>
                <w:sz w:val="21"/>
                <w:szCs w:val="21"/>
              </w:rPr>
            </w:pPr>
          </w:p>
          <w:p w14:paraId="74B6DA40"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4.3</w:t>
            </w:r>
          </w:p>
        </w:tc>
      </w:tr>
      <w:tr w:rsidR="00D76340" w:rsidRPr="00D76340" w14:paraId="7CD76CC9" w14:textId="77777777" w:rsidTr="004A2C48">
        <w:tc>
          <w:tcPr>
            <w:tcW w:w="4800" w:type="dxa"/>
          </w:tcPr>
          <w:p w14:paraId="117D4424" w14:textId="77777777" w:rsidR="00D76340" w:rsidRPr="00D76340" w:rsidRDefault="00D76340" w:rsidP="00D76340">
            <w:pPr>
              <w:spacing w:line="276" w:lineRule="auto"/>
              <w:jc w:val="both"/>
              <w:rPr>
                <w:rFonts w:eastAsia="Times New Roman" w:cs="Times New Roman"/>
                <w:b/>
                <w:bCs/>
                <w:sz w:val="21"/>
                <w:szCs w:val="21"/>
              </w:rPr>
            </w:pPr>
            <w:r w:rsidRPr="00D76340">
              <w:rPr>
                <w:rFonts w:eastAsia="Times New Roman" w:cs="Times New Roman"/>
                <w:b/>
                <w:bCs/>
                <w:sz w:val="21"/>
                <w:szCs w:val="21"/>
              </w:rPr>
              <w:t>Sex</w:t>
            </w:r>
          </w:p>
          <w:p w14:paraId="0DABCB95"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Male</w:t>
            </w:r>
          </w:p>
          <w:p w14:paraId="12ADD6F1"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Female</w:t>
            </w:r>
          </w:p>
        </w:tc>
        <w:tc>
          <w:tcPr>
            <w:tcW w:w="1137" w:type="dxa"/>
          </w:tcPr>
          <w:p w14:paraId="321B9DCA" w14:textId="77777777" w:rsidR="00D76340" w:rsidRPr="00D76340" w:rsidRDefault="00D76340" w:rsidP="00D76340">
            <w:pPr>
              <w:spacing w:line="276" w:lineRule="auto"/>
              <w:jc w:val="right"/>
              <w:rPr>
                <w:rFonts w:eastAsia="Times New Roman" w:cs="Times New Roman"/>
                <w:sz w:val="21"/>
                <w:szCs w:val="21"/>
              </w:rPr>
            </w:pPr>
          </w:p>
          <w:p w14:paraId="688117BC"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77,872</w:t>
            </w:r>
          </w:p>
          <w:p w14:paraId="3B7880D5"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72,962</w:t>
            </w:r>
          </w:p>
        </w:tc>
        <w:tc>
          <w:tcPr>
            <w:tcW w:w="1138" w:type="dxa"/>
          </w:tcPr>
          <w:p w14:paraId="18F336AF" w14:textId="77777777" w:rsidR="00D76340" w:rsidRPr="00D76340" w:rsidRDefault="00D76340" w:rsidP="00D76340">
            <w:pPr>
              <w:spacing w:line="276" w:lineRule="auto"/>
              <w:rPr>
                <w:rFonts w:eastAsia="Times New Roman" w:cs="Times New Roman"/>
                <w:sz w:val="21"/>
                <w:szCs w:val="21"/>
              </w:rPr>
            </w:pPr>
          </w:p>
          <w:p w14:paraId="4585A01B"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(52%)</w:t>
            </w:r>
          </w:p>
          <w:p w14:paraId="325BFF0E"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(48%)</w:t>
            </w:r>
          </w:p>
        </w:tc>
        <w:tc>
          <w:tcPr>
            <w:tcW w:w="1137" w:type="dxa"/>
          </w:tcPr>
          <w:p w14:paraId="0E548E5C" w14:textId="77777777" w:rsidR="00D76340" w:rsidRPr="00D76340" w:rsidRDefault="00D76340" w:rsidP="00D76340">
            <w:pPr>
              <w:spacing w:line="276" w:lineRule="auto"/>
              <w:jc w:val="right"/>
              <w:rPr>
                <w:rFonts w:eastAsia="Times New Roman" w:cs="Times New Roman"/>
                <w:sz w:val="21"/>
                <w:szCs w:val="21"/>
              </w:rPr>
            </w:pPr>
          </w:p>
          <w:p w14:paraId="5CE623D4"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74,613</w:t>
            </w:r>
          </w:p>
          <w:p w14:paraId="03F97601"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71,437</w:t>
            </w:r>
          </w:p>
        </w:tc>
        <w:tc>
          <w:tcPr>
            <w:tcW w:w="1138" w:type="dxa"/>
          </w:tcPr>
          <w:p w14:paraId="1430ACC1" w14:textId="77777777" w:rsidR="00D76340" w:rsidRPr="00D76340" w:rsidRDefault="00D76340" w:rsidP="00D76340">
            <w:pPr>
              <w:spacing w:line="276" w:lineRule="auto"/>
              <w:rPr>
                <w:rFonts w:eastAsia="Times New Roman" w:cs="Times New Roman"/>
                <w:sz w:val="21"/>
                <w:szCs w:val="21"/>
              </w:rPr>
            </w:pPr>
          </w:p>
          <w:p w14:paraId="2A6017EB"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(51%)</w:t>
            </w:r>
          </w:p>
          <w:p w14:paraId="438267DD"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(49%)</w:t>
            </w:r>
          </w:p>
        </w:tc>
      </w:tr>
      <w:tr w:rsidR="00D76340" w:rsidRPr="00D76340" w14:paraId="68321080" w14:textId="77777777" w:rsidTr="004A2C48">
        <w:tc>
          <w:tcPr>
            <w:tcW w:w="4800" w:type="dxa"/>
          </w:tcPr>
          <w:p w14:paraId="6F75639C" w14:textId="77777777" w:rsidR="00D76340" w:rsidRPr="00D76340" w:rsidRDefault="00D76340" w:rsidP="00D76340">
            <w:pPr>
              <w:spacing w:line="276" w:lineRule="auto"/>
              <w:jc w:val="both"/>
              <w:rPr>
                <w:rFonts w:eastAsia="Times New Roman" w:cs="Times New Roman"/>
                <w:b/>
                <w:bCs/>
                <w:sz w:val="21"/>
                <w:szCs w:val="21"/>
              </w:rPr>
            </w:pPr>
            <w:r w:rsidRPr="00D76340">
              <w:rPr>
                <w:rFonts w:eastAsia="Times New Roman" w:cs="Times New Roman"/>
                <w:b/>
                <w:bCs/>
                <w:sz w:val="21"/>
                <w:szCs w:val="21"/>
              </w:rPr>
              <w:t>Race</w:t>
            </w:r>
          </w:p>
          <w:p w14:paraId="057B5CF9"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White</w:t>
            </w:r>
          </w:p>
          <w:p w14:paraId="68AA7553"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Black</w:t>
            </w:r>
          </w:p>
          <w:p w14:paraId="6E63EC2F"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American Indian or Alaska Native</w:t>
            </w:r>
          </w:p>
          <w:p w14:paraId="0A68AAA8"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Asian, Native Hawaiian, or Pacific Islander</w:t>
            </w:r>
          </w:p>
          <w:p w14:paraId="6C67B1F1"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Other or mixed race</w:t>
            </w:r>
          </w:p>
        </w:tc>
        <w:tc>
          <w:tcPr>
            <w:tcW w:w="1137" w:type="dxa"/>
          </w:tcPr>
          <w:p w14:paraId="61224C41" w14:textId="77777777" w:rsidR="00D76340" w:rsidRPr="00D76340" w:rsidRDefault="00D76340" w:rsidP="00D76340">
            <w:pPr>
              <w:spacing w:line="276" w:lineRule="auto"/>
              <w:jc w:val="right"/>
              <w:rPr>
                <w:rFonts w:eastAsia="Times New Roman" w:cs="Times New Roman"/>
                <w:sz w:val="21"/>
                <w:szCs w:val="21"/>
              </w:rPr>
            </w:pPr>
          </w:p>
          <w:p w14:paraId="7BD4546B"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116,538</w:t>
            </w:r>
          </w:p>
          <w:p w14:paraId="1BB781E9"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10,450</w:t>
            </w:r>
          </w:p>
          <w:p w14:paraId="69FF96FE"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1,298</w:t>
            </w:r>
          </w:p>
          <w:p w14:paraId="0D5075D4"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8,837</w:t>
            </w:r>
          </w:p>
          <w:p w14:paraId="62C4FA8A"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13,711</w:t>
            </w:r>
          </w:p>
        </w:tc>
        <w:tc>
          <w:tcPr>
            <w:tcW w:w="1138" w:type="dxa"/>
          </w:tcPr>
          <w:p w14:paraId="39CC66A3" w14:textId="77777777" w:rsidR="00D76340" w:rsidRPr="00D76340" w:rsidRDefault="00D76340" w:rsidP="00D76340">
            <w:pPr>
              <w:spacing w:line="276" w:lineRule="auto"/>
              <w:rPr>
                <w:rFonts w:eastAsia="Times New Roman" w:cs="Times New Roman"/>
                <w:sz w:val="21"/>
                <w:szCs w:val="21"/>
              </w:rPr>
            </w:pPr>
          </w:p>
          <w:p w14:paraId="718A4145"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(77%)</w:t>
            </w:r>
          </w:p>
          <w:p w14:paraId="5FF6EDE6"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(7%)</w:t>
            </w:r>
          </w:p>
          <w:p w14:paraId="1F1177E2"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w:t>
            </w:r>
          </w:p>
          <w:p w14:paraId="7C30DF15"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(6%)</w:t>
            </w:r>
          </w:p>
          <w:p w14:paraId="79EB1B7E"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(9%)</w:t>
            </w:r>
          </w:p>
        </w:tc>
        <w:tc>
          <w:tcPr>
            <w:tcW w:w="1137" w:type="dxa"/>
          </w:tcPr>
          <w:p w14:paraId="4B8A9C25" w14:textId="77777777" w:rsidR="00D76340" w:rsidRPr="00D76340" w:rsidRDefault="00D76340" w:rsidP="00D76340">
            <w:pPr>
              <w:spacing w:line="276" w:lineRule="auto"/>
              <w:jc w:val="right"/>
              <w:rPr>
                <w:rFonts w:eastAsia="Times New Roman" w:cs="Times New Roman"/>
                <w:sz w:val="21"/>
                <w:szCs w:val="21"/>
              </w:rPr>
            </w:pPr>
          </w:p>
          <w:p w14:paraId="1F951C86"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97,418</w:t>
            </w:r>
          </w:p>
          <w:p w14:paraId="3673F56E"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20,859</w:t>
            </w:r>
          </w:p>
          <w:p w14:paraId="199B5202"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2,041</w:t>
            </w:r>
          </w:p>
          <w:p w14:paraId="76A5D06B"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8,789</w:t>
            </w:r>
          </w:p>
          <w:p w14:paraId="523993D4"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16,942</w:t>
            </w:r>
          </w:p>
        </w:tc>
        <w:tc>
          <w:tcPr>
            <w:tcW w:w="1138" w:type="dxa"/>
          </w:tcPr>
          <w:p w14:paraId="05E908B5" w14:textId="77777777" w:rsidR="00D76340" w:rsidRPr="00D76340" w:rsidRDefault="00D76340" w:rsidP="00D76340">
            <w:pPr>
              <w:spacing w:line="276" w:lineRule="auto"/>
              <w:rPr>
                <w:rFonts w:eastAsia="Times New Roman" w:cs="Times New Roman"/>
                <w:sz w:val="21"/>
                <w:szCs w:val="21"/>
              </w:rPr>
            </w:pPr>
          </w:p>
          <w:p w14:paraId="57FFAF51"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(67%)</w:t>
            </w:r>
          </w:p>
          <w:p w14:paraId="06F58CAC"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(14%)</w:t>
            </w:r>
          </w:p>
          <w:p w14:paraId="15225896"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w:t>
            </w:r>
          </w:p>
          <w:p w14:paraId="61AD2B83"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(6%)</w:t>
            </w:r>
          </w:p>
          <w:p w14:paraId="4B6B2332"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(12%)</w:t>
            </w:r>
          </w:p>
        </w:tc>
      </w:tr>
      <w:tr w:rsidR="00D76340" w:rsidRPr="00D76340" w14:paraId="1B3BD601" w14:textId="77777777" w:rsidTr="004A2C48">
        <w:tc>
          <w:tcPr>
            <w:tcW w:w="4800" w:type="dxa"/>
          </w:tcPr>
          <w:p w14:paraId="63AFE872" w14:textId="77777777" w:rsidR="00D76340" w:rsidRPr="00D76340" w:rsidRDefault="00D76340" w:rsidP="00D76340">
            <w:pPr>
              <w:spacing w:line="276" w:lineRule="auto"/>
              <w:jc w:val="both"/>
              <w:rPr>
                <w:rFonts w:eastAsia="Times New Roman" w:cs="Times New Roman"/>
                <w:b/>
                <w:bCs/>
                <w:sz w:val="21"/>
                <w:szCs w:val="21"/>
              </w:rPr>
            </w:pPr>
            <w:r w:rsidRPr="00D76340">
              <w:rPr>
                <w:rFonts w:eastAsia="Times New Roman" w:cs="Times New Roman"/>
                <w:b/>
                <w:bCs/>
                <w:sz w:val="21"/>
                <w:szCs w:val="21"/>
              </w:rPr>
              <w:t>Ethnicity</w:t>
            </w:r>
          </w:p>
          <w:p w14:paraId="6E755778"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b/>
                <w:bCs/>
                <w:sz w:val="21"/>
                <w:szCs w:val="21"/>
              </w:rPr>
              <w:t xml:space="preserve">   </w:t>
            </w:r>
            <w:r w:rsidRPr="00D76340">
              <w:rPr>
                <w:rFonts w:eastAsia="Times New Roman" w:cs="Times New Roman"/>
                <w:sz w:val="21"/>
                <w:szCs w:val="21"/>
              </w:rPr>
              <w:t>Hispanic/Latino</w:t>
            </w:r>
          </w:p>
          <w:p w14:paraId="26A992AD"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Not Hispanic/Latino</w:t>
            </w:r>
          </w:p>
        </w:tc>
        <w:tc>
          <w:tcPr>
            <w:tcW w:w="1137" w:type="dxa"/>
          </w:tcPr>
          <w:p w14:paraId="526CC8E5" w14:textId="77777777" w:rsidR="00D76340" w:rsidRPr="00D76340" w:rsidRDefault="00D76340" w:rsidP="00D76340">
            <w:pPr>
              <w:spacing w:line="276" w:lineRule="auto"/>
              <w:jc w:val="right"/>
              <w:rPr>
                <w:rFonts w:eastAsia="Times New Roman" w:cs="Times New Roman"/>
                <w:sz w:val="21"/>
                <w:szCs w:val="21"/>
              </w:rPr>
            </w:pPr>
          </w:p>
          <w:p w14:paraId="3263CF0F"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18,010</w:t>
            </w:r>
          </w:p>
          <w:p w14:paraId="3A0B526F"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132,824</w:t>
            </w:r>
          </w:p>
        </w:tc>
        <w:tc>
          <w:tcPr>
            <w:tcW w:w="1138" w:type="dxa"/>
          </w:tcPr>
          <w:p w14:paraId="5F6639F3" w14:textId="77777777" w:rsidR="00D76340" w:rsidRPr="00D76340" w:rsidRDefault="00D76340" w:rsidP="00D76340">
            <w:pPr>
              <w:spacing w:line="276" w:lineRule="auto"/>
              <w:rPr>
                <w:rFonts w:eastAsia="Times New Roman" w:cs="Times New Roman"/>
                <w:sz w:val="21"/>
                <w:szCs w:val="21"/>
              </w:rPr>
            </w:pPr>
          </w:p>
          <w:p w14:paraId="6FCA0002"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(12%)</w:t>
            </w:r>
          </w:p>
          <w:p w14:paraId="336F39AC"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(88%)</w:t>
            </w:r>
          </w:p>
        </w:tc>
        <w:tc>
          <w:tcPr>
            <w:tcW w:w="1137" w:type="dxa"/>
          </w:tcPr>
          <w:p w14:paraId="4D045985" w14:textId="77777777" w:rsidR="00D76340" w:rsidRPr="00D76340" w:rsidRDefault="00D76340" w:rsidP="00D76340">
            <w:pPr>
              <w:spacing w:line="276" w:lineRule="auto"/>
              <w:jc w:val="right"/>
              <w:rPr>
                <w:rFonts w:eastAsia="Times New Roman" w:cs="Times New Roman"/>
                <w:sz w:val="21"/>
                <w:szCs w:val="21"/>
              </w:rPr>
            </w:pPr>
          </w:p>
          <w:p w14:paraId="3AEB1B95"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37,238</w:t>
            </w:r>
          </w:p>
          <w:p w14:paraId="688DFBEB"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108,812</w:t>
            </w:r>
          </w:p>
        </w:tc>
        <w:tc>
          <w:tcPr>
            <w:tcW w:w="1138" w:type="dxa"/>
          </w:tcPr>
          <w:p w14:paraId="2A064994" w14:textId="77777777" w:rsidR="00D76340" w:rsidRPr="00D76340" w:rsidRDefault="00D76340" w:rsidP="00D76340">
            <w:pPr>
              <w:spacing w:line="276" w:lineRule="auto"/>
              <w:rPr>
                <w:rFonts w:eastAsia="Times New Roman" w:cs="Times New Roman"/>
                <w:sz w:val="21"/>
                <w:szCs w:val="21"/>
              </w:rPr>
            </w:pPr>
          </w:p>
          <w:p w14:paraId="4E41791F"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(25%)</w:t>
            </w:r>
          </w:p>
          <w:p w14:paraId="40D0899B"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(75%)</w:t>
            </w:r>
          </w:p>
        </w:tc>
      </w:tr>
      <w:tr w:rsidR="00D76340" w:rsidRPr="00D76340" w14:paraId="380BC3C0" w14:textId="77777777" w:rsidTr="004A2C48">
        <w:tc>
          <w:tcPr>
            <w:tcW w:w="4800" w:type="dxa"/>
          </w:tcPr>
          <w:p w14:paraId="618D9DE8" w14:textId="77777777" w:rsidR="00D76340" w:rsidRPr="00D76340" w:rsidRDefault="00D76340" w:rsidP="00D76340">
            <w:pPr>
              <w:spacing w:line="276" w:lineRule="auto"/>
              <w:jc w:val="both"/>
              <w:rPr>
                <w:rFonts w:eastAsia="Times New Roman" w:cs="Times New Roman"/>
                <w:b/>
                <w:bCs/>
                <w:sz w:val="21"/>
                <w:szCs w:val="21"/>
              </w:rPr>
            </w:pPr>
            <w:r w:rsidRPr="00D76340">
              <w:rPr>
                <w:rFonts w:eastAsia="Times New Roman" w:cs="Times New Roman"/>
                <w:b/>
                <w:bCs/>
                <w:sz w:val="21"/>
                <w:szCs w:val="21"/>
              </w:rPr>
              <w:t>Highest education of any adult in household</w:t>
            </w:r>
          </w:p>
          <w:p w14:paraId="10EFBA4E"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b/>
                <w:bCs/>
                <w:sz w:val="21"/>
                <w:szCs w:val="21"/>
              </w:rPr>
              <w:t xml:space="preserve">   </w:t>
            </w:r>
            <w:r w:rsidRPr="00D76340">
              <w:rPr>
                <w:rFonts w:eastAsia="Times New Roman" w:cs="Times New Roman"/>
                <w:sz w:val="21"/>
                <w:szCs w:val="21"/>
              </w:rPr>
              <w:t>Less than high school</w:t>
            </w:r>
          </w:p>
          <w:p w14:paraId="57CB00D3"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High school (including vocational or similar)</w:t>
            </w:r>
          </w:p>
          <w:p w14:paraId="21EB8B3A"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Some college or associate degree</w:t>
            </w:r>
          </w:p>
          <w:p w14:paraId="6448EB1D"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College degree or higher</w:t>
            </w:r>
          </w:p>
        </w:tc>
        <w:tc>
          <w:tcPr>
            <w:tcW w:w="1137" w:type="dxa"/>
          </w:tcPr>
          <w:p w14:paraId="5C709678" w14:textId="77777777" w:rsidR="00D76340" w:rsidRPr="00D76340" w:rsidRDefault="00D76340" w:rsidP="00D76340">
            <w:pPr>
              <w:spacing w:line="276" w:lineRule="auto"/>
              <w:jc w:val="right"/>
              <w:rPr>
                <w:rFonts w:eastAsia="Times New Roman" w:cs="Times New Roman"/>
                <w:sz w:val="21"/>
                <w:szCs w:val="21"/>
              </w:rPr>
            </w:pPr>
          </w:p>
          <w:p w14:paraId="664958C0"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3,784</w:t>
            </w:r>
          </w:p>
          <w:p w14:paraId="26DEB1D1"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19,902</w:t>
            </w:r>
          </w:p>
          <w:p w14:paraId="48586043"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35,276</w:t>
            </w:r>
          </w:p>
          <w:p w14:paraId="0171D32B"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91,872</w:t>
            </w:r>
          </w:p>
        </w:tc>
        <w:tc>
          <w:tcPr>
            <w:tcW w:w="1138" w:type="dxa"/>
          </w:tcPr>
          <w:p w14:paraId="06BED085" w14:textId="77777777" w:rsidR="00D76340" w:rsidRPr="00D76340" w:rsidRDefault="00D76340" w:rsidP="00D76340">
            <w:pPr>
              <w:spacing w:line="276" w:lineRule="auto"/>
              <w:rPr>
                <w:rFonts w:eastAsia="Times New Roman" w:cs="Times New Roman"/>
                <w:sz w:val="21"/>
                <w:szCs w:val="21"/>
              </w:rPr>
            </w:pPr>
          </w:p>
          <w:p w14:paraId="61524520"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(3%)</w:t>
            </w:r>
          </w:p>
          <w:p w14:paraId="2C32B48E"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(13%)</w:t>
            </w:r>
          </w:p>
          <w:p w14:paraId="3045782A"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(23%)</w:t>
            </w:r>
          </w:p>
          <w:p w14:paraId="741FAF28"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(61%)</w:t>
            </w:r>
          </w:p>
        </w:tc>
        <w:tc>
          <w:tcPr>
            <w:tcW w:w="1137" w:type="dxa"/>
          </w:tcPr>
          <w:p w14:paraId="7E8F91CE" w14:textId="77777777" w:rsidR="00D76340" w:rsidRPr="00D76340" w:rsidRDefault="00D76340" w:rsidP="00D76340">
            <w:pPr>
              <w:spacing w:line="276" w:lineRule="auto"/>
              <w:jc w:val="right"/>
              <w:rPr>
                <w:rFonts w:eastAsia="Times New Roman" w:cs="Times New Roman"/>
                <w:sz w:val="21"/>
                <w:szCs w:val="21"/>
              </w:rPr>
            </w:pPr>
          </w:p>
          <w:p w14:paraId="64D98AD6"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14,326</w:t>
            </w:r>
          </w:p>
          <w:p w14:paraId="08B02F74"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28,874</w:t>
            </w:r>
          </w:p>
          <w:p w14:paraId="6A192458"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32,002</w:t>
            </w:r>
          </w:p>
          <w:p w14:paraId="61942E71"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70,848</w:t>
            </w:r>
          </w:p>
        </w:tc>
        <w:tc>
          <w:tcPr>
            <w:tcW w:w="1138" w:type="dxa"/>
          </w:tcPr>
          <w:p w14:paraId="0CC6832A" w14:textId="77777777" w:rsidR="00D76340" w:rsidRPr="00D76340" w:rsidRDefault="00D76340" w:rsidP="00D76340">
            <w:pPr>
              <w:spacing w:line="276" w:lineRule="auto"/>
              <w:rPr>
                <w:rFonts w:eastAsia="Times New Roman" w:cs="Times New Roman"/>
                <w:sz w:val="21"/>
                <w:szCs w:val="21"/>
              </w:rPr>
            </w:pPr>
          </w:p>
          <w:p w14:paraId="36A29B21"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(10%)</w:t>
            </w:r>
          </w:p>
          <w:p w14:paraId="172615A9"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(20%)</w:t>
            </w:r>
          </w:p>
          <w:p w14:paraId="2B19B19D"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(22%)</w:t>
            </w:r>
          </w:p>
          <w:p w14:paraId="13BF96E0"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(49%)</w:t>
            </w:r>
          </w:p>
        </w:tc>
      </w:tr>
      <w:tr w:rsidR="00D76340" w:rsidRPr="00D76340" w14:paraId="4783E336" w14:textId="77777777" w:rsidTr="004A2C48">
        <w:tc>
          <w:tcPr>
            <w:tcW w:w="4800" w:type="dxa"/>
          </w:tcPr>
          <w:p w14:paraId="36617551" w14:textId="77777777" w:rsidR="00D76340" w:rsidRPr="00D76340" w:rsidRDefault="00D76340" w:rsidP="00D76340">
            <w:pPr>
              <w:spacing w:line="276" w:lineRule="auto"/>
              <w:jc w:val="both"/>
              <w:rPr>
                <w:rFonts w:eastAsia="Times New Roman" w:cs="Times New Roman"/>
                <w:b/>
                <w:bCs/>
                <w:sz w:val="21"/>
                <w:szCs w:val="21"/>
              </w:rPr>
            </w:pPr>
            <w:r w:rsidRPr="00D76340">
              <w:rPr>
                <w:rFonts w:eastAsia="Times New Roman" w:cs="Times New Roman"/>
                <w:b/>
                <w:bCs/>
                <w:sz w:val="21"/>
                <w:szCs w:val="21"/>
              </w:rPr>
              <w:t>Federal poverty level of household</w:t>
            </w:r>
          </w:p>
          <w:p w14:paraId="53DE72BA"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Less than 100%</w:t>
            </w:r>
          </w:p>
          <w:p w14:paraId="17E41C4B"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100% to 199%</w:t>
            </w:r>
          </w:p>
          <w:p w14:paraId="251E311B"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200% to 299%</w:t>
            </w:r>
          </w:p>
          <w:p w14:paraId="124E93B5"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300% to 399%</w:t>
            </w:r>
          </w:p>
          <w:p w14:paraId="6B853163"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400% or greater</w:t>
            </w:r>
          </w:p>
        </w:tc>
        <w:tc>
          <w:tcPr>
            <w:tcW w:w="1137" w:type="dxa"/>
          </w:tcPr>
          <w:p w14:paraId="6FC48A5D" w14:textId="77777777" w:rsidR="00D76340" w:rsidRPr="00D76340" w:rsidRDefault="00D76340" w:rsidP="00D76340">
            <w:pPr>
              <w:spacing w:line="276" w:lineRule="auto"/>
              <w:jc w:val="right"/>
              <w:rPr>
                <w:rFonts w:eastAsia="Times New Roman" w:cs="Times New Roman"/>
                <w:sz w:val="21"/>
                <w:szCs w:val="21"/>
              </w:rPr>
            </w:pPr>
          </w:p>
          <w:p w14:paraId="61FD0519"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14,627</w:t>
            </w:r>
          </w:p>
          <w:p w14:paraId="42B97EE7"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25,225</w:t>
            </w:r>
          </w:p>
          <w:p w14:paraId="61463031"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27,429</w:t>
            </w:r>
          </w:p>
          <w:p w14:paraId="5CB3C48E"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25,234</w:t>
            </w:r>
          </w:p>
          <w:p w14:paraId="778865FB"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58,319</w:t>
            </w:r>
          </w:p>
        </w:tc>
        <w:tc>
          <w:tcPr>
            <w:tcW w:w="1138" w:type="dxa"/>
          </w:tcPr>
          <w:p w14:paraId="46BD4BB0" w14:textId="77777777" w:rsidR="00D76340" w:rsidRPr="00D76340" w:rsidRDefault="00D76340" w:rsidP="00D76340">
            <w:pPr>
              <w:spacing w:line="276" w:lineRule="auto"/>
              <w:rPr>
                <w:rFonts w:eastAsia="Times New Roman" w:cs="Times New Roman"/>
                <w:sz w:val="21"/>
                <w:szCs w:val="21"/>
              </w:rPr>
            </w:pPr>
          </w:p>
          <w:p w14:paraId="670D825E"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(10%)</w:t>
            </w:r>
          </w:p>
          <w:p w14:paraId="0C4F2B6A"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(17%)</w:t>
            </w:r>
          </w:p>
          <w:p w14:paraId="54413E20"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(18%)</w:t>
            </w:r>
          </w:p>
          <w:p w14:paraId="65F92970"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(17%)</w:t>
            </w:r>
          </w:p>
          <w:p w14:paraId="22B7A965"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(39%)</w:t>
            </w:r>
          </w:p>
        </w:tc>
        <w:tc>
          <w:tcPr>
            <w:tcW w:w="1137" w:type="dxa"/>
          </w:tcPr>
          <w:p w14:paraId="7AEA5D42" w14:textId="77777777" w:rsidR="00D76340" w:rsidRPr="00D76340" w:rsidRDefault="00D76340" w:rsidP="00D76340">
            <w:pPr>
              <w:spacing w:line="276" w:lineRule="auto"/>
              <w:jc w:val="right"/>
              <w:rPr>
                <w:rFonts w:eastAsia="Times New Roman" w:cs="Times New Roman"/>
                <w:sz w:val="21"/>
                <w:szCs w:val="21"/>
              </w:rPr>
            </w:pPr>
          </w:p>
          <w:p w14:paraId="0C089774"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25,533</w:t>
            </w:r>
          </w:p>
          <w:p w14:paraId="40A6F4F6"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34,271</w:t>
            </w:r>
          </w:p>
          <w:p w14:paraId="60106791"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25,772</w:t>
            </w:r>
          </w:p>
          <w:p w14:paraId="70621C96"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19,846</w:t>
            </w:r>
          </w:p>
          <w:p w14:paraId="7EEF8A71"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40,628</w:t>
            </w:r>
          </w:p>
        </w:tc>
        <w:tc>
          <w:tcPr>
            <w:tcW w:w="1138" w:type="dxa"/>
          </w:tcPr>
          <w:p w14:paraId="469F1D3E" w14:textId="77777777" w:rsidR="00D76340" w:rsidRPr="00D76340" w:rsidRDefault="00D76340" w:rsidP="00D76340">
            <w:pPr>
              <w:spacing w:line="276" w:lineRule="auto"/>
              <w:rPr>
                <w:rFonts w:eastAsia="Times New Roman" w:cs="Times New Roman"/>
                <w:sz w:val="21"/>
                <w:szCs w:val="21"/>
              </w:rPr>
            </w:pPr>
          </w:p>
          <w:p w14:paraId="6131A7AB"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(17%)</w:t>
            </w:r>
          </w:p>
          <w:p w14:paraId="48FA2449"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(23%)</w:t>
            </w:r>
          </w:p>
          <w:p w14:paraId="3F4EE434"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(18%)</w:t>
            </w:r>
          </w:p>
          <w:p w14:paraId="50957701"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(14%)</w:t>
            </w:r>
          </w:p>
          <w:p w14:paraId="11035295"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(28%)</w:t>
            </w:r>
          </w:p>
        </w:tc>
      </w:tr>
    </w:tbl>
    <w:p w14:paraId="29B07A97" w14:textId="77777777" w:rsidR="00D76340" w:rsidRPr="00D76340" w:rsidRDefault="00D76340" w:rsidP="00D76340">
      <w:pPr>
        <w:spacing w:line="480" w:lineRule="auto"/>
        <w:jc w:val="both"/>
        <w:rPr>
          <w:rFonts w:eastAsia="Times New Roman" w:cs="Times New Roman"/>
          <w:b/>
          <w:bCs/>
        </w:rPr>
      </w:pPr>
    </w:p>
    <w:p w14:paraId="725BC2E0" w14:textId="77777777" w:rsidR="00D76340" w:rsidRPr="00D76340" w:rsidRDefault="00D76340" w:rsidP="00D76340">
      <w:pPr>
        <w:spacing w:line="480" w:lineRule="auto"/>
        <w:jc w:val="both"/>
        <w:rPr>
          <w:rFonts w:eastAsia="Times New Roman" w:cs="Times New Roman"/>
        </w:rPr>
      </w:pPr>
      <w:r w:rsidRPr="00D76340">
        <w:rPr>
          <w:rFonts w:eastAsia="Times New Roman" w:cs="Times New Roman"/>
          <w:b/>
          <w:bCs/>
        </w:rPr>
        <w:t>Notes:</w:t>
      </w:r>
      <w:r w:rsidRPr="00D76340">
        <w:rPr>
          <w:rFonts w:eastAsia="Times New Roman" w:cs="Times New Roman"/>
        </w:rPr>
        <w:t xml:space="preserve"> Based on author’s analysis of the National Survey of Children’s Health, 2016–2020.</w:t>
      </w:r>
    </w:p>
    <w:p w14:paraId="45500B47" w14:textId="77777777" w:rsidR="00D76340" w:rsidRPr="00D76340" w:rsidRDefault="00D76340" w:rsidP="00D76340">
      <w:pPr>
        <w:rPr>
          <w:rFonts w:eastAsia="Times New Roman" w:cs="Times New Roman"/>
        </w:rPr>
      </w:pPr>
      <w:r w:rsidRPr="00D76340">
        <w:rPr>
          <w:rFonts w:eastAsia="Times New Roman" w:cs="Times New Roman"/>
        </w:rPr>
        <w:br w:type="page"/>
      </w:r>
    </w:p>
    <w:p w14:paraId="2ACD7F08" w14:textId="77777777" w:rsidR="00D76340" w:rsidRPr="00D76340" w:rsidRDefault="00D76340" w:rsidP="00D76340">
      <w:pPr>
        <w:spacing w:line="480" w:lineRule="auto"/>
        <w:jc w:val="center"/>
        <w:rPr>
          <w:rFonts w:eastAsia="Times New Roman" w:cs="Times New Roman"/>
        </w:rPr>
      </w:pPr>
      <w:r w:rsidRPr="00D76340">
        <w:rPr>
          <w:rFonts w:eastAsia="Times New Roman" w:cs="Times New Roman"/>
          <w:noProof/>
        </w:rPr>
        <w:lastRenderedPageBreak/>
        <w:drawing>
          <wp:inline distT="0" distB="0" distL="0" distR="0" wp14:anchorId="3EEE76B9" wp14:editId="5D4D5DDD">
            <wp:extent cx="3200400" cy="4480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200400" cy="4480560"/>
                    </a:xfrm>
                    <a:prstGeom prst="rect">
                      <a:avLst/>
                    </a:prstGeom>
                  </pic:spPr>
                </pic:pic>
              </a:graphicData>
            </a:graphic>
          </wp:inline>
        </w:drawing>
      </w:r>
    </w:p>
    <w:p w14:paraId="288F2063" w14:textId="77777777" w:rsidR="00D76340" w:rsidRPr="00D76340" w:rsidRDefault="00D76340" w:rsidP="00D76340">
      <w:pPr>
        <w:spacing w:line="480" w:lineRule="auto"/>
        <w:rPr>
          <w:rFonts w:eastAsia="Times New Roman" w:cs="Times New Roman"/>
          <w:b/>
          <w:bCs/>
        </w:rPr>
      </w:pPr>
      <w:r w:rsidRPr="00D76340">
        <w:rPr>
          <w:rFonts w:eastAsia="Times New Roman" w:cs="Times New Roman"/>
          <w:b/>
          <w:bCs/>
        </w:rPr>
        <w:t>Figure 1. State minimum wages from 2016 to 2020.</w:t>
      </w:r>
    </w:p>
    <w:p w14:paraId="15DA3E93" w14:textId="77777777" w:rsidR="00D76340" w:rsidRPr="00D76340" w:rsidRDefault="00D76340" w:rsidP="00D76340">
      <w:pPr>
        <w:spacing w:line="480" w:lineRule="auto"/>
        <w:rPr>
          <w:rFonts w:eastAsia="Times New Roman" w:cs="Times New Roman"/>
        </w:rPr>
      </w:pPr>
      <w:r w:rsidRPr="00D76340">
        <w:rPr>
          <w:rFonts w:eastAsia="Times New Roman" w:cs="Times New Roman"/>
        </w:rPr>
        <w:t>Notes: Based on author’s analysis of wage data from the Bureau of Labor Statistics.</w:t>
      </w:r>
    </w:p>
    <w:p w14:paraId="709F4140" w14:textId="77777777" w:rsidR="00D76340" w:rsidRPr="00D76340" w:rsidRDefault="00D76340" w:rsidP="00D76340">
      <w:pPr>
        <w:rPr>
          <w:rFonts w:eastAsia="Times New Roman" w:cs="Times New Roman"/>
        </w:rPr>
      </w:pPr>
      <w:r w:rsidRPr="00D76340">
        <w:rPr>
          <w:rFonts w:eastAsia="Times New Roman" w:cs="Times New Roman"/>
        </w:rPr>
        <w:br w:type="page"/>
      </w:r>
    </w:p>
    <w:p w14:paraId="289728C4" w14:textId="54BB0AF5" w:rsidR="00D76340" w:rsidRPr="00D76340" w:rsidRDefault="00910055" w:rsidP="00D76340">
      <w:pPr>
        <w:spacing w:line="480" w:lineRule="auto"/>
        <w:jc w:val="both"/>
        <w:rPr>
          <w:rFonts w:eastAsia="Times New Roman" w:cs="Times New Roman"/>
        </w:rPr>
      </w:pPr>
      <w:r>
        <w:rPr>
          <w:rFonts w:eastAsia="Times New Roman" w:cs="Times New Roman"/>
          <w:noProof/>
        </w:rPr>
        <w:lastRenderedPageBreak/>
        <w:drawing>
          <wp:inline distT="0" distB="0" distL="0" distR="0" wp14:anchorId="26A033BE" wp14:editId="6EA2BC53">
            <wp:extent cx="5943600" cy="33966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4A03AC10" w14:textId="77777777" w:rsidR="00D76340" w:rsidRPr="00D76340" w:rsidRDefault="00D76340" w:rsidP="00D76340">
      <w:pPr>
        <w:spacing w:line="480" w:lineRule="auto"/>
        <w:jc w:val="both"/>
        <w:rPr>
          <w:rFonts w:eastAsia="Times New Roman" w:cs="Times New Roman"/>
          <w:b/>
          <w:bCs/>
        </w:rPr>
      </w:pPr>
      <w:r w:rsidRPr="00D76340">
        <w:rPr>
          <w:rFonts w:eastAsia="Times New Roman" w:cs="Times New Roman"/>
          <w:b/>
          <w:bCs/>
        </w:rPr>
        <w:t>Figure 2. Adjusted rates of mental health outcomes among children aged 3–17.</w:t>
      </w:r>
    </w:p>
    <w:p w14:paraId="09ECB8E2" w14:textId="77777777" w:rsidR="00D76340" w:rsidRPr="00D76340" w:rsidRDefault="00D76340" w:rsidP="00D76340">
      <w:pPr>
        <w:spacing w:line="276" w:lineRule="auto"/>
        <w:jc w:val="both"/>
        <w:rPr>
          <w:rFonts w:eastAsia="Times New Roman" w:cs="Times New Roman"/>
        </w:rPr>
      </w:pPr>
      <w:r w:rsidRPr="00D76340">
        <w:rPr>
          <w:rFonts w:eastAsia="Times New Roman" w:cs="Times New Roman"/>
          <w:b/>
          <w:bCs/>
        </w:rPr>
        <w:t>Notes:</w:t>
      </w:r>
      <w:r w:rsidRPr="00D76340">
        <w:rPr>
          <w:rFonts w:eastAsia="Times New Roman" w:cs="Times New Roman"/>
        </w:rPr>
        <w:t xml:space="preserve"> Each bar provides the rate of the indicated outcome by household federal poverty level (FPL), adjusted for child and household characteristics (</w:t>
      </w:r>
      <w:proofErr w:type="gramStart"/>
      <w:r w:rsidRPr="00D76340">
        <w:rPr>
          <w:rFonts w:eastAsia="Times New Roman" w:cs="Times New Roman"/>
        </w:rPr>
        <w:t>i.e.</w:t>
      </w:r>
      <w:proofErr w:type="gramEnd"/>
      <w:r w:rsidRPr="00D76340">
        <w:rPr>
          <w:rFonts w:eastAsia="Times New Roman" w:cs="Times New Roman"/>
        </w:rPr>
        <w:t xml:space="preserve"> child’s age, gender, race, and ethnicity, and the highest education of any adult in the household), plus state and year fixed effects in OLS models. Standard errors are clustered by sampling strata and state. 95% confidence intervals are provided. Based on author’s analysis of the National Survey of Children’s Health, 2016–2020.</w:t>
      </w:r>
    </w:p>
    <w:p w14:paraId="597D6C20" w14:textId="77777777" w:rsidR="00D76340" w:rsidRPr="00D76340" w:rsidRDefault="00D76340" w:rsidP="00D76340">
      <w:pPr>
        <w:rPr>
          <w:rFonts w:eastAsia="Times New Roman" w:cs="Times New Roman"/>
        </w:rPr>
      </w:pPr>
      <w:r w:rsidRPr="00D76340">
        <w:rPr>
          <w:rFonts w:eastAsia="Times New Roman" w:cs="Times New Roman"/>
        </w:rPr>
        <w:br w:type="page"/>
      </w:r>
    </w:p>
    <w:p w14:paraId="3BA9E00A" w14:textId="6D99F2C2" w:rsidR="00D76340" w:rsidRPr="00D76340" w:rsidRDefault="00015750" w:rsidP="00D76340">
      <w:pPr>
        <w:spacing w:line="480" w:lineRule="auto"/>
        <w:jc w:val="center"/>
        <w:rPr>
          <w:rFonts w:eastAsia="Times New Roman" w:cs="Times New Roman"/>
          <w:b/>
          <w:bCs/>
        </w:rPr>
      </w:pPr>
      <w:r>
        <w:rPr>
          <w:rFonts w:eastAsia="Times New Roman" w:cs="Times New Roman"/>
          <w:b/>
          <w:bCs/>
          <w:noProof/>
        </w:rPr>
        <w:lastRenderedPageBreak/>
        <w:drawing>
          <wp:inline distT="0" distB="0" distL="0" distR="0" wp14:anchorId="4602F915" wp14:editId="415A6C9C">
            <wp:extent cx="59436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7F04C65B" w14:textId="77777777" w:rsidR="00D76340" w:rsidRPr="00D76340" w:rsidRDefault="00D76340" w:rsidP="00D76340">
      <w:pPr>
        <w:spacing w:line="480" w:lineRule="auto"/>
        <w:rPr>
          <w:rFonts w:eastAsia="Times New Roman" w:cs="Times New Roman"/>
          <w:b/>
          <w:bCs/>
        </w:rPr>
      </w:pPr>
      <w:r w:rsidRPr="00D76340">
        <w:rPr>
          <w:rFonts w:eastAsia="Times New Roman" w:cs="Times New Roman"/>
          <w:b/>
          <w:bCs/>
        </w:rPr>
        <w:t>Figure 3. Effect of minimum wage on mental health outcomes among children aged 3–17.</w:t>
      </w:r>
    </w:p>
    <w:p w14:paraId="3A3B0E48" w14:textId="14E34E29" w:rsidR="00E04EEF" w:rsidRPr="00015750" w:rsidRDefault="00D76340" w:rsidP="00910055">
      <w:pPr>
        <w:spacing w:line="276" w:lineRule="auto"/>
        <w:jc w:val="both"/>
        <w:rPr>
          <w:rFonts w:eastAsia="Times New Roman" w:cs="Times New Roman"/>
        </w:rPr>
      </w:pPr>
      <w:r w:rsidRPr="00D76340">
        <w:rPr>
          <w:rFonts w:eastAsia="Times New Roman" w:cs="Times New Roman"/>
          <w:b/>
          <w:bCs/>
        </w:rPr>
        <w:t>Notes:</w:t>
      </w:r>
      <w:r w:rsidRPr="00D76340">
        <w:rPr>
          <w:rFonts w:eastAsia="Times New Roman" w:cs="Times New Roman"/>
        </w:rPr>
        <w:t xml:space="preserve"> Each line provides the effect of a $1 increase in a state’s effective minimum wage on </w:t>
      </w:r>
      <w:r w:rsidR="00910055">
        <w:rPr>
          <w:rFonts w:eastAsia="Times New Roman" w:cs="Times New Roman"/>
        </w:rPr>
        <w:t>each outcome</w:t>
      </w:r>
      <w:r w:rsidR="00015750">
        <w:rPr>
          <w:rFonts w:eastAsia="Times New Roman" w:cs="Times New Roman"/>
        </w:rPr>
        <w:t xml:space="preserve"> </w:t>
      </w:r>
      <w:r w:rsidR="00910055">
        <w:rPr>
          <w:rFonts w:eastAsia="Times New Roman" w:cs="Times New Roman"/>
        </w:rPr>
        <w:t>using</w:t>
      </w:r>
      <w:r w:rsidR="00015750">
        <w:rPr>
          <w:rFonts w:eastAsia="Times New Roman" w:cs="Times New Roman"/>
        </w:rPr>
        <w:t xml:space="preserve"> </w:t>
      </w:r>
      <w:r w:rsidR="00910055">
        <w:rPr>
          <w:rFonts w:eastAsia="Times New Roman" w:cs="Times New Roman"/>
        </w:rPr>
        <w:t>the indicated</w:t>
      </w:r>
      <w:r w:rsidR="00015750">
        <w:rPr>
          <w:rFonts w:eastAsia="Times New Roman" w:cs="Times New Roman"/>
        </w:rPr>
        <w:t xml:space="preserve"> OLS specification: (1) </w:t>
      </w:r>
      <w:r w:rsidR="00910055">
        <w:rPr>
          <w:rFonts w:eastAsia="Times New Roman" w:cs="Times New Roman"/>
        </w:rPr>
        <w:t>all children with no sociodemographic adjustments, only state and year fixed effects</w:t>
      </w:r>
      <w:r w:rsidR="00015750">
        <w:rPr>
          <w:rFonts w:eastAsia="Times New Roman" w:cs="Times New Roman"/>
        </w:rPr>
        <w:t xml:space="preserve">; (2) </w:t>
      </w:r>
      <w:r w:rsidR="00910055">
        <w:rPr>
          <w:rFonts w:eastAsia="Times New Roman" w:cs="Times New Roman"/>
        </w:rPr>
        <w:t xml:space="preserve">all children with </w:t>
      </w:r>
      <w:r w:rsidR="00015750">
        <w:rPr>
          <w:rFonts w:eastAsia="Times New Roman" w:cs="Times New Roman"/>
        </w:rPr>
        <w:t xml:space="preserve">full </w:t>
      </w:r>
      <w:r w:rsidR="00910055">
        <w:rPr>
          <w:rFonts w:eastAsia="Times New Roman" w:cs="Times New Roman"/>
        </w:rPr>
        <w:t xml:space="preserve">sociodemographic </w:t>
      </w:r>
      <w:r w:rsidR="00015750">
        <w:rPr>
          <w:rFonts w:eastAsia="Times New Roman" w:cs="Times New Roman"/>
        </w:rPr>
        <w:t xml:space="preserve">adjustments and fixed effects; (3) children in households earning less than 200% of the federal poverty level; (4) non-white children; (5) adolescents, aged 13–17; (6) all children </w:t>
      </w:r>
      <w:r w:rsidR="00910055">
        <w:rPr>
          <w:rFonts w:eastAsia="Times New Roman" w:cs="Times New Roman"/>
        </w:rPr>
        <w:t>using</w:t>
      </w:r>
      <w:r w:rsidR="00015750">
        <w:rPr>
          <w:rFonts w:eastAsia="Times New Roman" w:cs="Times New Roman"/>
        </w:rPr>
        <w:t xml:space="preserve"> inflation-adjusted minimum wages (in 2020 dollars); and (7) all children </w:t>
      </w:r>
      <w:r w:rsidR="00910055">
        <w:rPr>
          <w:rFonts w:eastAsia="Times New Roman" w:cs="Times New Roman"/>
        </w:rPr>
        <w:t>using</w:t>
      </w:r>
      <w:r w:rsidR="00015750">
        <w:rPr>
          <w:rFonts w:eastAsia="Times New Roman" w:cs="Times New Roman"/>
        </w:rPr>
        <w:t xml:space="preserve"> the minimum wage lagged by one year</w:t>
      </w:r>
      <w:r w:rsidRPr="00D76340">
        <w:rPr>
          <w:rFonts w:eastAsia="Times New Roman" w:cs="Times New Roman"/>
        </w:rPr>
        <w:t>.</w:t>
      </w:r>
      <w:r w:rsidR="00015750">
        <w:rPr>
          <w:rFonts w:eastAsia="Times New Roman" w:cs="Times New Roman"/>
        </w:rPr>
        <w:t xml:space="preserve"> All models except the first </w:t>
      </w:r>
      <w:r w:rsidR="00910055">
        <w:rPr>
          <w:rFonts w:eastAsia="Times New Roman" w:cs="Times New Roman"/>
        </w:rPr>
        <w:t xml:space="preserve">are </w:t>
      </w:r>
      <w:r w:rsidR="00015750" w:rsidRPr="00D76340">
        <w:rPr>
          <w:rFonts w:eastAsia="Times New Roman" w:cs="Times New Roman"/>
        </w:rPr>
        <w:t xml:space="preserve">adjusted for </w:t>
      </w:r>
      <w:r w:rsidR="00910055">
        <w:rPr>
          <w:rFonts w:eastAsia="Times New Roman" w:cs="Times New Roman"/>
        </w:rPr>
        <w:t xml:space="preserve">a </w:t>
      </w:r>
      <w:r w:rsidR="00015750" w:rsidRPr="00D76340">
        <w:rPr>
          <w:rFonts w:eastAsia="Times New Roman" w:cs="Times New Roman"/>
        </w:rPr>
        <w:t>child’s age, gender, race, and ethnicity, and the highest education of any adult in the household, plus state and year fixed effect</w:t>
      </w:r>
      <w:r w:rsidR="00015750">
        <w:rPr>
          <w:rFonts w:eastAsia="Times New Roman" w:cs="Times New Roman"/>
        </w:rPr>
        <w:t>.</w:t>
      </w:r>
      <w:r w:rsidRPr="00D76340">
        <w:rPr>
          <w:rFonts w:eastAsia="Times New Roman" w:cs="Times New Roman"/>
        </w:rPr>
        <w:t xml:space="preserve"> Standard errors are clustered by sampling strata and state. 95% confidence intervals are provided.</w:t>
      </w:r>
      <w:r w:rsidR="00910055">
        <w:rPr>
          <w:rFonts w:eastAsia="Times New Roman" w:cs="Times New Roman"/>
        </w:rPr>
        <w:t xml:space="preserve"> N=</w:t>
      </w:r>
      <w:r w:rsidR="00910055" w:rsidRPr="00910055">
        <w:rPr>
          <w:rFonts w:eastAsia="Times New Roman" w:cs="Times New Roman"/>
        </w:rPr>
        <w:t>122</w:t>
      </w:r>
      <w:r w:rsidR="00910055">
        <w:rPr>
          <w:rFonts w:eastAsia="Times New Roman" w:cs="Times New Roman"/>
        </w:rPr>
        <w:t>,</w:t>
      </w:r>
      <w:r w:rsidR="00910055" w:rsidRPr="00910055">
        <w:rPr>
          <w:rFonts w:eastAsia="Times New Roman" w:cs="Times New Roman"/>
        </w:rPr>
        <w:t>016</w:t>
      </w:r>
      <w:r w:rsidR="00910055">
        <w:rPr>
          <w:rFonts w:eastAsia="Times New Roman" w:cs="Times New Roman"/>
        </w:rPr>
        <w:t xml:space="preserve"> to</w:t>
      </w:r>
      <w:r w:rsidR="00910055" w:rsidRPr="00910055">
        <w:rPr>
          <w:rFonts w:eastAsia="Times New Roman" w:cs="Times New Roman"/>
        </w:rPr>
        <w:t xml:space="preserve"> 151</w:t>
      </w:r>
      <w:r w:rsidR="00910055">
        <w:rPr>
          <w:rFonts w:eastAsia="Times New Roman" w:cs="Times New Roman"/>
        </w:rPr>
        <w:t>,</w:t>
      </w:r>
      <w:r w:rsidR="00910055" w:rsidRPr="00910055">
        <w:rPr>
          <w:rFonts w:eastAsia="Times New Roman" w:cs="Times New Roman"/>
        </w:rPr>
        <w:t>441</w:t>
      </w:r>
      <w:r w:rsidR="00910055">
        <w:rPr>
          <w:rFonts w:eastAsia="Times New Roman" w:cs="Times New Roman"/>
        </w:rPr>
        <w:t>.</w:t>
      </w:r>
      <w:r w:rsidRPr="00D76340">
        <w:rPr>
          <w:rFonts w:eastAsia="Times New Roman" w:cs="Times New Roman"/>
        </w:rPr>
        <w:t xml:space="preserve"> Based on author’s analysis of the National Survey of Children’s Health, 2016–2020</w:t>
      </w:r>
      <w:r w:rsidR="00015750">
        <w:rPr>
          <w:rFonts w:eastAsia="Times New Roman" w:cs="Times New Roman"/>
        </w:rPr>
        <w:t>.</w:t>
      </w:r>
    </w:p>
    <w:sectPr w:rsidR="00E04EEF" w:rsidRPr="000157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lan M. Kavanagh" w:date="2023-02-25T20:15:00Z" w:initials="NMK">
    <w:p w14:paraId="154766CE" w14:textId="77777777" w:rsidR="009C6945" w:rsidRDefault="009C6945" w:rsidP="00AF19F8">
      <w:r>
        <w:rPr>
          <w:rStyle w:val="CommentReference"/>
        </w:rPr>
        <w:annotationRef/>
      </w:r>
      <w:r>
        <w:rPr>
          <w:sz w:val="20"/>
          <w:szCs w:val="20"/>
        </w:rPr>
        <w:t>All values in the text have to be updated for new models, but the story is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4766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4EAE8" w16cex:dateUtc="2023-02-26T0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4766CE" w16cid:durableId="27A4EA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lan M. Kavanagh">
    <w15:presenceInfo w15:providerId="None" w15:userId="Nolan M. Kavana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2tzS3MDOxMLO0MLVU0lEKTi0uzszPAykwrAUAJ1HhQiwAAAA="/>
  </w:docVars>
  <w:rsids>
    <w:rsidRoot w:val="005E65C9"/>
    <w:rsid w:val="00015750"/>
    <w:rsid w:val="00023497"/>
    <w:rsid w:val="00045176"/>
    <w:rsid w:val="00064D1B"/>
    <w:rsid w:val="00086AFA"/>
    <w:rsid w:val="00093E40"/>
    <w:rsid w:val="00140329"/>
    <w:rsid w:val="00166A75"/>
    <w:rsid w:val="00176331"/>
    <w:rsid w:val="0019029E"/>
    <w:rsid w:val="001A1BF8"/>
    <w:rsid w:val="001E5CE0"/>
    <w:rsid w:val="00210B07"/>
    <w:rsid w:val="002330CD"/>
    <w:rsid w:val="002854E7"/>
    <w:rsid w:val="002908D5"/>
    <w:rsid w:val="002908F8"/>
    <w:rsid w:val="00296FEC"/>
    <w:rsid w:val="002A1ED6"/>
    <w:rsid w:val="002C334D"/>
    <w:rsid w:val="002E4741"/>
    <w:rsid w:val="0030302B"/>
    <w:rsid w:val="00325E99"/>
    <w:rsid w:val="0038659B"/>
    <w:rsid w:val="0039216D"/>
    <w:rsid w:val="003F3EDB"/>
    <w:rsid w:val="0043114A"/>
    <w:rsid w:val="00455C20"/>
    <w:rsid w:val="00465496"/>
    <w:rsid w:val="00474629"/>
    <w:rsid w:val="00486BF9"/>
    <w:rsid w:val="004D331C"/>
    <w:rsid w:val="004D5927"/>
    <w:rsid w:val="004E43F2"/>
    <w:rsid w:val="004F1B70"/>
    <w:rsid w:val="004F5149"/>
    <w:rsid w:val="00533E16"/>
    <w:rsid w:val="00547A83"/>
    <w:rsid w:val="00555999"/>
    <w:rsid w:val="00575FCD"/>
    <w:rsid w:val="00595345"/>
    <w:rsid w:val="0059536A"/>
    <w:rsid w:val="005A66AA"/>
    <w:rsid w:val="005C1BA7"/>
    <w:rsid w:val="005D2186"/>
    <w:rsid w:val="005E65C9"/>
    <w:rsid w:val="00656975"/>
    <w:rsid w:val="00662BC4"/>
    <w:rsid w:val="0067611F"/>
    <w:rsid w:val="006867AF"/>
    <w:rsid w:val="006A743A"/>
    <w:rsid w:val="006B1745"/>
    <w:rsid w:val="00706A12"/>
    <w:rsid w:val="00711A19"/>
    <w:rsid w:val="00752348"/>
    <w:rsid w:val="007B22A3"/>
    <w:rsid w:val="007C0471"/>
    <w:rsid w:val="007F48DB"/>
    <w:rsid w:val="008146A4"/>
    <w:rsid w:val="0082714D"/>
    <w:rsid w:val="008427B5"/>
    <w:rsid w:val="0085224D"/>
    <w:rsid w:val="00855F14"/>
    <w:rsid w:val="008A0D74"/>
    <w:rsid w:val="008C7C38"/>
    <w:rsid w:val="008E421B"/>
    <w:rsid w:val="00902F1B"/>
    <w:rsid w:val="00910055"/>
    <w:rsid w:val="0091362E"/>
    <w:rsid w:val="009472D8"/>
    <w:rsid w:val="0097248D"/>
    <w:rsid w:val="00972B51"/>
    <w:rsid w:val="009A0F7D"/>
    <w:rsid w:val="009A6A53"/>
    <w:rsid w:val="009C6945"/>
    <w:rsid w:val="00A20B5C"/>
    <w:rsid w:val="00A212D4"/>
    <w:rsid w:val="00A33288"/>
    <w:rsid w:val="00AD4D9A"/>
    <w:rsid w:val="00B058E1"/>
    <w:rsid w:val="00B7156C"/>
    <w:rsid w:val="00B952D4"/>
    <w:rsid w:val="00B9622D"/>
    <w:rsid w:val="00BA2FB3"/>
    <w:rsid w:val="00BD2136"/>
    <w:rsid w:val="00C12166"/>
    <w:rsid w:val="00C126AC"/>
    <w:rsid w:val="00C25897"/>
    <w:rsid w:val="00C4111C"/>
    <w:rsid w:val="00C60785"/>
    <w:rsid w:val="00C67685"/>
    <w:rsid w:val="00C703EC"/>
    <w:rsid w:val="00CB64EE"/>
    <w:rsid w:val="00CC36E5"/>
    <w:rsid w:val="00CC4A6D"/>
    <w:rsid w:val="00CE135C"/>
    <w:rsid w:val="00CF1631"/>
    <w:rsid w:val="00D02883"/>
    <w:rsid w:val="00D409E0"/>
    <w:rsid w:val="00D434F8"/>
    <w:rsid w:val="00D7443A"/>
    <w:rsid w:val="00D76340"/>
    <w:rsid w:val="00DD06DA"/>
    <w:rsid w:val="00DD3246"/>
    <w:rsid w:val="00DF4557"/>
    <w:rsid w:val="00E04EEF"/>
    <w:rsid w:val="00E419D7"/>
    <w:rsid w:val="00E438B4"/>
    <w:rsid w:val="00E471C9"/>
    <w:rsid w:val="00EA2B93"/>
    <w:rsid w:val="00EA38E1"/>
    <w:rsid w:val="00ED67AF"/>
    <w:rsid w:val="00EE28F2"/>
    <w:rsid w:val="00F40B24"/>
    <w:rsid w:val="00F52122"/>
    <w:rsid w:val="00FB2D04"/>
    <w:rsid w:val="00FF4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60F3"/>
  <w15:chartTrackingRefBased/>
  <w15:docId w15:val="{175ECFDD-A072-0344-98AF-56A75F9F3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F1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E65C9"/>
    <w:pPr>
      <w:tabs>
        <w:tab w:val="left" w:pos="260"/>
      </w:tabs>
      <w:spacing w:after="240"/>
      <w:ind w:left="264" w:hanging="264"/>
    </w:pPr>
  </w:style>
  <w:style w:type="character" w:styleId="CommentReference">
    <w:name w:val="annotation reference"/>
    <w:basedOn w:val="DefaultParagraphFont"/>
    <w:uiPriority w:val="99"/>
    <w:semiHidden/>
    <w:unhideWhenUsed/>
    <w:rsid w:val="009A0F7D"/>
    <w:rPr>
      <w:sz w:val="16"/>
      <w:szCs w:val="16"/>
    </w:rPr>
  </w:style>
  <w:style w:type="paragraph" w:styleId="CommentText">
    <w:name w:val="annotation text"/>
    <w:basedOn w:val="Normal"/>
    <w:link w:val="CommentTextChar"/>
    <w:uiPriority w:val="99"/>
    <w:unhideWhenUsed/>
    <w:rsid w:val="009A0F7D"/>
    <w:rPr>
      <w:sz w:val="20"/>
      <w:szCs w:val="20"/>
    </w:rPr>
  </w:style>
  <w:style w:type="character" w:customStyle="1" w:styleId="CommentTextChar">
    <w:name w:val="Comment Text Char"/>
    <w:basedOn w:val="DefaultParagraphFont"/>
    <w:link w:val="CommentText"/>
    <w:uiPriority w:val="99"/>
    <w:rsid w:val="009A0F7D"/>
    <w:rPr>
      <w:sz w:val="20"/>
      <w:szCs w:val="20"/>
    </w:rPr>
  </w:style>
  <w:style w:type="paragraph" w:styleId="CommentSubject">
    <w:name w:val="annotation subject"/>
    <w:basedOn w:val="CommentText"/>
    <w:next w:val="CommentText"/>
    <w:link w:val="CommentSubjectChar"/>
    <w:uiPriority w:val="99"/>
    <w:semiHidden/>
    <w:unhideWhenUsed/>
    <w:rsid w:val="009A0F7D"/>
    <w:rPr>
      <w:b/>
      <w:bCs/>
    </w:rPr>
  </w:style>
  <w:style w:type="character" w:customStyle="1" w:styleId="CommentSubjectChar">
    <w:name w:val="Comment Subject Char"/>
    <w:basedOn w:val="CommentTextChar"/>
    <w:link w:val="CommentSubject"/>
    <w:uiPriority w:val="99"/>
    <w:semiHidden/>
    <w:rsid w:val="009A0F7D"/>
    <w:rPr>
      <w:b/>
      <w:bCs/>
      <w:sz w:val="20"/>
      <w:szCs w:val="20"/>
    </w:rPr>
  </w:style>
  <w:style w:type="paragraph" w:styleId="Revision">
    <w:name w:val="Revision"/>
    <w:hidden/>
    <w:uiPriority w:val="99"/>
    <w:semiHidden/>
    <w:rsid w:val="00B9622D"/>
  </w:style>
  <w:style w:type="table" w:styleId="TableGrid">
    <w:name w:val="Table Grid"/>
    <w:basedOn w:val="TableNormal"/>
    <w:uiPriority w:val="39"/>
    <w:rsid w:val="00D763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02F1B"/>
  </w:style>
  <w:style w:type="character" w:styleId="PlaceholderText">
    <w:name w:val="Placeholder Text"/>
    <w:basedOn w:val="DefaultParagraphFont"/>
    <w:uiPriority w:val="99"/>
    <w:semiHidden/>
    <w:rsid w:val="007C04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emf"/><Relationship Id="rId5" Type="http://schemas.openxmlformats.org/officeDocument/2006/relationships/comments" Target="comment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B5B34-68B9-D24E-A0F2-1700ACEF0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16</Pages>
  <Words>13733</Words>
  <Characters>78283</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 Kavanagh</dc:creator>
  <cp:keywords/>
  <dc:description/>
  <cp:lastModifiedBy>Nolan M. Kavanagh</cp:lastModifiedBy>
  <cp:revision>16</cp:revision>
  <dcterms:created xsi:type="dcterms:W3CDTF">2023-02-25T02:42:00Z</dcterms:created>
  <dcterms:modified xsi:type="dcterms:W3CDTF">2023-02-26T01:35:00Z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id="RwUAsllu"/&gt;&lt;style id="http://www.zotero.org/styles/american-medical-association" hasBibliography="1" bibliographyStyleHasBeenSet="1"/&gt;&lt;prefs&gt;&lt;pref name="fieldType" value="Field"/&gt;&lt;/prefs&gt;&lt;/data&gt;</vt:lpwstr>
  </property>
</Properties>
</file>