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CFC65" w14:textId="1F921538" w:rsidR="00012B15" w:rsidRPr="00012B15" w:rsidRDefault="00012B15" w:rsidP="00012B15">
      <w:pPr>
        <w:keepNext/>
        <w:keepLines/>
        <w:spacing w:before="360" w:after="80"/>
        <w:outlineLvl w:val="0"/>
        <w:rPr>
          <w:rFonts w:ascii="Avenir Next LT Pro" w:eastAsia="Yu Gothic Light" w:hAnsi="Avenir Next LT Pro" w:cs="Times New Roman"/>
          <w:color w:val="0F4761"/>
          <w:sz w:val="40"/>
          <w:szCs w:val="40"/>
        </w:rPr>
      </w:pPr>
      <w:bookmarkStart w:id="0" w:name="_Toc204417972"/>
      <w:r w:rsidRPr="00012B15">
        <w:rPr>
          <w:rFonts w:ascii="Avenir Next LT Pro" w:eastAsia="Yu Gothic Light" w:hAnsi="Avenir Next LT Pro" w:cs="Times New Roman"/>
          <w:color w:val="0F4761"/>
          <w:sz w:val="40"/>
          <w:szCs w:val="40"/>
        </w:rPr>
        <w:t xml:space="preserve">Appendix </w:t>
      </w:r>
      <w:r w:rsidR="00386513">
        <w:rPr>
          <w:rFonts w:ascii="Avenir Next LT Pro" w:eastAsia="Yu Gothic Light" w:hAnsi="Avenir Next LT Pro" w:cs="Times New Roman"/>
          <w:color w:val="0F4761"/>
          <w:sz w:val="40"/>
          <w:szCs w:val="40"/>
        </w:rPr>
        <w:t>A</w:t>
      </w:r>
      <w:r w:rsidRPr="00012B15">
        <w:rPr>
          <w:rFonts w:ascii="Avenir Next LT Pro" w:eastAsia="Yu Gothic Light" w:hAnsi="Avenir Next LT Pro" w:cs="Times New Roman"/>
          <w:color w:val="0F4761"/>
          <w:sz w:val="40"/>
          <w:szCs w:val="40"/>
        </w:rPr>
        <w:t>: Cyber</w:t>
      </w:r>
      <w:r>
        <w:rPr>
          <w:rFonts w:ascii="Avenir Next LT Pro" w:eastAsia="Yu Gothic Light" w:hAnsi="Avenir Next LT Pro" w:cs="Times New Roman"/>
          <w:color w:val="0F4761"/>
          <w:sz w:val="40"/>
          <w:szCs w:val="40"/>
        </w:rPr>
        <w:t>s</w:t>
      </w:r>
      <w:r w:rsidRPr="00012B15">
        <w:rPr>
          <w:rFonts w:ascii="Avenir Next LT Pro" w:eastAsia="Yu Gothic Light" w:hAnsi="Avenir Next LT Pro" w:cs="Times New Roman"/>
          <w:color w:val="0F4761"/>
          <w:sz w:val="40"/>
          <w:szCs w:val="40"/>
        </w:rPr>
        <w:t>ecurity Requirements</w:t>
      </w:r>
      <w:bookmarkEnd w:id="0"/>
    </w:p>
    <w:p w14:paraId="3FCB73B3" w14:textId="77777777" w:rsidR="00012B15" w:rsidRPr="00012B15" w:rsidRDefault="00012B15" w:rsidP="00012B15">
      <w:pPr>
        <w:rPr>
          <w:rFonts w:ascii="Avenir Next LT Pro" w:eastAsia="Aptos" w:hAnsi="Avenir Next LT Pro" w:cs="Arial"/>
        </w:rPr>
      </w:pPr>
      <w:r w:rsidRPr="00012B15">
        <w:rPr>
          <w:rFonts w:ascii="Avenir Next LT Pro" w:eastAsia="Aptos" w:hAnsi="Avenir Next LT Pro" w:cs="Arial"/>
        </w:rPr>
        <w:t xml:space="preserve">In delivery of the Agentic AI-Enabled Cardiovascular Care Transformation (ADVOCATE) program, performers will be developing an agentic, GenAI system to process, store, and transmit sensitive medical data, including </w:t>
      </w:r>
      <w:r w:rsidRPr="00012B15">
        <w:rPr>
          <w:rFonts w:ascii="Aptos" w:eastAsia="Aptos" w:hAnsi="Aptos" w:cs="Arial"/>
        </w:rPr>
        <w:t>electronic health record (</w:t>
      </w:r>
      <w:r w:rsidRPr="00012B15">
        <w:rPr>
          <w:rFonts w:ascii="Avenir Next LT Pro" w:eastAsia="Aptos" w:hAnsi="Avenir Next LT Pro" w:cs="Arial"/>
        </w:rPr>
        <w:t>EHR) data. In addition, the system will receive data from – and communicate to – wearable medical devices, clinician systems, and patient smartphones through services (e.g., mobile application, Application Programming Interfaces (APIs)) also developed by the performers. Recognizing the new and yet unknown cybersecurity risks presented by such a solution, it is paramount for performers to ensure the confidentiality, integrity, and availability of the data and systems associated with the ADVOCATE program.</w:t>
      </w:r>
    </w:p>
    <w:p w14:paraId="7B227F07" w14:textId="77777777" w:rsidR="00012B15" w:rsidRPr="00012B15" w:rsidRDefault="00012B15" w:rsidP="00012B15">
      <w:pPr>
        <w:rPr>
          <w:rFonts w:ascii="Avenir Next LT Pro" w:eastAsia="Aptos" w:hAnsi="Avenir Next LT Pro" w:cs="Arial"/>
        </w:rPr>
      </w:pPr>
    </w:p>
    <w:p w14:paraId="75702A0C" w14:textId="77777777" w:rsidR="00012B15" w:rsidRPr="00012B15" w:rsidRDefault="00012B15" w:rsidP="00012B15">
      <w:pPr>
        <w:rPr>
          <w:rFonts w:ascii="Avenir Next LT Pro" w:eastAsia="Aptos" w:hAnsi="Avenir Next LT Pro" w:cs="Arial"/>
        </w:rPr>
      </w:pPr>
      <w:r w:rsidRPr="00012B15">
        <w:rPr>
          <w:rFonts w:ascii="Avenir Next LT Pro" w:eastAsia="Aptos" w:hAnsi="Avenir Next LT Pro" w:cs="Arial"/>
        </w:rPr>
        <w:t xml:space="preserve">A. </w:t>
      </w:r>
      <w:r w:rsidRPr="00012B15">
        <w:rPr>
          <w:rFonts w:ascii="Avenir Next LT Pro" w:eastAsia="Aptos" w:hAnsi="Avenir Next LT Pro" w:cs="Arial"/>
          <w:b/>
        </w:rPr>
        <w:t>Pre-Award Security Requirements</w:t>
      </w:r>
      <w:r w:rsidRPr="00012B15">
        <w:rPr>
          <w:rFonts w:ascii="Avenir Next LT Pro" w:eastAsia="Aptos" w:hAnsi="Avenir Next LT Pro" w:cs="Arial"/>
        </w:rPr>
        <w:t>:</w:t>
      </w:r>
    </w:p>
    <w:p w14:paraId="6B0A0DF6" w14:textId="77777777" w:rsidR="00012B15" w:rsidRPr="00012B15" w:rsidRDefault="00012B15" w:rsidP="00012B15">
      <w:pPr>
        <w:rPr>
          <w:rFonts w:ascii="Avenir Next LT Pro" w:eastAsia="Aptos" w:hAnsi="Avenir Next LT Pro" w:cs="Arial"/>
        </w:rPr>
      </w:pPr>
      <w:r w:rsidRPr="00012B15">
        <w:rPr>
          <w:rFonts w:ascii="Avenir Next LT Pro" w:eastAsia="Aptos" w:hAnsi="Avenir Next LT Pro" w:cs="Arial"/>
        </w:rPr>
        <w:t>As part of the solicitation process, prospective performers must deliver a one-to-three-page proposed cybersecurity strategy describing the performer’s proposed approach for securing the data and systems developed as part of the ADVOCATE program. At a minimum, the proposed strategy must identify the methods and means for implementing access controls, protecting sensitive medical data, securing connections with other systems, safeguarding the agentic artificial intelligence (AI) solution (e.g., the model, model weights, and training data), and responding to cybersecurity incidents.</w:t>
      </w:r>
    </w:p>
    <w:p w14:paraId="7BC67D17" w14:textId="77777777" w:rsidR="00012B15" w:rsidRPr="00012B15" w:rsidRDefault="00012B15" w:rsidP="00012B15">
      <w:pPr>
        <w:rPr>
          <w:rFonts w:ascii="Avenir Next LT Pro" w:eastAsia="Aptos" w:hAnsi="Avenir Next LT Pro" w:cs="Arial"/>
        </w:rPr>
      </w:pPr>
      <w:r w:rsidRPr="00012B15">
        <w:rPr>
          <w:rFonts w:ascii="Avenir Next LT Pro" w:eastAsia="Aptos" w:hAnsi="Avenir Next LT Pro" w:cs="Arial"/>
        </w:rPr>
        <w:t>The government will review and assess the proposed strategy as part of its internal processes prior to award.</w:t>
      </w:r>
    </w:p>
    <w:p w14:paraId="08B9DCC3" w14:textId="77777777" w:rsidR="00012B15" w:rsidRPr="00012B15" w:rsidRDefault="00012B15" w:rsidP="00012B15">
      <w:pPr>
        <w:rPr>
          <w:rFonts w:ascii="Avenir Next LT Pro" w:eastAsia="Aptos" w:hAnsi="Avenir Next LT Pro" w:cs="Arial"/>
        </w:rPr>
      </w:pPr>
    </w:p>
    <w:p w14:paraId="5D56CCA0" w14:textId="77777777" w:rsidR="00012B15" w:rsidRPr="00012B15" w:rsidRDefault="00012B15" w:rsidP="00012B15">
      <w:pPr>
        <w:rPr>
          <w:rFonts w:ascii="Avenir Next LT Pro" w:eastAsia="Aptos" w:hAnsi="Avenir Next LT Pro" w:cs="Arial"/>
        </w:rPr>
      </w:pPr>
      <w:r w:rsidRPr="00012B15">
        <w:rPr>
          <w:rFonts w:ascii="Avenir Next LT Pro" w:eastAsia="Aptos" w:hAnsi="Avenir Next LT Pro" w:cs="Arial"/>
        </w:rPr>
        <w:t xml:space="preserve">B. </w:t>
      </w:r>
      <w:r w:rsidRPr="00012B15">
        <w:rPr>
          <w:rFonts w:ascii="Avenir Next LT Pro" w:eastAsia="Aptos" w:hAnsi="Avenir Next LT Pro" w:cs="Arial"/>
          <w:b/>
        </w:rPr>
        <w:t>Post-Award Security Requirements</w:t>
      </w:r>
      <w:r w:rsidRPr="00012B15">
        <w:rPr>
          <w:rFonts w:ascii="Avenir Next LT Pro" w:eastAsia="Aptos" w:hAnsi="Avenir Next LT Pro" w:cs="Arial"/>
        </w:rPr>
        <w:t>:</w:t>
      </w:r>
    </w:p>
    <w:p w14:paraId="65F50145" w14:textId="77777777" w:rsidR="00012B15" w:rsidRPr="00012B15" w:rsidRDefault="00012B15" w:rsidP="00012B15">
      <w:pPr>
        <w:rPr>
          <w:rFonts w:ascii="Avenir Next LT Pro" w:eastAsia="Aptos" w:hAnsi="Avenir Next LT Pro" w:cs="Arial"/>
        </w:rPr>
      </w:pPr>
      <w:r w:rsidRPr="00012B15">
        <w:rPr>
          <w:rFonts w:ascii="Avenir Next LT Pro" w:eastAsia="Aptos" w:hAnsi="Avenir Next LT Pro" w:cs="Arial"/>
        </w:rPr>
        <w:t>Performers awarded to support the ADVOCATE program will be expected to demonstrate implementation of security controls consistent with the following requirements:</w:t>
      </w:r>
    </w:p>
    <w:p w14:paraId="033EAA88" w14:textId="77777777" w:rsidR="00012B15" w:rsidRPr="00012B15" w:rsidRDefault="00012B15" w:rsidP="00012B15">
      <w:pPr>
        <w:numPr>
          <w:ilvl w:val="0"/>
          <w:numId w:val="1"/>
        </w:numPr>
        <w:contextualSpacing/>
        <w:rPr>
          <w:rFonts w:ascii="Avenir Next LT Pro" w:eastAsia="Aptos" w:hAnsi="Avenir Next LT Pro" w:cs="Arial"/>
        </w:rPr>
      </w:pPr>
      <w:r w:rsidRPr="00012B15">
        <w:rPr>
          <w:rFonts w:ascii="Avenir Next LT Pro" w:eastAsia="Aptos" w:hAnsi="Avenir Next LT Pro" w:cs="Arial"/>
        </w:rPr>
        <w:t>National Institute of Standards and Technology’s (NIST) Special Publication (SP) 800-171 Revision 3, “Protecting Controlled Unclassified Information (CUI) in Nonfederal Systems and Organizations”. Performers will be collecting, storing, processing, and/or transmitting CUI (e.g., General Privacy, Health Information) as defined by the National Archives and Records Administration. Additionally, the government seeks an approach that leads to the integration of the delivered system with a federal government partner’s environment. As a result, performers will implement the NIST SP 800-171 Revision 3 security controls using a phased approach that accounts for the increasing levels of risk as the proposed solution moves from design to implementation over Phase 1 and Phase 2.</w:t>
      </w:r>
    </w:p>
    <w:p w14:paraId="1620DD8E" w14:textId="77777777" w:rsidR="00012B15" w:rsidRPr="00012B15" w:rsidRDefault="00012B15" w:rsidP="00012B15">
      <w:pPr>
        <w:numPr>
          <w:ilvl w:val="0"/>
          <w:numId w:val="1"/>
        </w:numPr>
        <w:contextualSpacing/>
        <w:rPr>
          <w:rFonts w:ascii="Avenir Next LT Pro" w:eastAsia="Aptos" w:hAnsi="Avenir Next LT Pro" w:cs="Arial"/>
        </w:rPr>
      </w:pPr>
      <w:r w:rsidRPr="00012B15">
        <w:rPr>
          <w:rFonts w:ascii="Avenir Next LT Pro" w:eastAsia="Aptos" w:hAnsi="Avenir Next LT Pro" w:cs="Arial"/>
        </w:rPr>
        <w:t xml:space="preserve">NIST SP 800-66 Revision 2, “Implementing the Health Insurance Portability and Accountability Act (HIPAA) Security Rule: A Cybersecurity Resource Guide”. Since performers will be collecting, storing, processing, and/or transmitting electronic protected health information using the developed solution, it is critical for performers to ensure compliance with the </w:t>
      </w:r>
      <w:r w:rsidRPr="00012B15">
        <w:rPr>
          <w:rFonts w:ascii="Aptos" w:eastAsia="Aptos" w:hAnsi="Aptos" w:cs="Arial"/>
        </w:rPr>
        <w:t xml:space="preserve">HIPAA </w:t>
      </w:r>
      <w:r w:rsidRPr="00012B15">
        <w:rPr>
          <w:rFonts w:ascii="Avenir Next LT Pro" w:eastAsia="Aptos" w:hAnsi="Avenir Next LT Pro" w:cs="Arial"/>
        </w:rPr>
        <w:t>Security Rule leveraging the associated NIST guidance.</w:t>
      </w:r>
    </w:p>
    <w:p w14:paraId="645C5719" w14:textId="77777777" w:rsidR="007230B9" w:rsidRDefault="007230B9" w:rsidP="008E43AC">
      <w:pPr>
        <w:ind w:left="720"/>
        <w:contextualSpacing/>
        <w:rPr>
          <w:rFonts w:ascii="Avenir Next LT Pro" w:eastAsia="Aptos" w:hAnsi="Avenir Next LT Pro" w:cs="Arial"/>
        </w:rPr>
      </w:pPr>
    </w:p>
    <w:p w14:paraId="05E04245" w14:textId="04E0098F" w:rsidR="00012B15" w:rsidRPr="00012B15" w:rsidRDefault="00012B15" w:rsidP="00012B15">
      <w:pPr>
        <w:rPr>
          <w:rFonts w:ascii="Avenir Next LT Pro" w:eastAsia="Aptos" w:hAnsi="Avenir Next LT Pro" w:cs="Arial"/>
        </w:rPr>
      </w:pPr>
      <w:r w:rsidRPr="7FAD4DC3">
        <w:rPr>
          <w:rFonts w:ascii="Avenir Next LT Pro" w:eastAsia="Aptos" w:hAnsi="Avenir Next LT Pro" w:cs="Arial"/>
        </w:rPr>
        <w:t xml:space="preserve">Throughout the ADVOCATE program, performers must also maintain a Plan of Action and Milestones that documents identified cybersecurity weaknesses, vulnerabilities, and other related deficiencies with the system; the necessary actions to mitigate and/or remediate those deficiencies; and the associated timelines for performing those actions. Due to the rapidly changing nature of the AI industry, the government may also identify additional AI-focused cybersecurity requirements for performers to implement during the program. Lastly, performers requiring access to any ARPA-H systems during the performance of the work must comply with all applicable federal mandates for such access, including the NIST Federal Information Processing Standards </w:t>
      </w:r>
      <w:r w:rsidR="007B648B" w:rsidRPr="7FAD4DC3">
        <w:rPr>
          <w:rFonts w:ascii="Avenir Next LT Pro" w:eastAsia="Aptos" w:hAnsi="Avenir Next LT Pro" w:cs="Arial"/>
        </w:rPr>
        <w:t xml:space="preserve">Publication </w:t>
      </w:r>
      <w:r w:rsidRPr="7FAD4DC3">
        <w:rPr>
          <w:rFonts w:ascii="Avenir Next LT Pro" w:eastAsia="Aptos" w:hAnsi="Avenir Next LT Pro" w:cs="Arial"/>
        </w:rPr>
        <w:t>(FIPS</w:t>
      </w:r>
      <w:r w:rsidR="007908E7" w:rsidRPr="7FAD4DC3">
        <w:rPr>
          <w:rFonts w:ascii="Avenir Next LT Pro" w:eastAsia="Aptos" w:hAnsi="Avenir Next LT Pro" w:cs="Arial"/>
        </w:rPr>
        <w:t xml:space="preserve"> PUB </w:t>
      </w:r>
      <w:r w:rsidRPr="7FAD4DC3">
        <w:rPr>
          <w:rFonts w:ascii="Avenir Next LT Pro" w:eastAsia="Aptos" w:hAnsi="Avenir Next LT Pro" w:cs="Arial"/>
        </w:rPr>
        <w:t>201-3</w:t>
      </w:r>
      <w:r w:rsidR="007908E7" w:rsidRPr="7FAD4DC3">
        <w:rPr>
          <w:rFonts w:ascii="Avenir Next LT Pro" w:eastAsia="Aptos" w:hAnsi="Avenir Next LT Pro" w:cs="Arial"/>
        </w:rPr>
        <w:t>)</w:t>
      </w:r>
      <w:r w:rsidRPr="7FAD4DC3">
        <w:rPr>
          <w:rFonts w:ascii="Avenir Next LT Pro" w:eastAsia="Aptos" w:hAnsi="Avenir Next LT Pro" w:cs="Arial"/>
        </w:rPr>
        <w:t>, “Personal Identity Verification (PIV) of Federal Employees and Contractors” and any ARPA-H cybersecurity policies.</w:t>
      </w:r>
    </w:p>
    <w:p w14:paraId="075B0598" w14:textId="77777777" w:rsidR="00012B15" w:rsidRPr="00012B15" w:rsidRDefault="00012B15" w:rsidP="00012B15">
      <w:pPr>
        <w:rPr>
          <w:rFonts w:ascii="Avenir Next LT Pro" w:eastAsia="Aptos" w:hAnsi="Avenir Next LT Pro" w:cs="Arial"/>
        </w:rPr>
      </w:pPr>
    </w:p>
    <w:p w14:paraId="49F2585B" w14:textId="77777777" w:rsidR="00012B15" w:rsidRPr="00012B15" w:rsidRDefault="00012B15" w:rsidP="00012B15">
      <w:pPr>
        <w:keepNext/>
        <w:keepLines/>
        <w:spacing w:before="360" w:after="80"/>
        <w:outlineLvl w:val="0"/>
        <w:rPr>
          <w:rFonts w:ascii="Avenir Next LT Pro" w:eastAsia="Yu Gothic Light" w:hAnsi="Avenir Next LT Pro" w:cs="Times New Roman"/>
          <w:color w:val="0F4761"/>
          <w:sz w:val="40"/>
          <w:szCs w:val="40"/>
        </w:rPr>
      </w:pPr>
    </w:p>
    <w:p w14:paraId="0BFBC707" w14:textId="77777777" w:rsidR="00D83561" w:rsidRDefault="00D83561"/>
    <w:sectPr w:rsidR="00D835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venir Next LT Pro">
    <w:altName w:val="Calibri"/>
    <w:charset w:val="00"/>
    <w:family w:val="swiss"/>
    <w:pitch w:val="variable"/>
    <w:sig w:usb0="800000EF" w:usb1="5000204A" w:usb2="00000000" w:usb3="00000000" w:csb0="00000093"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8507D3"/>
    <w:multiLevelType w:val="hybridMultilevel"/>
    <w:tmpl w:val="CA00F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3618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B15"/>
    <w:rsid w:val="00012B15"/>
    <w:rsid w:val="0012500E"/>
    <w:rsid w:val="0018351A"/>
    <w:rsid w:val="00386513"/>
    <w:rsid w:val="00524F0E"/>
    <w:rsid w:val="00651891"/>
    <w:rsid w:val="007230B9"/>
    <w:rsid w:val="007908E7"/>
    <w:rsid w:val="007B24D1"/>
    <w:rsid w:val="007B648B"/>
    <w:rsid w:val="00883A9D"/>
    <w:rsid w:val="008E43AC"/>
    <w:rsid w:val="0095094B"/>
    <w:rsid w:val="009962AA"/>
    <w:rsid w:val="009C1727"/>
    <w:rsid w:val="009D0C49"/>
    <w:rsid w:val="00AB5A73"/>
    <w:rsid w:val="00B71CD5"/>
    <w:rsid w:val="00D307F4"/>
    <w:rsid w:val="00D83561"/>
    <w:rsid w:val="00F032CA"/>
    <w:rsid w:val="00F53D47"/>
    <w:rsid w:val="7FAD4D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8BA1293"/>
  <w15:chartTrackingRefBased/>
  <w15:docId w15:val="{2E344887-95C9-459A-8FD7-C370F3EB1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2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B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2B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B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B15"/>
    <w:rPr>
      <w:rFonts w:eastAsiaTheme="majorEastAsia" w:cstheme="majorBidi"/>
      <w:color w:val="272727" w:themeColor="text1" w:themeTint="D8"/>
    </w:rPr>
  </w:style>
  <w:style w:type="paragraph" w:styleId="Title">
    <w:name w:val="Title"/>
    <w:basedOn w:val="Normal"/>
    <w:next w:val="Normal"/>
    <w:link w:val="TitleChar"/>
    <w:uiPriority w:val="10"/>
    <w:qFormat/>
    <w:rsid w:val="00012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B15"/>
    <w:pPr>
      <w:spacing w:before="160"/>
      <w:jc w:val="center"/>
    </w:pPr>
    <w:rPr>
      <w:i/>
      <w:iCs/>
      <w:color w:val="404040" w:themeColor="text1" w:themeTint="BF"/>
    </w:rPr>
  </w:style>
  <w:style w:type="character" w:customStyle="1" w:styleId="QuoteChar">
    <w:name w:val="Quote Char"/>
    <w:basedOn w:val="DefaultParagraphFont"/>
    <w:link w:val="Quote"/>
    <w:uiPriority w:val="29"/>
    <w:rsid w:val="00012B15"/>
    <w:rPr>
      <w:i/>
      <w:iCs/>
      <w:color w:val="404040" w:themeColor="text1" w:themeTint="BF"/>
    </w:rPr>
  </w:style>
  <w:style w:type="paragraph" w:styleId="ListParagraph">
    <w:name w:val="List Paragraph"/>
    <w:basedOn w:val="Normal"/>
    <w:uiPriority w:val="34"/>
    <w:qFormat/>
    <w:rsid w:val="00012B15"/>
    <w:pPr>
      <w:ind w:left="720"/>
      <w:contextualSpacing/>
    </w:pPr>
  </w:style>
  <w:style w:type="character" w:styleId="IntenseEmphasis">
    <w:name w:val="Intense Emphasis"/>
    <w:basedOn w:val="DefaultParagraphFont"/>
    <w:uiPriority w:val="21"/>
    <w:qFormat/>
    <w:rsid w:val="00012B15"/>
    <w:rPr>
      <w:i/>
      <w:iCs/>
      <w:color w:val="0F4761" w:themeColor="accent1" w:themeShade="BF"/>
    </w:rPr>
  </w:style>
  <w:style w:type="paragraph" w:styleId="IntenseQuote">
    <w:name w:val="Intense Quote"/>
    <w:basedOn w:val="Normal"/>
    <w:next w:val="Normal"/>
    <w:link w:val="IntenseQuoteChar"/>
    <w:uiPriority w:val="30"/>
    <w:qFormat/>
    <w:rsid w:val="00012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B15"/>
    <w:rPr>
      <w:i/>
      <w:iCs/>
      <w:color w:val="0F4761" w:themeColor="accent1" w:themeShade="BF"/>
    </w:rPr>
  </w:style>
  <w:style w:type="character" w:styleId="IntenseReference">
    <w:name w:val="Intense Reference"/>
    <w:basedOn w:val="DefaultParagraphFont"/>
    <w:uiPriority w:val="32"/>
    <w:qFormat/>
    <w:rsid w:val="00012B15"/>
    <w:rPr>
      <w:b/>
      <w:bCs/>
      <w:smallCaps/>
      <w:color w:val="0F4761" w:themeColor="accent1" w:themeShade="BF"/>
      <w:spacing w:val="5"/>
    </w:rPr>
  </w:style>
  <w:style w:type="paragraph" w:styleId="Revision">
    <w:name w:val="Revision"/>
    <w:hidden/>
    <w:uiPriority w:val="99"/>
    <w:semiHidden/>
    <w:rsid w:val="009962AA"/>
    <w:pPr>
      <w:spacing w:after="0" w:line="240" w:lineRule="auto"/>
    </w:pPr>
  </w:style>
  <w:style w:type="character" w:styleId="CommentReference">
    <w:name w:val="annotation reference"/>
    <w:basedOn w:val="DefaultParagraphFont"/>
    <w:uiPriority w:val="99"/>
    <w:semiHidden/>
    <w:unhideWhenUsed/>
    <w:rsid w:val="009C1727"/>
    <w:rPr>
      <w:sz w:val="16"/>
      <w:szCs w:val="16"/>
    </w:rPr>
  </w:style>
  <w:style w:type="paragraph" w:styleId="CommentText">
    <w:name w:val="annotation text"/>
    <w:basedOn w:val="Normal"/>
    <w:link w:val="CommentTextChar"/>
    <w:uiPriority w:val="99"/>
    <w:unhideWhenUsed/>
    <w:rsid w:val="009C1727"/>
    <w:pPr>
      <w:spacing w:line="240" w:lineRule="auto"/>
    </w:pPr>
    <w:rPr>
      <w:sz w:val="20"/>
      <w:szCs w:val="20"/>
    </w:rPr>
  </w:style>
  <w:style w:type="character" w:customStyle="1" w:styleId="CommentTextChar">
    <w:name w:val="Comment Text Char"/>
    <w:basedOn w:val="DefaultParagraphFont"/>
    <w:link w:val="CommentText"/>
    <w:uiPriority w:val="99"/>
    <w:rsid w:val="009C1727"/>
    <w:rPr>
      <w:sz w:val="20"/>
      <w:szCs w:val="20"/>
    </w:rPr>
  </w:style>
  <w:style w:type="paragraph" w:styleId="CommentSubject">
    <w:name w:val="annotation subject"/>
    <w:basedOn w:val="CommentText"/>
    <w:next w:val="CommentText"/>
    <w:link w:val="CommentSubjectChar"/>
    <w:uiPriority w:val="99"/>
    <w:semiHidden/>
    <w:unhideWhenUsed/>
    <w:rsid w:val="009C1727"/>
    <w:rPr>
      <w:b/>
      <w:bCs/>
    </w:rPr>
  </w:style>
  <w:style w:type="character" w:customStyle="1" w:styleId="CommentSubjectChar">
    <w:name w:val="Comment Subject Char"/>
    <w:basedOn w:val="CommentTextChar"/>
    <w:link w:val="CommentSubject"/>
    <w:uiPriority w:val="99"/>
    <w:semiHidden/>
    <w:rsid w:val="009C172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83A65023F1F564684F417E82C11F0F1" ma:contentTypeVersion="3" ma:contentTypeDescription="Create a new document." ma:contentTypeScope="" ma:versionID="0992cbccd2da22448cfc3e9ad3428123">
  <xsd:schema xmlns:xsd="http://www.w3.org/2001/XMLSchema" xmlns:xs="http://www.w3.org/2001/XMLSchema" xmlns:p="http://schemas.microsoft.com/office/2006/metadata/properties" xmlns:ns2="9a96d420-221f-4e9d-95ed-cff15f2d7ad9" targetNamespace="http://schemas.microsoft.com/office/2006/metadata/properties" ma:root="true" ma:fieldsID="0c70b59447959d0c3fcf50ddd34aa1b7" ns2:_="">
    <xsd:import namespace="9a96d420-221f-4e9d-95ed-cff15f2d7ad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96d420-221f-4e9d-95ed-cff15f2d7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F1B05D-9DA2-46DE-8490-C6003135D0D1}">
  <ds:schemaRefs>
    <ds:schemaRef ds:uri="http://schemas.microsoft.com/sharepoint/v3/contenttype/forms"/>
  </ds:schemaRefs>
</ds:datastoreItem>
</file>

<file path=customXml/itemProps2.xml><?xml version="1.0" encoding="utf-8"?>
<ds:datastoreItem xmlns:ds="http://schemas.openxmlformats.org/officeDocument/2006/customXml" ds:itemID="{11B93DED-3086-480F-BF57-4FC60C100A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96d420-221f-4e9d-95ed-cff15f2d7a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7066DC2-27CE-4727-BE1F-35125FA3BB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39403df3-4f99-429e-bcca-aef45d118c06}" enabled="1" method="Standard" siteId="{5685c435-011d-4ece-8236-5a545c0ff8a9}"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Manning (ARPA-H) [CTR]</dc:creator>
  <cp:keywords/>
  <dc:description/>
  <cp:lastModifiedBy>Kimberly Oatneal (ARPA-H) [CTR]</cp:lastModifiedBy>
  <cp:revision>20</cp:revision>
  <dcterms:created xsi:type="dcterms:W3CDTF">2025-09-08T11:12:00Z</dcterms:created>
  <dcterms:modified xsi:type="dcterms:W3CDTF">2026-01-13T16:09:00Z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0x010100E83A65023F1F564684F417E82C11F0F1</vt:lpwstr>
  </property>
  <property fmtid="{D5CDD505-2E9C-101B-9397-08002B2CF9AE}" pid="3" name="MediaServiceImageTags">
    <vt:lpwstr/>
  </property>
</Properties>
</file>