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198D" w14:textId="14A3604E" w:rsidR="00EF5EDB" w:rsidRPr="00EF5EDB" w:rsidRDefault="00EF5EDB" w:rsidP="00EF5EDB">
      <w:pPr>
        <w:keepNext/>
        <w:keepLines/>
        <w:spacing w:before="360" w:after="80"/>
        <w:outlineLvl w:val="0"/>
        <w:rPr>
          <w:rFonts w:ascii="Avenir Next LT Pro" w:eastAsia="Yu Gothic Light" w:hAnsi="Avenir Next LT Pro" w:cs="Times New Roman"/>
          <w:color w:val="0F4761"/>
          <w:sz w:val="40"/>
          <w:szCs w:val="40"/>
        </w:rPr>
      </w:pPr>
      <w:r w:rsidRPr="00EF5EDB">
        <w:rPr>
          <w:rFonts w:ascii="Avenir Next LT Pro" w:eastAsia="Yu Gothic Light" w:hAnsi="Avenir Next LT Pro" w:cs="Times New Roman"/>
          <w:color w:val="0F4761"/>
          <w:sz w:val="40"/>
          <w:szCs w:val="40"/>
        </w:rPr>
        <w:t xml:space="preserve">APPENDIX </w:t>
      </w:r>
      <w:r w:rsidR="008C3BBD">
        <w:rPr>
          <w:rFonts w:ascii="Avenir Next LT Pro" w:eastAsia="Yu Gothic Light" w:hAnsi="Avenir Next LT Pro" w:cs="Times New Roman"/>
          <w:color w:val="0F4761"/>
          <w:sz w:val="40"/>
          <w:szCs w:val="40"/>
        </w:rPr>
        <w:t>E</w:t>
      </w:r>
      <w:r w:rsidRPr="00EF5EDB">
        <w:rPr>
          <w:rFonts w:ascii="Avenir Next LT Pro" w:eastAsia="Yu Gothic Light" w:hAnsi="Avenir Next LT Pro" w:cs="Times New Roman"/>
          <w:color w:val="0F4761"/>
          <w:sz w:val="40"/>
          <w:szCs w:val="40"/>
        </w:rPr>
        <w:t xml:space="preserve">: ADVOCATE Commercialization Roadmap </w:t>
      </w:r>
    </w:p>
    <w:p w14:paraId="44F1F1B7" w14:textId="77777777" w:rsidR="00EF5EDB" w:rsidRPr="00EF5EDB" w:rsidRDefault="00EF5EDB" w:rsidP="00EF5EDB">
      <w:pPr>
        <w:rPr>
          <w:rFonts w:ascii="Avenir Next LT Pro" w:eastAsia="Aptos" w:hAnsi="Avenir Next LT Pro" w:cs="Arial"/>
          <w:strike/>
        </w:rPr>
      </w:pPr>
      <w:r w:rsidRPr="607EBF3D">
        <w:rPr>
          <w:rFonts w:ascii="Avenir Next LT Pro" w:eastAsia="Aptos" w:hAnsi="Avenir Next LT Pro" w:cs="Arial"/>
        </w:rPr>
        <w:t xml:space="preserve">The commercialization roadmap below has been created as a guide to address commercialization-related activities. These activities may not be relevant or appropriate for all proposers. Proposers may suggest adjusted or alternate activities that align to their technical approach and relevant transition and commercialization strategy. </w:t>
      </w:r>
    </w:p>
    <w:tbl>
      <w:tblPr>
        <w:tblStyle w:val="TableGrid"/>
        <w:tblW w:w="9360" w:type="dxa"/>
        <w:tblInd w:w="82"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ook w:val="04A0" w:firstRow="1" w:lastRow="0" w:firstColumn="1" w:lastColumn="0" w:noHBand="0" w:noVBand="1"/>
      </w:tblPr>
      <w:tblGrid>
        <w:gridCol w:w="1799"/>
        <w:gridCol w:w="7561"/>
      </w:tblGrid>
      <w:tr w:rsidR="00EF5EDB" w:rsidRPr="00EF5EDB" w14:paraId="044973B9" w14:textId="77777777" w:rsidTr="607EBF3D">
        <w:trPr>
          <w:trHeight w:val="300"/>
        </w:trPr>
        <w:tc>
          <w:tcPr>
            <w:tcW w:w="9360" w:type="dxa"/>
            <w:gridSpan w:val="2"/>
            <w:shd w:val="clear" w:color="auto" w:fill="7F7F7F" w:themeFill="text1" w:themeFillTint="80"/>
            <w:tcMar>
              <w:left w:w="105" w:type="dxa"/>
              <w:right w:w="105" w:type="dxa"/>
            </w:tcMar>
          </w:tcPr>
          <w:p w14:paraId="10D2DBDD" w14:textId="77777777" w:rsidR="00EF5EDB" w:rsidRPr="00EF5EDB" w:rsidRDefault="00EF5EDB" w:rsidP="00EF5EDB">
            <w:pPr>
              <w:rPr>
                <w:rFonts w:ascii="Avenir Next LT Pro" w:eastAsia="Aptos" w:hAnsi="Avenir Next LT Pro" w:cs="Arial"/>
              </w:rPr>
            </w:pPr>
          </w:p>
        </w:tc>
      </w:tr>
      <w:tr w:rsidR="00EF5EDB" w:rsidRPr="00EF5EDB" w14:paraId="6658BAB5" w14:textId="77777777" w:rsidTr="607EBF3D">
        <w:trPr>
          <w:trHeight w:val="300"/>
        </w:trPr>
        <w:tc>
          <w:tcPr>
            <w:tcW w:w="1799" w:type="dxa"/>
            <w:shd w:val="clear" w:color="auto" w:fill="D1D1D1" w:themeFill="background2" w:themeFillShade="E6"/>
            <w:tcMar>
              <w:left w:w="105" w:type="dxa"/>
              <w:right w:w="105" w:type="dxa"/>
            </w:tcMar>
          </w:tcPr>
          <w:p w14:paraId="10E929CC" w14:textId="77777777" w:rsidR="00EF5EDB" w:rsidRPr="00EF5EDB" w:rsidRDefault="00EF5EDB" w:rsidP="00EF5EDB">
            <w:pPr>
              <w:rPr>
                <w:rFonts w:ascii="Avenir Next LT Pro" w:eastAsia="Aptos" w:hAnsi="Avenir Next LT Pro" w:cs="Arial"/>
                <w:b/>
                <w:sz w:val="28"/>
              </w:rPr>
            </w:pPr>
            <w:r w:rsidRPr="00EF5EDB">
              <w:rPr>
                <w:rFonts w:ascii="Avenir Next LT Pro" w:eastAsia="Aptos" w:hAnsi="Avenir Next LT Pro" w:cs="Arial"/>
                <w:b/>
                <w:sz w:val="28"/>
              </w:rPr>
              <w:t>FY26</w:t>
            </w:r>
          </w:p>
        </w:tc>
        <w:tc>
          <w:tcPr>
            <w:tcW w:w="7561" w:type="dxa"/>
            <w:shd w:val="clear" w:color="auto" w:fill="D1D1D1" w:themeFill="background2" w:themeFillShade="E6"/>
            <w:tcMar>
              <w:left w:w="105" w:type="dxa"/>
              <w:right w:w="105" w:type="dxa"/>
            </w:tcMar>
          </w:tcPr>
          <w:p w14:paraId="5BF52351" w14:textId="77777777" w:rsidR="00EF5EDB" w:rsidRPr="00EF5EDB" w:rsidRDefault="00EF5EDB" w:rsidP="00EF5EDB">
            <w:pPr>
              <w:rPr>
                <w:rFonts w:ascii="Avenir Next LT Pro" w:eastAsia="Aptos" w:hAnsi="Avenir Next LT Pro" w:cs="Arial"/>
                <w:b/>
                <w:sz w:val="28"/>
              </w:rPr>
            </w:pPr>
            <w:r w:rsidRPr="00EF5EDB">
              <w:rPr>
                <w:rFonts w:ascii="Avenir Next LT Pro" w:eastAsia="Aptos" w:hAnsi="Avenir Next LT Pro" w:cs="Arial"/>
                <w:b/>
                <w:sz w:val="28"/>
              </w:rPr>
              <w:t>Phase 1A</w:t>
            </w:r>
          </w:p>
        </w:tc>
      </w:tr>
      <w:tr w:rsidR="00EF5EDB" w:rsidRPr="00EF5EDB" w14:paraId="419DF54B" w14:textId="77777777" w:rsidTr="607EBF3D">
        <w:trPr>
          <w:trHeight w:val="300"/>
        </w:trPr>
        <w:tc>
          <w:tcPr>
            <w:tcW w:w="1799" w:type="dxa"/>
            <w:tcMar>
              <w:left w:w="105" w:type="dxa"/>
              <w:right w:w="105" w:type="dxa"/>
            </w:tcMar>
            <w:vAlign w:val="center"/>
          </w:tcPr>
          <w:p w14:paraId="74FF9B40"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End User/Market</w:t>
            </w:r>
          </w:p>
        </w:tc>
        <w:tc>
          <w:tcPr>
            <w:tcW w:w="7561" w:type="dxa"/>
            <w:tcMar>
              <w:left w:w="105" w:type="dxa"/>
              <w:right w:w="105" w:type="dxa"/>
            </w:tcMar>
            <w:vAlign w:val="center"/>
          </w:tcPr>
          <w:p w14:paraId="0CF3DCDD" w14:textId="77777777" w:rsidR="00EF5EDB" w:rsidRPr="00EF5EDB" w:rsidRDefault="00EF5EDB" w:rsidP="00EF5EDB">
            <w:pPr>
              <w:numPr>
                <w:ilvl w:val="0"/>
                <w:numId w:val="3"/>
              </w:numPr>
              <w:ind w:left="340"/>
              <w:contextualSpacing/>
              <w:rPr>
                <w:rFonts w:ascii="Avenir Next LT Pro" w:eastAsia="Aptos" w:hAnsi="Avenir Next LT Pro" w:cs="Arial"/>
                <w:sz w:val="22"/>
              </w:rPr>
            </w:pPr>
            <w:r w:rsidRPr="00EF5EDB">
              <w:rPr>
                <w:rFonts w:ascii="Avenir Next LT Pro" w:eastAsia="Aptos" w:hAnsi="Avenir Next LT Pro" w:cs="Arial"/>
                <w:sz w:val="22"/>
              </w:rPr>
              <w:t>Initial adopters for downstream pilot deployment identified</w:t>
            </w:r>
          </w:p>
          <w:p w14:paraId="026CD272" w14:textId="77777777" w:rsidR="00EF5EDB" w:rsidRPr="00EF5EDB" w:rsidRDefault="00EF5EDB" w:rsidP="00EF5EDB">
            <w:pPr>
              <w:numPr>
                <w:ilvl w:val="0"/>
                <w:numId w:val="3"/>
              </w:numPr>
              <w:ind w:left="340"/>
              <w:contextualSpacing/>
              <w:rPr>
                <w:rFonts w:ascii="Avenir Next LT Pro" w:eastAsia="Aptos" w:hAnsi="Avenir Next LT Pro" w:cs="Arial"/>
                <w:sz w:val="22"/>
              </w:rPr>
            </w:pPr>
            <w:r w:rsidRPr="00EF5EDB">
              <w:rPr>
                <w:rFonts w:ascii="Avenir Next LT Pro" w:eastAsia="Aptos" w:hAnsi="Avenir Next LT Pro" w:cs="Arial"/>
                <w:sz w:val="22"/>
              </w:rPr>
              <w:t>Voice of customer analysis to ID workflow integration challenges and opportunities completed</w:t>
            </w:r>
          </w:p>
          <w:p w14:paraId="23D20FD2" w14:textId="77777777" w:rsidR="00EF5EDB" w:rsidRPr="00EF5EDB" w:rsidRDefault="00EF5EDB" w:rsidP="00EF5EDB">
            <w:pPr>
              <w:numPr>
                <w:ilvl w:val="0"/>
                <w:numId w:val="3"/>
              </w:numPr>
              <w:ind w:left="340"/>
              <w:contextualSpacing/>
              <w:rPr>
                <w:rFonts w:ascii="Avenir Next LT Pro" w:eastAsia="Aptos" w:hAnsi="Avenir Next LT Pro" w:cs="Arial"/>
                <w:sz w:val="22"/>
              </w:rPr>
            </w:pPr>
            <w:r w:rsidRPr="00EF5EDB">
              <w:rPr>
                <w:rFonts w:ascii="Avenir Next LT Pro" w:eastAsia="Aptos" w:hAnsi="Avenir Next LT Pro" w:cs="Arial"/>
                <w:sz w:val="22"/>
              </w:rPr>
              <w:t>Voice of customer analysis to understand cost constraints completed</w:t>
            </w:r>
          </w:p>
          <w:p w14:paraId="4CB5ABCE" w14:textId="77777777" w:rsidR="00EF5EDB" w:rsidRPr="00EF5EDB" w:rsidRDefault="00EF5EDB" w:rsidP="00EF5EDB">
            <w:pPr>
              <w:numPr>
                <w:ilvl w:val="0"/>
                <w:numId w:val="3"/>
              </w:numPr>
              <w:ind w:left="340"/>
              <w:contextualSpacing/>
              <w:rPr>
                <w:rFonts w:ascii="Avenir Next LT Pro" w:eastAsia="Aptos" w:hAnsi="Avenir Next LT Pro" w:cs="Arial"/>
                <w:sz w:val="22"/>
              </w:rPr>
            </w:pPr>
            <w:r w:rsidRPr="00EF5EDB">
              <w:rPr>
                <w:rFonts w:ascii="Avenir Next LT Pro" w:eastAsia="Aptos" w:hAnsi="Avenir Next LT Pro" w:cs="Arial"/>
                <w:sz w:val="22"/>
              </w:rPr>
              <w:t>EHR and wearables providers to understand integration potential and data access identified and initial partnerships for downstream integration and piloting established (Phase 2)</w:t>
            </w:r>
          </w:p>
          <w:p w14:paraId="708CD75F" w14:textId="77777777" w:rsidR="00EF5EDB" w:rsidRPr="00EF5EDB" w:rsidRDefault="00EF5EDB" w:rsidP="607EBF3D">
            <w:pPr>
              <w:numPr>
                <w:ilvl w:val="0"/>
                <w:numId w:val="3"/>
              </w:numPr>
              <w:ind w:left="340"/>
              <w:contextualSpacing/>
              <w:rPr>
                <w:rFonts w:ascii="Avenir Next LT Pro" w:eastAsia="Aptos" w:hAnsi="Avenir Next LT Pro" w:cs="Arial"/>
                <w:sz w:val="22"/>
                <w:szCs w:val="22"/>
              </w:rPr>
            </w:pPr>
            <w:r w:rsidRPr="607EBF3D">
              <w:rPr>
                <w:rFonts w:ascii="Avenir Next LT Pro" w:eastAsia="Avenir Next LT Pro" w:hAnsi="Avenir Next LT Pro" w:cs="Avenir Next LT Pro"/>
                <w:sz w:val="22"/>
                <w:szCs w:val="22"/>
              </w:rPr>
              <w:t>User Interface/User Experience (</w:t>
            </w:r>
            <w:r w:rsidRPr="607EBF3D">
              <w:rPr>
                <w:rFonts w:ascii="Avenir Next LT Pro" w:eastAsia="Aptos" w:hAnsi="Avenir Next LT Pro" w:cs="Arial"/>
                <w:sz w:val="22"/>
                <w:szCs w:val="22"/>
              </w:rPr>
              <w:t>UI/UX</w:t>
            </w:r>
            <w:r w:rsidRPr="607EBF3D">
              <w:rPr>
                <w:rFonts w:ascii="Avenir Next LT Pro" w:eastAsia="Avenir Next LT Pro" w:hAnsi="Avenir Next LT Pro" w:cs="Avenir Next LT Pro"/>
                <w:sz w:val="22"/>
                <w:szCs w:val="22"/>
              </w:rPr>
              <w:t>)</w:t>
            </w:r>
            <w:r w:rsidRPr="607EBF3D">
              <w:rPr>
                <w:rFonts w:ascii="Avenir Next LT Pro" w:eastAsia="Aptos" w:hAnsi="Avenir Next LT Pro" w:cs="Arial"/>
                <w:sz w:val="22"/>
                <w:szCs w:val="22"/>
              </w:rPr>
              <w:t xml:space="preserve"> testing with Minimum Viable Product (MVP)/prototype with patients and clinicians through patient groups and TA3 health systems initiated </w:t>
            </w:r>
          </w:p>
          <w:p w14:paraId="662F5A09" w14:textId="77777777" w:rsidR="00EF5EDB" w:rsidRPr="00EF5EDB" w:rsidRDefault="00EF5EDB" w:rsidP="00EF5EDB">
            <w:pPr>
              <w:numPr>
                <w:ilvl w:val="0"/>
                <w:numId w:val="3"/>
              </w:numPr>
              <w:ind w:left="340"/>
              <w:contextualSpacing/>
              <w:rPr>
                <w:rFonts w:ascii="Avenir Next LT Pro" w:eastAsia="Aptos" w:hAnsi="Avenir Next LT Pro" w:cs="Arial"/>
                <w:sz w:val="22"/>
              </w:rPr>
            </w:pPr>
            <w:r w:rsidRPr="00EF5EDB">
              <w:rPr>
                <w:rFonts w:ascii="Avenir Next LT Pro" w:eastAsia="Aptos" w:hAnsi="Avenir Next LT Pro" w:cs="Arial"/>
                <w:sz w:val="22"/>
              </w:rPr>
              <w:t xml:space="preserve">IT security questionnaire launched to capture privacy, security and other requirements for standardization </w:t>
            </w:r>
          </w:p>
        </w:tc>
      </w:tr>
      <w:tr w:rsidR="00EF5EDB" w:rsidRPr="00EF5EDB" w14:paraId="22A05643" w14:textId="77777777" w:rsidTr="607EBF3D">
        <w:trPr>
          <w:trHeight w:val="300"/>
        </w:trPr>
        <w:tc>
          <w:tcPr>
            <w:tcW w:w="1799" w:type="dxa"/>
            <w:tcMar>
              <w:left w:w="105" w:type="dxa"/>
              <w:right w:w="105" w:type="dxa"/>
            </w:tcMar>
            <w:vAlign w:val="center"/>
          </w:tcPr>
          <w:p w14:paraId="63D818E8"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Business Model</w:t>
            </w:r>
          </w:p>
        </w:tc>
        <w:tc>
          <w:tcPr>
            <w:tcW w:w="7561" w:type="dxa"/>
            <w:tcMar>
              <w:left w:w="105" w:type="dxa"/>
              <w:right w:w="105" w:type="dxa"/>
            </w:tcMar>
            <w:vAlign w:val="center"/>
          </w:tcPr>
          <w:p w14:paraId="7440743D" w14:textId="77777777" w:rsidR="00EF5EDB" w:rsidRPr="00EF5EDB" w:rsidRDefault="00EF5EDB" w:rsidP="00EF5EDB">
            <w:pPr>
              <w:numPr>
                <w:ilvl w:val="0"/>
                <w:numId w:val="2"/>
              </w:numPr>
              <w:ind w:left="340"/>
              <w:contextualSpacing/>
              <w:rPr>
                <w:rFonts w:ascii="Avenir Next LT Pro" w:eastAsia="Aptos" w:hAnsi="Avenir Next LT Pro" w:cs="Arial"/>
                <w:sz w:val="22"/>
              </w:rPr>
            </w:pPr>
            <w:r w:rsidRPr="00EF5EDB">
              <w:rPr>
                <w:rFonts w:ascii="Avenir Next LT Pro" w:eastAsia="Aptos" w:hAnsi="Avenir Next LT Pro" w:cs="Arial"/>
                <w:sz w:val="22"/>
              </w:rPr>
              <w:t>Competitive landscape monitoring established</w:t>
            </w:r>
          </w:p>
          <w:p w14:paraId="67B840F1" w14:textId="77777777" w:rsidR="00EF5EDB" w:rsidRPr="00EF5EDB" w:rsidRDefault="00EF5EDB" w:rsidP="607EBF3D">
            <w:pPr>
              <w:numPr>
                <w:ilvl w:val="0"/>
                <w:numId w:val="2"/>
              </w:numPr>
              <w:ind w:left="340"/>
              <w:contextualSpacing/>
              <w:rPr>
                <w:rFonts w:ascii="Avenir Next LT Pro" w:eastAsia="Aptos" w:hAnsi="Avenir Next LT Pro" w:cs="Arial"/>
                <w:sz w:val="22"/>
                <w:szCs w:val="22"/>
              </w:rPr>
            </w:pPr>
            <w:proofErr w:type="gramStart"/>
            <w:r w:rsidRPr="607EBF3D">
              <w:rPr>
                <w:rFonts w:ascii="Avenir Next LT Pro" w:eastAsia="Aptos" w:hAnsi="Avenir Next LT Pro" w:cs="Arial"/>
                <w:sz w:val="22"/>
                <w:szCs w:val="22"/>
              </w:rPr>
              <w:t>Business model</w:t>
            </w:r>
            <w:proofErr w:type="gramEnd"/>
            <w:r w:rsidRPr="607EBF3D">
              <w:rPr>
                <w:rFonts w:ascii="Avenir Next LT Pro" w:eastAsia="Aptos" w:hAnsi="Avenir Next LT Pro" w:cs="Arial"/>
                <w:sz w:val="22"/>
                <w:szCs w:val="22"/>
              </w:rPr>
              <w:t xml:space="preserve"> strategy includes reimbursement strategy (inc. Centers for Medicare &amp; Medicaid Services (CMS) engagement), value capture options, and monetization pathways established </w:t>
            </w:r>
          </w:p>
        </w:tc>
      </w:tr>
      <w:tr w:rsidR="00EF5EDB" w:rsidRPr="00EF5EDB" w14:paraId="04C83F3D" w14:textId="77777777" w:rsidTr="607EBF3D">
        <w:trPr>
          <w:trHeight w:val="300"/>
        </w:trPr>
        <w:tc>
          <w:tcPr>
            <w:tcW w:w="1799" w:type="dxa"/>
            <w:tcMar>
              <w:left w:w="105" w:type="dxa"/>
              <w:right w:w="105" w:type="dxa"/>
            </w:tcMar>
            <w:vAlign w:val="center"/>
          </w:tcPr>
          <w:p w14:paraId="7C1A13B7"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 xml:space="preserve">IP </w:t>
            </w:r>
          </w:p>
        </w:tc>
        <w:tc>
          <w:tcPr>
            <w:tcW w:w="7561" w:type="dxa"/>
            <w:tcMar>
              <w:left w:w="105" w:type="dxa"/>
              <w:right w:w="105" w:type="dxa"/>
            </w:tcMar>
            <w:vAlign w:val="center"/>
          </w:tcPr>
          <w:p w14:paraId="0F734959" w14:textId="77777777" w:rsidR="00EF5EDB" w:rsidRPr="00EF5EDB" w:rsidRDefault="00EF5EDB" w:rsidP="00EF5EDB">
            <w:pPr>
              <w:numPr>
                <w:ilvl w:val="0"/>
                <w:numId w:val="1"/>
              </w:numPr>
              <w:ind w:left="340"/>
              <w:contextualSpacing/>
              <w:rPr>
                <w:rFonts w:ascii="Avenir Next LT Pro" w:eastAsia="Aptos" w:hAnsi="Avenir Next LT Pro" w:cs="Arial"/>
                <w:sz w:val="22"/>
              </w:rPr>
            </w:pPr>
            <w:r w:rsidRPr="00EF5EDB">
              <w:rPr>
                <w:rFonts w:ascii="Avenir Next LT Pro" w:eastAsia="Aptos" w:hAnsi="Avenir Next LT Pro" w:cs="Arial"/>
                <w:sz w:val="22"/>
              </w:rPr>
              <w:t xml:space="preserve">IP assets </w:t>
            </w:r>
            <w:proofErr w:type="gramStart"/>
            <w:r w:rsidRPr="00EF5EDB">
              <w:rPr>
                <w:rFonts w:ascii="Avenir Next LT Pro" w:eastAsia="Aptos" w:hAnsi="Avenir Next LT Pro" w:cs="Arial"/>
                <w:sz w:val="22"/>
              </w:rPr>
              <w:t>identified</w:t>
            </w:r>
            <w:proofErr w:type="gramEnd"/>
            <w:r w:rsidRPr="00EF5EDB">
              <w:rPr>
                <w:rFonts w:ascii="Avenir Next LT Pro" w:eastAsia="Aptos" w:hAnsi="Avenir Next LT Pro" w:cs="Arial"/>
                <w:sz w:val="22"/>
              </w:rPr>
              <w:t xml:space="preserve"> and categorized. IP risk assessment and patent filing timeline completed. Process to secure legal protection along with IP strategy and management planning established</w:t>
            </w:r>
          </w:p>
          <w:p w14:paraId="54D1842B" w14:textId="77777777" w:rsidR="00EF5EDB" w:rsidRPr="00EF5EDB" w:rsidRDefault="00EF5EDB" w:rsidP="00EF5EDB">
            <w:pPr>
              <w:numPr>
                <w:ilvl w:val="0"/>
                <w:numId w:val="1"/>
              </w:numPr>
              <w:ind w:left="340"/>
              <w:contextualSpacing/>
              <w:rPr>
                <w:rFonts w:ascii="Avenir Next LT Pro" w:eastAsia="Aptos" w:hAnsi="Avenir Next LT Pro" w:cs="Arial"/>
                <w:sz w:val="22"/>
              </w:rPr>
            </w:pPr>
            <w:r w:rsidRPr="00EF5EDB">
              <w:rPr>
                <w:rFonts w:ascii="Avenir Next LT Pro" w:eastAsia="Aptos" w:hAnsi="Avenir Next LT Pro" w:cs="Arial"/>
                <w:sz w:val="22"/>
              </w:rPr>
              <w:t>Open-source requirements and/or licensing model between TA 1 and 2 performers determined</w:t>
            </w:r>
          </w:p>
        </w:tc>
      </w:tr>
      <w:tr w:rsidR="00EF5EDB" w:rsidRPr="00EF5EDB" w14:paraId="6600DA4E" w14:textId="77777777" w:rsidTr="607EBF3D">
        <w:trPr>
          <w:trHeight w:val="300"/>
        </w:trPr>
        <w:tc>
          <w:tcPr>
            <w:tcW w:w="1799" w:type="dxa"/>
            <w:tcMar>
              <w:left w:w="105" w:type="dxa"/>
              <w:right w:w="105" w:type="dxa"/>
            </w:tcMar>
            <w:vAlign w:val="center"/>
          </w:tcPr>
          <w:p w14:paraId="112EC3EE"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Regulatory</w:t>
            </w:r>
          </w:p>
        </w:tc>
        <w:tc>
          <w:tcPr>
            <w:tcW w:w="7561" w:type="dxa"/>
            <w:tcMar>
              <w:left w:w="105" w:type="dxa"/>
              <w:right w:w="105" w:type="dxa"/>
            </w:tcMar>
            <w:vAlign w:val="center"/>
          </w:tcPr>
          <w:p w14:paraId="4A1F40DA" w14:textId="77777777" w:rsidR="00EF5EDB" w:rsidRPr="00EF5EDB" w:rsidRDefault="00EF5EDB" w:rsidP="00EF5EDB">
            <w:pPr>
              <w:numPr>
                <w:ilvl w:val="0"/>
                <w:numId w:val="2"/>
              </w:numPr>
              <w:ind w:left="340"/>
              <w:contextualSpacing/>
              <w:rPr>
                <w:rFonts w:ascii="Avenir Next LT Pro" w:eastAsia="Aptos" w:hAnsi="Avenir Next LT Pro" w:cs="Arial"/>
                <w:sz w:val="22"/>
              </w:rPr>
            </w:pPr>
            <w:r w:rsidRPr="00EF5EDB">
              <w:rPr>
                <w:rFonts w:ascii="Avenir Next LT Pro" w:eastAsia="Aptos" w:hAnsi="Avenir Next LT Pro" w:cs="Arial"/>
                <w:sz w:val="22"/>
              </w:rPr>
              <w:t>Regulatory roadmap to include intended use(s), certification process, safety and efficacy data needs, and clinical endpoint requirements provided.</w:t>
            </w:r>
          </w:p>
          <w:p w14:paraId="2C07B84C" w14:textId="77777777" w:rsidR="00EF5EDB" w:rsidRPr="00EF5EDB" w:rsidRDefault="00EF5EDB" w:rsidP="00EF5EDB">
            <w:pPr>
              <w:numPr>
                <w:ilvl w:val="0"/>
                <w:numId w:val="2"/>
              </w:numPr>
              <w:ind w:left="340"/>
              <w:contextualSpacing/>
              <w:rPr>
                <w:rFonts w:ascii="Avenir Next LT Pro" w:eastAsia="Aptos" w:hAnsi="Avenir Next LT Pro" w:cs="Arial"/>
                <w:sz w:val="22"/>
              </w:rPr>
            </w:pPr>
            <w:r w:rsidRPr="00EF5EDB">
              <w:rPr>
                <w:rFonts w:ascii="Avenir Next LT Pro" w:eastAsia="Aptos" w:hAnsi="Avenir Next LT Pro" w:cs="Arial"/>
                <w:sz w:val="22"/>
              </w:rPr>
              <w:t>TA 1 performers to hold 513g meetings with FDA</w:t>
            </w:r>
          </w:p>
          <w:p w14:paraId="3F3611ED" w14:textId="77777777" w:rsidR="00EF5EDB" w:rsidRPr="00EF5EDB" w:rsidRDefault="00EF5EDB" w:rsidP="607EBF3D">
            <w:pPr>
              <w:numPr>
                <w:ilvl w:val="0"/>
                <w:numId w:val="2"/>
              </w:numPr>
              <w:ind w:left="340"/>
              <w:contextualSpacing/>
              <w:rPr>
                <w:rFonts w:ascii="Avenir Next LT Pro" w:eastAsia="Aptos" w:hAnsi="Avenir Next LT Pro" w:cs="Arial"/>
                <w:sz w:val="22"/>
                <w:szCs w:val="22"/>
              </w:rPr>
            </w:pPr>
            <w:r w:rsidRPr="607EBF3D">
              <w:rPr>
                <w:rFonts w:ascii="Avenir Next LT Pro" w:eastAsia="Aptos" w:hAnsi="Avenir Next LT Pro" w:cs="Arial"/>
                <w:sz w:val="22"/>
                <w:szCs w:val="22"/>
              </w:rPr>
              <w:t xml:space="preserve">TA 2 performers to meet with FDA Medical Device Development Tools (MDDT) team </w:t>
            </w:r>
          </w:p>
          <w:p w14:paraId="185A9488" w14:textId="77777777" w:rsidR="00EF5EDB" w:rsidRPr="00EF5EDB" w:rsidRDefault="00EF5EDB" w:rsidP="607EBF3D">
            <w:pPr>
              <w:numPr>
                <w:ilvl w:val="0"/>
                <w:numId w:val="2"/>
              </w:numPr>
              <w:ind w:left="340"/>
              <w:contextualSpacing/>
              <w:rPr>
                <w:rFonts w:ascii="Avenir Next LT Pro" w:eastAsia="Aptos" w:hAnsi="Avenir Next LT Pro" w:cs="Arial"/>
                <w:sz w:val="22"/>
                <w:szCs w:val="22"/>
              </w:rPr>
            </w:pPr>
            <w:r w:rsidRPr="607EBF3D">
              <w:rPr>
                <w:rFonts w:ascii="Avenir Next LT Pro" w:eastAsia="Aptos" w:hAnsi="Avenir Next LT Pro" w:cs="Arial"/>
                <w:sz w:val="22"/>
                <w:szCs w:val="22"/>
              </w:rPr>
              <w:t>Submit plan for FDA Investigational Device Exemption (IDE) studies</w:t>
            </w:r>
          </w:p>
        </w:tc>
      </w:tr>
      <w:tr w:rsidR="00EF5EDB" w:rsidRPr="00EF5EDB" w14:paraId="1691FBDF" w14:textId="77777777" w:rsidTr="607EBF3D">
        <w:trPr>
          <w:trHeight w:val="300"/>
        </w:trPr>
        <w:tc>
          <w:tcPr>
            <w:tcW w:w="1799" w:type="dxa"/>
            <w:tcMar>
              <w:left w:w="105" w:type="dxa"/>
              <w:right w:w="105" w:type="dxa"/>
            </w:tcMar>
            <w:vAlign w:val="center"/>
          </w:tcPr>
          <w:p w14:paraId="49C3C551"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Exit Plan</w:t>
            </w:r>
          </w:p>
        </w:tc>
        <w:tc>
          <w:tcPr>
            <w:tcW w:w="7561" w:type="dxa"/>
            <w:tcMar>
              <w:left w:w="105" w:type="dxa"/>
              <w:right w:w="105" w:type="dxa"/>
            </w:tcMar>
            <w:vAlign w:val="center"/>
          </w:tcPr>
          <w:p w14:paraId="76758C3D" w14:textId="77777777" w:rsidR="00EF5EDB" w:rsidRPr="00EF5EDB" w:rsidRDefault="00EF5EDB" w:rsidP="00EF5EDB">
            <w:pPr>
              <w:numPr>
                <w:ilvl w:val="0"/>
                <w:numId w:val="2"/>
              </w:numPr>
              <w:ind w:left="340"/>
              <w:contextualSpacing/>
              <w:rPr>
                <w:rFonts w:ascii="Avenir Next LT Pro" w:eastAsia="Aptos" w:hAnsi="Avenir Next LT Pro" w:cs="Arial"/>
                <w:sz w:val="22"/>
              </w:rPr>
            </w:pPr>
            <w:r w:rsidRPr="00EF5EDB">
              <w:rPr>
                <w:rFonts w:ascii="Avenir Next LT Pro" w:eastAsia="Aptos" w:hAnsi="Avenir Next LT Pro" w:cs="Arial"/>
                <w:sz w:val="22"/>
              </w:rPr>
              <w:t>Investor strategy provided to include engagement with investor community and strategic discussions to optimize for downstream funding</w:t>
            </w:r>
          </w:p>
        </w:tc>
      </w:tr>
      <w:tr w:rsidR="00EF5EDB" w:rsidRPr="00EF5EDB" w14:paraId="285A834B" w14:textId="77777777" w:rsidTr="607EBF3D">
        <w:trPr>
          <w:trHeight w:val="300"/>
        </w:trPr>
        <w:tc>
          <w:tcPr>
            <w:tcW w:w="1799" w:type="dxa"/>
            <w:shd w:val="clear" w:color="auto" w:fill="D1D1D1" w:themeFill="background2" w:themeFillShade="E6"/>
            <w:tcMar>
              <w:left w:w="105" w:type="dxa"/>
              <w:right w:w="105" w:type="dxa"/>
            </w:tcMar>
            <w:vAlign w:val="center"/>
          </w:tcPr>
          <w:p w14:paraId="7978494A" w14:textId="77777777" w:rsidR="00EF5EDB" w:rsidRPr="00EF5EDB" w:rsidRDefault="00EF5EDB" w:rsidP="00EF5EDB">
            <w:pPr>
              <w:rPr>
                <w:rFonts w:ascii="Avenir Next LT Pro" w:eastAsia="Aptos" w:hAnsi="Avenir Next LT Pro" w:cs="Arial"/>
                <w:b/>
                <w:color w:val="0070C0"/>
                <w:sz w:val="28"/>
              </w:rPr>
            </w:pPr>
            <w:r w:rsidRPr="00EF5EDB">
              <w:rPr>
                <w:rFonts w:ascii="Avenir Next LT Pro" w:eastAsia="Aptos" w:hAnsi="Avenir Next LT Pro" w:cs="Arial"/>
                <w:b/>
                <w:sz w:val="28"/>
              </w:rPr>
              <w:t>FY27</w:t>
            </w:r>
          </w:p>
        </w:tc>
        <w:tc>
          <w:tcPr>
            <w:tcW w:w="7561" w:type="dxa"/>
            <w:shd w:val="clear" w:color="auto" w:fill="D1D1D1" w:themeFill="background2" w:themeFillShade="E6"/>
            <w:tcMar>
              <w:left w:w="105" w:type="dxa"/>
              <w:right w:w="105" w:type="dxa"/>
            </w:tcMar>
            <w:vAlign w:val="center"/>
          </w:tcPr>
          <w:p w14:paraId="16A08D54" w14:textId="703EBAA2" w:rsidR="00EF5EDB" w:rsidRPr="00EF5EDB" w:rsidRDefault="00EF5EDB" w:rsidP="00EF5EDB">
            <w:pPr>
              <w:ind w:left="340" w:hanging="792"/>
              <w:rPr>
                <w:rFonts w:ascii="Avenir Next LT Pro" w:eastAsia="Aptos" w:hAnsi="Avenir Next LT Pro" w:cs="Arial"/>
                <w:b/>
                <w:sz w:val="28"/>
              </w:rPr>
            </w:pPr>
            <w:r w:rsidRPr="00EF5EDB">
              <w:rPr>
                <w:rFonts w:ascii="Avenir Next LT Pro" w:eastAsia="Aptos" w:hAnsi="Avenir Next LT Pro" w:cs="Arial"/>
                <w:b/>
                <w:sz w:val="28"/>
              </w:rPr>
              <w:t>Ph</w:t>
            </w:r>
            <w:r w:rsidR="004F2183">
              <w:rPr>
                <w:rFonts w:ascii="Avenir Next LT Pro" w:eastAsia="Aptos" w:hAnsi="Avenir Next LT Pro" w:cs="Arial"/>
                <w:b/>
                <w:sz w:val="28"/>
              </w:rPr>
              <w:t xml:space="preserve"> </w:t>
            </w:r>
            <w:r w:rsidRPr="00EF5EDB">
              <w:rPr>
                <w:rFonts w:ascii="Avenir Next LT Pro" w:eastAsia="Aptos" w:hAnsi="Avenir Next LT Pro" w:cs="Arial"/>
                <w:b/>
                <w:sz w:val="28"/>
              </w:rPr>
              <w:t>Phase 1B</w:t>
            </w:r>
          </w:p>
        </w:tc>
      </w:tr>
      <w:tr w:rsidR="00EF5EDB" w:rsidRPr="00EF5EDB" w14:paraId="4630CF8A" w14:textId="77777777" w:rsidTr="607EBF3D">
        <w:trPr>
          <w:trHeight w:val="300"/>
        </w:trPr>
        <w:tc>
          <w:tcPr>
            <w:tcW w:w="1799" w:type="dxa"/>
            <w:tcMar>
              <w:left w:w="105" w:type="dxa"/>
              <w:right w:w="105" w:type="dxa"/>
            </w:tcMar>
            <w:vAlign w:val="center"/>
          </w:tcPr>
          <w:p w14:paraId="336B9B6E"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lastRenderedPageBreak/>
              <w:t>End User/Market</w:t>
            </w:r>
          </w:p>
        </w:tc>
        <w:tc>
          <w:tcPr>
            <w:tcW w:w="7561" w:type="dxa"/>
            <w:tcMar>
              <w:left w:w="105" w:type="dxa"/>
              <w:right w:w="105" w:type="dxa"/>
            </w:tcMar>
            <w:vAlign w:val="center"/>
          </w:tcPr>
          <w:p w14:paraId="423693DE" w14:textId="77777777" w:rsidR="00EF5EDB" w:rsidRPr="00EF5EDB" w:rsidRDefault="00EF5EDB" w:rsidP="00EF5EDB">
            <w:pPr>
              <w:numPr>
                <w:ilvl w:val="0"/>
                <w:numId w:val="2"/>
              </w:numPr>
              <w:ind w:left="340"/>
              <w:contextualSpacing/>
              <w:rPr>
                <w:rFonts w:ascii="Avenir Next LT Pro" w:eastAsia="Aptos" w:hAnsi="Avenir Next LT Pro" w:cs="Arial"/>
                <w:sz w:val="22"/>
              </w:rPr>
            </w:pPr>
            <w:r w:rsidRPr="00EF5EDB">
              <w:rPr>
                <w:rFonts w:ascii="Avenir Next LT Pro" w:eastAsia="Aptos" w:hAnsi="Avenir Next LT Pro" w:cs="Arial"/>
                <w:sz w:val="22"/>
              </w:rPr>
              <w:t>UI/UX testing plan for pilot deployment prepared</w:t>
            </w:r>
          </w:p>
          <w:p w14:paraId="42D37B5F" w14:textId="77777777" w:rsidR="00EF5EDB" w:rsidRPr="00EF5EDB" w:rsidRDefault="00EF5EDB" w:rsidP="607EBF3D">
            <w:pPr>
              <w:numPr>
                <w:ilvl w:val="0"/>
                <w:numId w:val="2"/>
              </w:numPr>
              <w:ind w:left="340"/>
              <w:contextualSpacing/>
              <w:rPr>
                <w:rFonts w:ascii="Avenir Next LT Pro" w:eastAsia="Aptos" w:hAnsi="Avenir Next LT Pro" w:cs="Arial"/>
                <w:sz w:val="22"/>
                <w:szCs w:val="22"/>
              </w:rPr>
            </w:pPr>
            <w:r w:rsidRPr="607EBF3D">
              <w:rPr>
                <w:rFonts w:ascii="Avenir Next LT Pro" w:eastAsia="Aptos" w:hAnsi="Avenir Next LT Pro" w:cs="Arial"/>
                <w:sz w:val="22"/>
                <w:szCs w:val="22"/>
              </w:rPr>
              <w:t>Initial Go-To-Market (GTM) planning and strategy mapping established</w:t>
            </w:r>
          </w:p>
        </w:tc>
      </w:tr>
      <w:tr w:rsidR="00EF5EDB" w:rsidRPr="00EF5EDB" w14:paraId="5B3F0D5B" w14:textId="77777777" w:rsidTr="607EBF3D">
        <w:trPr>
          <w:trHeight w:val="300"/>
        </w:trPr>
        <w:tc>
          <w:tcPr>
            <w:tcW w:w="1799" w:type="dxa"/>
            <w:tcMar>
              <w:left w:w="105" w:type="dxa"/>
              <w:right w:w="105" w:type="dxa"/>
            </w:tcMar>
            <w:vAlign w:val="center"/>
          </w:tcPr>
          <w:p w14:paraId="5996CDC7"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Business Model</w:t>
            </w:r>
          </w:p>
        </w:tc>
        <w:tc>
          <w:tcPr>
            <w:tcW w:w="7561" w:type="dxa"/>
            <w:tcMar>
              <w:left w:w="105" w:type="dxa"/>
              <w:right w:w="105" w:type="dxa"/>
            </w:tcMar>
            <w:vAlign w:val="center"/>
          </w:tcPr>
          <w:p w14:paraId="096133AC" w14:textId="77777777" w:rsidR="00EF5EDB" w:rsidRPr="00EF5EDB" w:rsidRDefault="00EF5EDB" w:rsidP="00EF5EDB">
            <w:pPr>
              <w:numPr>
                <w:ilvl w:val="0"/>
                <w:numId w:val="4"/>
              </w:numPr>
              <w:ind w:left="340"/>
              <w:contextualSpacing/>
              <w:rPr>
                <w:rFonts w:ascii="Avenir Next LT Pro" w:eastAsia="Aptos" w:hAnsi="Avenir Next LT Pro" w:cs="Arial"/>
                <w:sz w:val="22"/>
              </w:rPr>
            </w:pPr>
            <w:r w:rsidRPr="00EF5EDB">
              <w:rPr>
                <w:rFonts w:ascii="Avenir Next LT Pro" w:eastAsia="Aptos" w:hAnsi="Avenir Next LT Pro" w:cs="Arial"/>
                <w:sz w:val="22"/>
              </w:rPr>
              <w:t>Business model and proposed pricing structure for model, in alignment with strategic partnership conversations established</w:t>
            </w:r>
          </w:p>
          <w:p w14:paraId="710801EE" w14:textId="77777777" w:rsidR="00EF5EDB" w:rsidRPr="00EF5EDB" w:rsidRDefault="00EF5EDB" w:rsidP="00EF5EDB">
            <w:pPr>
              <w:numPr>
                <w:ilvl w:val="0"/>
                <w:numId w:val="4"/>
              </w:numPr>
              <w:ind w:left="340"/>
              <w:contextualSpacing/>
              <w:rPr>
                <w:rFonts w:ascii="Avenir Next LT Pro" w:eastAsia="Aptos" w:hAnsi="Avenir Next LT Pro" w:cs="Arial"/>
                <w:sz w:val="22"/>
              </w:rPr>
            </w:pPr>
            <w:r w:rsidRPr="00EF5EDB">
              <w:rPr>
                <w:rFonts w:ascii="Avenir Next LT Pro" w:eastAsia="Aptos" w:hAnsi="Avenir Next LT Pro" w:cs="Arial"/>
                <w:sz w:val="22"/>
              </w:rPr>
              <w:t>Standard business associate agreements prepared to address privacy and security</w:t>
            </w:r>
          </w:p>
        </w:tc>
      </w:tr>
      <w:tr w:rsidR="00EF5EDB" w:rsidRPr="00EF5EDB" w14:paraId="0E716B3A" w14:textId="77777777" w:rsidTr="607EBF3D">
        <w:trPr>
          <w:trHeight w:val="300"/>
        </w:trPr>
        <w:tc>
          <w:tcPr>
            <w:tcW w:w="1799" w:type="dxa"/>
            <w:tcMar>
              <w:left w:w="105" w:type="dxa"/>
              <w:right w:w="105" w:type="dxa"/>
            </w:tcMar>
            <w:vAlign w:val="center"/>
          </w:tcPr>
          <w:p w14:paraId="1CF04CAE"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 xml:space="preserve">IP </w:t>
            </w:r>
          </w:p>
        </w:tc>
        <w:tc>
          <w:tcPr>
            <w:tcW w:w="7561" w:type="dxa"/>
            <w:tcMar>
              <w:left w:w="105" w:type="dxa"/>
              <w:right w:w="105" w:type="dxa"/>
            </w:tcMar>
            <w:vAlign w:val="center"/>
          </w:tcPr>
          <w:p w14:paraId="49BA62E9" w14:textId="77777777" w:rsidR="00EF5EDB" w:rsidRPr="00EF5EDB" w:rsidRDefault="00EF5EDB" w:rsidP="00EF5EDB">
            <w:pPr>
              <w:numPr>
                <w:ilvl w:val="0"/>
                <w:numId w:val="4"/>
              </w:numPr>
              <w:ind w:left="340"/>
              <w:contextualSpacing/>
              <w:rPr>
                <w:rFonts w:ascii="Avenir Next LT Pro" w:eastAsia="Aptos" w:hAnsi="Avenir Next LT Pro" w:cs="Arial"/>
                <w:sz w:val="22"/>
              </w:rPr>
            </w:pPr>
            <w:r w:rsidRPr="00EF5EDB">
              <w:rPr>
                <w:rFonts w:ascii="Avenir Next LT Pro" w:eastAsia="Aptos" w:hAnsi="Avenir Next LT Pro" w:cs="Arial"/>
                <w:sz w:val="22"/>
              </w:rPr>
              <w:t>Inter-performer IP arrangements required finalized</w:t>
            </w:r>
          </w:p>
        </w:tc>
      </w:tr>
      <w:tr w:rsidR="00EF5EDB" w:rsidRPr="00EF5EDB" w14:paraId="1C355AAA" w14:textId="77777777" w:rsidTr="607EBF3D">
        <w:trPr>
          <w:trHeight w:val="300"/>
        </w:trPr>
        <w:tc>
          <w:tcPr>
            <w:tcW w:w="1799" w:type="dxa"/>
            <w:tcMar>
              <w:left w:w="105" w:type="dxa"/>
              <w:right w:w="105" w:type="dxa"/>
            </w:tcMar>
            <w:vAlign w:val="center"/>
          </w:tcPr>
          <w:p w14:paraId="302B36BC"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Regulatory</w:t>
            </w:r>
          </w:p>
        </w:tc>
        <w:tc>
          <w:tcPr>
            <w:tcW w:w="7561" w:type="dxa"/>
            <w:tcMar>
              <w:left w:w="105" w:type="dxa"/>
              <w:right w:w="105" w:type="dxa"/>
            </w:tcMar>
            <w:vAlign w:val="center"/>
          </w:tcPr>
          <w:p w14:paraId="04DF99A6" w14:textId="77777777" w:rsidR="00EF5EDB" w:rsidRPr="00EF5EDB" w:rsidRDefault="00EF5EDB" w:rsidP="00EF5EDB">
            <w:pPr>
              <w:numPr>
                <w:ilvl w:val="0"/>
                <w:numId w:val="4"/>
              </w:numPr>
              <w:ind w:left="340"/>
              <w:contextualSpacing/>
              <w:rPr>
                <w:rFonts w:ascii="Avenir Next LT Pro" w:eastAsia="Aptos" w:hAnsi="Avenir Next LT Pro" w:cs="Arial"/>
                <w:sz w:val="22"/>
              </w:rPr>
            </w:pPr>
            <w:r w:rsidRPr="00EF5EDB">
              <w:rPr>
                <w:rFonts w:ascii="Avenir Next LT Pro" w:eastAsia="Aptos" w:hAnsi="Avenir Next LT Pro" w:cs="Arial"/>
                <w:sz w:val="22"/>
              </w:rPr>
              <w:t xml:space="preserve">Submit plan with TA 3 systems for scalability study </w:t>
            </w:r>
          </w:p>
          <w:p w14:paraId="1116367F" w14:textId="77777777" w:rsidR="00EF5EDB" w:rsidRPr="00EF5EDB" w:rsidRDefault="00EF5EDB" w:rsidP="00EF5EDB">
            <w:pPr>
              <w:numPr>
                <w:ilvl w:val="0"/>
                <w:numId w:val="4"/>
              </w:numPr>
              <w:ind w:left="340"/>
              <w:contextualSpacing/>
              <w:rPr>
                <w:rFonts w:ascii="Avenir Next LT Pro" w:eastAsia="Aptos" w:hAnsi="Avenir Next LT Pro" w:cs="Arial"/>
                <w:sz w:val="22"/>
              </w:rPr>
            </w:pPr>
            <w:r w:rsidRPr="00EF5EDB">
              <w:rPr>
                <w:rFonts w:ascii="Avenir Next LT Pro" w:eastAsia="Aptos" w:hAnsi="Avenir Next LT Pro" w:cs="Arial"/>
                <w:sz w:val="22"/>
              </w:rPr>
              <w:t>Begin FDA IDE studies for TA 1</w:t>
            </w:r>
          </w:p>
        </w:tc>
      </w:tr>
      <w:tr w:rsidR="00EF5EDB" w:rsidRPr="00EF5EDB" w14:paraId="77CE0681" w14:textId="77777777" w:rsidTr="607EBF3D">
        <w:trPr>
          <w:trHeight w:val="300"/>
        </w:trPr>
        <w:tc>
          <w:tcPr>
            <w:tcW w:w="1799" w:type="dxa"/>
            <w:tcMar>
              <w:left w:w="105" w:type="dxa"/>
              <w:right w:w="105" w:type="dxa"/>
            </w:tcMar>
            <w:vAlign w:val="center"/>
          </w:tcPr>
          <w:p w14:paraId="45E3EBE5"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Exit Plan</w:t>
            </w:r>
          </w:p>
        </w:tc>
        <w:tc>
          <w:tcPr>
            <w:tcW w:w="7561" w:type="dxa"/>
            <w:tcMar>
              <w:left w:w="105" w:type="dxa"/>
              <w:right w:w="105" w:type="dxa"/>
            </w:tcMar>
            <w:vAlign w:val="center"/>
          </w:tcPr>
          <w:p w14:paraId="53DD9C9D" w14:textId="77777777" w:rsidR="00EF5EDB" w:rsidRPr="00EF5EDB" w:rsidRDefault="00EF5EDB" w:rsidP="00EF5EDB">
            <w:pPr>
              <w:numPr>
                <w:ilvl w:val="0"/>
                <w:numId w:val="4"/>
              </w:numPr>
              <w:ind w:left="340"/>
              <w:contextualSpacing/>
              <w:rPr>
                <w:rFonts w:ascii="Avenir Next LT Pro" w:eastAsia="Aptos" w:hAnsi="Avenir Next LT Pro" w:cs="Arial"/>
                <w:sz w:val="22"/>
              </w:rPr>
            </w:pPr>
            <w:r w:rsidRPr="00EF5EDB">
              <w:rPr>
                <w:rFonts w:ascii="Avenir Next LT Pro" w:eastAsia="Aptos" w:hAnsi="Avenir Next LT Pro" w:cs="Arial"/>
                <w:sz w:val="22"/>
              </w:rPr>
              <w:t xml:space="preserve">Updated strategic investor engagement plan provided </w:t>
            </w:r>
          </w:p>
        </w:tc>
      </w:tr>
      <w:tr w:rsidR="00EF5EDB" w:rsidRPr="00EF5EDB" w14:paraId="2B8EBA9D" w14:textId="77777777" w:rsidTr="607EBF3D">
        <w:trPr>
          <w:trHeight w:val="300"/>
        </w:trPr>
        <w:tc>
          <w:tcPr>
            <w:tcW w:w="1799" w:type="dxa"/>
            <w:shd w:val="clear" w:color="auto" w:fill="D1D1D1" w:themeFill="background2" w:themeFillShade="E6"/>
            <w:tcMar>
              <w:left w:w="105" w:type="dxa"/>
              <w:right w:w="105" w:type="dxa"/>
            </w:tcMar>
            <w:vAlign w:val="center"/>
          </w:tcPr>
          <w:p w14:paraId="35DC6A0A" w14:textId="77777777" w:rsidR="00EF5EDB" w:rsidRPr="00EF5EDB" w:rsidRDefault="00EF5EDB" w:rsidP="00EF5EDB">
            <w:pPr>
              <w:rPr>
                <w:rFonts w:ascii="Avenir Next LT Pro" w:eastAsia="Aptos" w:hAnsi="Avenir Next LT Pro" w:cs="Arial"/>
                <w:b/>
                <w:color w:val="000000"/>
                <w:sz w:val="28"/>
              </w:rPr>
            </w:pPr>
            <w:r w:rsidRPr="00EF5EDB">
              <w:rPr>
                <w:rFonts w:ascii="Avenir Next LT Pro" w:eastAsia="Aptos" w:hAnsi="Avenir Next LT Pro" w:cs="Arial"/>
                <w:b/>
                <w:color w:val="000000"/>
                <w:sz w:val="28"/>
              </w:rPr>
              <w:t>FY28-29</w:t>
            </w:r>
          </w:p>
        </w:tc>
        <w:tc>
          <w:tcPr>
            <w:tcW w:w="7561" w:type="dxa"/>
            <w:shd w:val="clear" w:color="auto" w:fill="D1D1D1" w:themeFill="background2" w:themeFillShade="E6"/>
            <w:tcMar>
              <w:left w:w="105" w:type="dxa"/>
              <w:right w:w="105" w:type="dxa"/>
            </w:tcMar>
            <w:vAlign w:val="center"/>
          </w:tcPr>
          <w:p w14:paraId="63DCE01E" w14:textId="77777777" w:rsidR="00EF5EDB" w:rsidRPr="00EF5EDB" w:rsidRDefault="00EF5EDB" w:rsidP="00EF5EDB">
            <w:pPr>
              <w:ind w:left="792" w:hanging="792"/>
              <w:rPr>
                <w:rFonts w:ascii="Avenir Next LT Pro" w:eastAsia="Aptos" w:hAnsi="Avenir Next LT Pro" w:cs="Arial"/>
                <w:b/>
                <w:color w:val="000000"/>
                <w:sz w:val="28"/>
              </w:rPr>
            </w:pPr>
            <w:r w:rsidRPr="00EF5EDB">
              <w:rPr>
                <w:rFonts w:ascii="Avenir Next LT Pro" w:eastAsia="Aptos" w:hAnsi="Avenir Next LT Pro" w:cs="Arial"/>
                <w:b/>
                <w:color w:val="000000"/>
                <w:sz w:val="28"/>
              </w:rPr>
              <w:t>Phase 2</w:t>
            </w:r>
          </w:p>
        </w:tc>
      </w:tr>
      <w:tr w:rsidR="00EF5EDB" w:rsidRPr="00EF5EDB" w14:paraId="70023439" w14:textId="77777777" w:rsidTr="607EBF3D">
        <w:trPr>
          <w:trHeight w:val="300"/>
        </w:trPr>
        <w:tc>
          <w:tcPr>
            <w:tcW w:w="1799" w:type="dxa"/>
            <w:tcMar>
              <w:left w:w="105" w:type="dxa"/>
              <w:right w:w="105" w:type="dxa"/>
            </w:tcMar>
            <w:vAlign w:val="center"/>
          </w:tcPr>
          <w:p w14:paraId="1D99D91A"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End User/Market</w:t>
            </w:r>
          </w:p>
        </w:tc>
        <w:tc>
          <w:tcPr>
            <w:tcW w:w="7561" w:type="dxa"/>
            <w:tcMar>
              <w:left w:w="105" w:type="dxa"/>
              <w:right w:w="105" w:type="dxa"/>
            </w:tcMar>
            <w:vAlign w:val="center"/>
          </w:tcPr>
          <w:p w14:paraId="322A7989" w14:textId="77777777" w:rsidR="00EF5EDB" w:rsidRPr="00EF5EDB" w:rsidRDefault="00EF5EDB" w:rsidP="00EF5EDB">
            <w:pPr>
              <w:numPr>
                <w:ilvl w:val="0"/>
                <w:numId w:val="4"/>
              </w:numPr>
              <w:pBdr>
                <w:top w:val="nil"/>
                <w:left w:val="nil"/>
                <w:bottom w:val="nil"/>
                <w:right w:val="nil"/>
                <w:between w:val="nil"/>
              </w:pBdr>
              <w:ind w:left="340"/>
              <w:contextualSpacing/>
              <w:rPr>
                <w:rFonts w:ascii="Avenir Next LT Pro" w:eastAsia="Aptos" w:hAnsi="Avenir Next LT Pro" w:cs="Arial"/>
              </w:rPr>
            </w:pPr>
            <w:r w:rsidRPr="00EF5EDB">
              <w:rPr>
                <w:rFonts w:ascii="Avenir Next LT Pro" w:eastAsia="Aptos" w:hAnsi="Avenir Next LT Pro" w:cs="Arial"/>
              </w:rPr>
              <w:t>UI/UX testing report based on feedback received in Phase 1A/B completed</w:t>
            </w:r>
          </w:p>
          <w:p w14:paraId="2285545D" w14:textId="77777777" w:rsidR="00EF5EDB" w:rsidRPr="00EF5EDB" w:rsidRDefault="00EF5EDB" w:rsidP="00EF5EDB">
            <w:pPr>
              <w:numPr>
                <w:ilvl w:val="0"/>
                <w:numId w:val="4"/>
              </w:numPr>
              <w:pBdr>
                <w:top w:val="nil"/>
                <w:left w:val="nil"/>
                <w:bottom w:val="nil"/>
                <w:right w:val="nil"/>
                <w:between w:val="nil"/>
              </w:pBdr>
              <w:ind w:left="340"/>
              <w:contextualSpacing/>
              <w:rPr>
                <w:rFonts w:ascii="Avenir Next LT Pro" w:eastAsia="Aptos" w:hAnsi="Avenir Next LT Pro" w:cs="Arial"/>
                <w:color w:val="000000"/>
              </w:rPr>
            </w:pPr>
            <w:r w:rsidRPr="00EF5EDB">
              <w:rPr>
                <w:rFonts w:ascii="Avenir Next LT Pro" w:eastAsia="Aptos" w:hAnsi="Avenir Next LT Pro" w:cs="Arial"/>
              </w:rPr>
              <w:t>Scalability study executed with strategic partners (TA3, other)</w:t>
            </w:r>
          </w:p>
        </w:tc>
      </w:tr>
      <w:tr w:rsidR="00EF5EDB" w:rsidRPr="00EF5EDB" w14:paraId="2ABA4647" w14:textId="77777777" w:rsidTr="607EBF3D">
        <w:trPr>
          <w:trHeight w:val="300"/>
        </w:trPr>
        <w:tc>
          <w:tcPr>
            <w:tcW w:w="1799" w:type="dxa"/>
            <w:tcMar>
              <w:left w:w="105" w:type="dxa"/>
              <w:right w:w="105" w:type="dxa"/>
            </w:tcMar>
            <w:vAlign w:val="center"/>
          </w:tcPr>
          <w:p w14:paraId="1F9A50A4"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Business Model</w:t>
            </w:r>
          </w:p>
        </w:tc>
        <w:tc>
          <w:tcPr>
            <w:tcW w:w="7561" w:type="dxa"/>
            <w:tcMar>
              <w:left w:w="105" w:type="dxa"/>
              <w:right w:w="105" w:type="dxa"/>
            </w:tcMar>
            <w:vAlign w:val="center"/>
          </w:tcPr>
          <w:p w14:paraId="7E1466A3" w14:textId="77777777" w:rsidR="00EF5EDB" w:rsidRPr="00EF5EDB" w:rsidRDefault="00EF5EDB" w:rsidP="00EF5EDB">
            <w:pPr>
              <w:numPr>
                <w:ilvl w:val="0"/>
                <w:numId w:val="7"/>
              </w:numPr>
              <w:pBdr>
                <w:top w:val="nil"/>
                <w:left w:val="nil"/>
                <w:bottom w:val="nil"/>
                <w:right w:val="nil"/>
                <w:between w:val="nil"/>
              </w:pBdr>
              <w:ind w:left="340"/>
              <w:contextualSpacing/>
              <w:rPr>
                <w:rFonts w:ascii="Avenir Next LT Pro" w:eastAsia="Aptos" w:hAnsi="Avenir Next LT Pro" w:cs="Arial"/>
                <w:color w:val="000000"/>
              </w:rPr>
            </w:pPr>
            <w:r w:rsidRPr="00EF5EDB">
              <w:rPr>
                <w:rFonts w:ascii="Avenir Next LT Pro" w:eastAsia="Aptos" w:hAnsi="Avenir Next LT Pro" w:cs="Arial"/>
              </w:rPr>
              <w:t>Negotiation of commercial contracts with TA3 health systems or other strategic partners established</w:t>
            </w:r>
          </w:p>
          <w:p w14:paraId="6FB26ADB" w14:textId="77777777" w:rsidR="00EF5EDB" w:rsidRPr="00EF5EDB" w:rsidRDefault="00EF5EDB" w:rsidP="00EF5EDB">
            <w:pPr>
              <w:numPr>
                <w:ilvl w:val="0"/>
                <w:numId w:val="7"/>
              </w:numPr>
              <w:ind w:left="340"/>
              <w:contextualSpacing/>
              <w:rPr>
                <w:rFonts w:ascii="Avenir Next LT Pro" w:eastAsia="Aptos" w:hAnsi="Avenir Next LT Pro" w:cs="Arial"/>
              </w:rPr>
            </w:pPr>
            <w:r w:rsidRPr="00EF5EDB">
              <w:rPr>
                <w:rFonts w:ascii="Avenir Next LT Pro" w:eastAsia="Aptos" w:hAnsi="Avenir Next LT Pro" w:cs="Arial"/>
              </w:rPr>
              <w:t>Finalize r</w:t>
            </w:r>
            <w:r w:rsidRPr="00EF5EDB">
              <w:rPr>
                <w:rFonts w:ascii="Avenir Next LT Pro" w:eastAsia="Aptos" w:hAnsi="Avenir Next LT Pro" w:cs="Arial"/>
                <w:color w:val="000000"/>
              </w:rPr>
              <w:t>eimbursement</w:t>
            </w:r>
            <w:r w:rsidRPr="00EF5EDB">
              <w:rPr>
                <w:rFonts w:ascii="Avenir Next LT Pro" w:eastAsia="Aptos" w:hAnsi="Avenir Next LT Pro" w:cs="Arial"/>
              </w:rPr>
              <w:t>/</w:t>
            </w:r>
            <w:r w:rsidRPr="00EF5EDB">
              <w:rPr>
                <w:rFonts w:ascii="Avenir Next LT Pro" w:eastAsia="Aptos" w:hAnsi="Avenir Next LT Pro" w:cs="Arial"/>
                <w:color w:val="000000"/>
              </w:rPr>
              <w:t xml:space="preserve">coding strategy provided </w:t>
            </w:r>
          </w:p>
        </w:tc>
      </w:tr>
      <w:tr w:rsidR="00EF5EDB" w:rsidRPr="00EF5EDB" w14:paraId="763B07AD" w14:textId="77777777" w:rsidTr="607EBF3D">
        <w:trPr>
          <w:trHeight w:val="300"/>
        </w:trPr>
        <w:tc>
          <w:tcPr>
            <w:tcW w:w="1799" w:type="dxa"/>
            <w:tcMar>
              <w:left w:w="105" w:type="dxa"/>
              <w:right w:w="105" w:type="dxa"/>
            </w:tcMar>
            <w:vAlign w:val="center"/>
          </w:tcPr>
          <w:p w14:paraId="4726C8DD"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Regulatory</w:t>
            </w:r>
          </w:p>
        </w:tc>
        <w:tc>
          <w:tcPr>
            <w:tcW w:w="7561" w:type="dxa"/>
            <w:tcMar>
              <w:left w:w="105" w:type="dxa"/>
              <w:right w:w="105" w:type="dxa"/>
            </w:tcMar>
            <w:vAlign w:val="center"/>
          </w:tcPr>
          <w:p w14:paraId="35F4B388" w14:textId="77777777" w:rsidR="00EF5EDB" w:rsidRPr="00EF5EDB" w:rsidRDefault="00EF5EDB" w:rsidP="00EF5EDB">
            <w:pPr>
              <w:numPr>
                <w:ilvl w:val="0"/>
                <w:numId w:val="8"/>
              </w:numPr>
              <w:ind w:left="340"/>
              <w:contextualSpacing/>
              <w:rPr>
                <w:rFonts w:ascii="Avenir Next LT Pro" w:eastAsia="Aptos" w:hAnsi="Avenir Next LT Pro" w:cs="Arial"/>
              </w:rPr>
            </w:pPr>
            <w:r w:rsidRPr="00EF5EDB">
              <w:rPr>
                <w:rFonts w:ascii="Avenir Next LT Pro" w:eastAsia="Aptos" w:hAnsi="Avenir Next LT Pro" w:cs="Arial"/>
              </w:rPr>
              <w:t>System architecture design specifications and SaMD / IDE documentation provided</w:t>
            </w:r>
          </w:p>
          <w:p w14:paraId="07983BCE" w14:textId="77777777" w:rsidR="00EF5EDB" w:rsidRPr="00EF5EDB" w:rsidRDefault="00EF5EDB" w:rsidP="00EF5EDB">
            <w:pPr>
              <w:numPr>
                <w:ilvl w:val="0"/>
                <w:numId w:val="8"/>
              </w:numPr>
              <w:ind w:left="340"/>
              <w:contextualSpacing/>
              <w:rPr>
                <w:rFonts w:ascii="Avenir Next LT Pro" w:eastAsia="Aptos" w:hAnsi="Avenir Next LT Pro" w:cs="Arial"/>
              </w:rPr>
            </w:pPr>
            <w:r w:rsidRPr="00EF5EDB">
              <w:rPr>
                <w:rFonts w:ascii="Avenir Next LT Pro" w:eastAsia="Aptos" w:hAnsi="Avenir Next LT Pro" w:cs="Arial"/>
              </w:rPr>
              <w:t xml:space="preserve">IDE submission summary results submitted </w:t>
            </w:r>
          </w:p>
        </w:tc>
      </w:tr>
      <w:tr w:rsidR="00EF5EDB" w:rsidRPr="00EF5EDB" w14:paraId="57B57D44" w14:textId="77777777" w:rsidTr="607EBF3D">
        <w:trPr>
          <w:trHeight w:val="300"/>
        </w:trPr>
        <w:tc>
          <w:tcPr>
            <w:tcW w:w="1799" w:type="dxa"/>
            <w:tcMar>
              <w:left w:w="105" w:type="dxa"/>
              <w:right w:w="105" w:type="dxa"/>
            </w:tcMar>
            <w:vAlign w:val="center"/>
          </w:tcPr>
          <w:p w14:paraId="51A280BE"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Exit Plan</w:t>
            </w:r>
          </w:p>
        </w:tc>
        <w:tc>
          <w:tcPr>
            <w:tcW w:w="7561" w:type="dxa"/>
            <w:tcMar>
              <w:left w:w="105" w:type="dxa"/>
              <w:right w:w="105" w:type="dxa"/>
            </w:tcMar>
            <w:vAlign w:val="center"/>
          </w:tcPr>
          <w:p w14:paraId="6231CD77" w14:textId="77777777" w:rsidR="00EF5EDB" w:rsidRPr="00EF5EDB" w:rsidRDefault="00EF5EDB" w:rsidP="00EF5EDB">
            <w:pPr>
              <w:numPr>
                <w:ilvl w:val="0"/>
                <w:numId w:val="9"/>
              </w:numPr>
              <w:pBdr>
                <w:top w:val="nil"/>
                <w:left w:val="nil"/>
                <w:bottom w:val="nil"/>
                <w:right w:val="nil"/>
                <w:between w:val="nil"/>
              </w:pBdr>
              <w:spacing w:line="259" w:lineRule="auto"/>
              <w:ind w:left="340"/>
              <w:rPr>
                <w:rFonts w:ascii="Avenir Next LT Pro" w:eastAsia="Aptos" w:hAnsi="Avenir Next LT Pro" w:cs="Arial"/>
                <w:color w:val="000000"/>
              </w:rPr>
            </w:pPr>
            <w:r w:rsidRPr="00EF5EDB">
              <w:rPr>
                <w:rFonts w:ascii="Avenir Next LT Pro" w:eastAsia="Aptos" w:hAnsi="Avenir Next LT Pro" w:cs="Arial"/>
                <w:color w:val="000000"/>
              </w:rPr>
              <w:t>Ownership summary of all anticipated assets provided</w:t>
            </w:r>
          </w:p>
          <w:p w14:paraId="2BA44345" w14:textId="77777777" w:rsidR="00EF5EDB" w:rsidRPr="00EF5EDB" w:rsidRDefault="00EF5EDB" w:rsidP="00EF5EDB">
            <w:pPr>
              <w:numPr>
                <w:ilvl w:val="0"/>
                <w:numId w:val="9"/>
              </w:numPr>
              <w:ind w:left="340"/>
              <w:contextualSpacing/>
              <w:rPr>
                <w:rFonts w:ascii="Avenir Next LT Pro" w:eastAsia="Aptos" w:hAnsi="Avenir Next LT Pro" w:cs="Arial"/>
              </w:rPr>
            </w:pPr>
            <w:r w:rsidRPr="00EF5EDB">
              <w:rPr>
                <w:rFonts w:ascii="Avenir Next LT Pro" w:eastAsia="Aptos" w:hAnsi="Avenir Next LT Pro" w:cs="Arial"/>
              </w:rPr>
              <w:t>Strategic partnerships are in place to de-risk downstream adoption</w:t>
            </w:r>
          </w:p>
        </w:tc>
      </w:tr>
      <w:tr w:rsidR="00EF5EDB" w:rsidRPr="00EF5EDB" w14:paraId="6EC9A656" w14:textId="77777777" w:rsidTr="607EBF3D">
        <w:trPr>
          <w:trHeight w:val="300"/>
        </w:trPr>
        <w:tc>
          <w:tcPr>
            <w:tcW w:w="1799" w:type="dxa"/>
            <w:shd w:val="clear" w:color="auto" w:fill="D1D1D1" w:themeFill="background2" w:themeFillShade="E6"/>
            <w:tcMar>
              <w:left w:w="105" w:type="dxa"/>
              <w:right w:w="105" w:type="dxa"/>
            </w:tcMar>
            <w:vAlign w:val="center"/>
          </w:tcPr>
          <w:p w14:paraId="68937351" w14:textId="77777777" w:rsidR="00EF5EDB" w:rsidRPr="00EF5EDB" w:rsidRDefault="00EF5EDB" w:rsidP="00EF5EDB">
            <w:pPr>
              <w:rPr>
                <w:rFonts w:ascii="Avenir Next LT Pro" w:eastAsia="Aptos" w:hAnsi="Avenir Next LT Pro" w:cs="Arial"/>
                <w:b/>
                <w:color w:val="0070C0"/>
                <w:sz w:val="28"/>
              </w:rPr>
            </w:pPr>
            <w:r w:rsidRPr="00EF5EDB">
              <w:rPr>
                <w:rFonts w:ascii="Avenir Next LT Pro" w:eastAsia="Aptos" w:hAnsi="Avenir Next LT Pro" w:cs="Arial"/>
                <w:b/>
                <w:sz w:val="28"/>
              </w:rPr>
              <w:t>Final</w:t>
            </w:r>
          </w:p>
        </w:tc>
        <w:tc>
          <w:tcPr>
            <w:tcW w:w="7561" w:type="dxa"/>
            <w:shd w:val="clear" w:color="auto" w:fill="D1D1D1" w:themeFill="background2" w:themeFillShade="E6"/>
            <w:tcMar>
              <w:left w:w="105" w:type="dxa"/>
              <w:right w:w="105" w:type="dxa"/>
            </w:tcMar>
            <w:vAlign w:val="center"/>
          </w:tcPr>
          <w:p w14:paraId="7BBBCD8D" w14:textId="77777777" w:rsidR="00EF5EDB" w:rsidRPr="00EF5EDB" w:rsidRDefault="00EF5EDB" w:rsidP="00EF5EDB">
            <w:pPr>
              <w:ind w:left="792" w:hanging="792"/>
              <w:rPr>
                <w:rFonts w:ascii="Avenir Next LT Pro" w:eastAsia="Aptos" w:hAnsi="Avenir Next LT Pro" w:cs="Arial"/>
                <w:b/>
                <w:sz w:val="28"/>
              </w:rPr>
            </w:pPr>
            <w:r w:rsidRPr="00EF5EDB">
              <w:rPr>
                <w:rFonts w:ascii="Avenir Next LT Pro" w:eastAsia="Aptos" w:hAnsi="Avenir Next LT Pro" w:cs="Arial"/>
                <w:b/>
                <w:sz w:val="28"/>
              </w:rPr>
              <w:t>Final Commercialization Plan / Transition</w:t>
            </w:r>
          </w:p>
        </w:tc>
      </w:tr>
      <w:tr w:rsidR="00EF5EDB" w:rsidRPr="00EF5EDB" w14:paraId="7EF20ACD" w14:textId="77777777" w:rsidTr="607EBF3D">
        <w:trPr>
          <w:trHeight w:val="300"/>
        </w:trPr>
        <w:tc>
          <w:tcPr>
            <w:tcW w:w="1799" w:type="dxa"/>
            <w:tcMar>
              <w:left w:w="105" w:type="dxa"/>
              <w:right w:w="105" w:type="dxa"/>
            </w:tcMar>
            <w:vAlign w:val="center"/>
          </w:tcPr>
          <w:p w14:paraId="48FF24DB"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Product Development</w:t>
            </w:r>
          </w:p>
        </w:tc>
        <w:tc>
          <w:tcPr>
            <w:tcW w:w="7561" w:type="dxa"/>
            <w:tcMar>
              <w:left w:w="105" w:type="dxa"/>
              <w:right w:w="105" w:type="dxa"/>
            </w:tcMar>
            <w:vAlign w:val="center"/>
          </w:tcPr>
          <w:p w14:paraId="7F35C9E2" w14:textId="77777777" w:rsidR="00EF5EDB" w:rsidRPr="00EF5EDB" w:rsidRDefault="00EF5EDB" w:rsidP="00EF5EDB">
            <w:pPr>
              <w:numPr>
                <w:ilvl w:val="0"/>
                <w:numId w:val="5"/>
              </w:numPr>
              <w:pBdr>
                <w:top w:val="nil"/>
                <w:left w:val="nil"/>
                <w:bottom w:val="nil"/>
                <w:right w:val="nil"/>
                <w:between w:val="nil"/>
              </w:pBdr>
              <w:spacing w:line="259" w:lineRule="auto"/>
              <w:ind w:left="340"/>
              <w:rPr>
                <w:rFonts w:ascii="Avenir Next LT Pro" w:eastAsia="Aptos" w:hAnsi="Avenir Next LT Pro" w:cs="Arial"/>
                <w:color w:val="000000"/>
              </w:rPr>
            </w:pPr>
            <w:r w:rsidRPr="00EF5EDB">
              <w:rPr>
                <w:rFonts w:ascii="Avenir Next LT Pro" w:eastAsia="Aptos" w:hAnsi="Avenir Next LT Pro" w:cs="Arial"/>
                <w:color w:val="000000"/>
              </w:rPr>
              <w:t>All previous annual commercialization plans included </w:t>
            </w:r>
          </w:p>
          <w:p w14:paraId="4D8EEB9F" w14:textId="77777777" w:rsidR="00EF5EDB" w:rsidRPr="00EF5EDB" w:rsidRDefault="00EF5EDB" w:rsidP="00EF5EDB">
            <w:pPr>
              <w:numPr>
                <w:ilvl w:val="0"/>
                <w:numId w:val="10"/>
              </w:numPr>
              <w:ind w:left="340"/>
              <w:contextualSpacing/>
              <w:rPr>
                <w:rFonts w:ascii="Avenir Next LT Pro" w:eastAsia="Aptos" w:hAnsi="Avenir Next LT Pro" w:cs="Arial"/>
              </w:rPr>
            </w:pPr>
            <w:r w:rsidRPr="00EF5EDB">
              <w:rPr>
                <w:rFonts w:ascii="Avenir Next LT Pro" w:eastAsia="Aptos" w:hAnsi="Avenir Next LT Pro" w:cs="Arial"/>
                <w:color w:val="000000"/>
              </w:rPr>
              <w:t>Clinical development plan provided</w:t>
            </w:r>
          </w:p>
        </w:tc>
      </w:tr>
      <w:tr w:rsidR="00EF5EDB" w:rsidRPr="00EF5EDB" w14:paraId="368C057C" w14:textId="77777777" w:rsidTr="607EBF3D">
        <w:trPr>
          <w:trHeight w:val="300"/>
        </w:trPr>
        <w:tc>
          <w:tcPr>
            <w:tcW w:w="1799" w:type="dxa"/>
            <w:tcMar>
              <w:left w:w="105" w:type="dxa"/>
              <w:right w:w="105" w:type="dxa"/>
            </w:tcMar>
            <w:vAlign w:val="center"/>
          </w:tcPr>
          <w:p w14:paraId="269544B9"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Business Model</w:t>
            </w:r>
          </w:p>
        </w:tc>
        <w:tc>
          <w:tcPr>
            <w:tcW w:w="7561" w:type="dxa"/>
            <w:tcMar>
              <w:left w:w="105" w:type="dxa"/>
              <w:right w:w="105" w:type="dxa"/>
            </w:tcMar>
            <w:vAlign w:val="center"/>
          </w:tcPr>
          <w:p w14:paraId="477A3690" w14:textId="2C429282" w:rsidR="00EF5EDB" w:rsidRPr="00EF5EDB" w:rsidRDefault="00EF5EDB" w:rsidP="4D9520A7">
            <w:pPr>
              <w:numPr>
                <w:ilvl w:val="0"/>
                <w:numId w:val="6"/>
              </w:numPr>
              <w:pBdr>
                <w:top w:val="nil"/>
                <w:left w:val="nil"/>
                <w:bottom w:val="nil"/>
                <w:right w:val="nil"/>
                <w:between w:val="nil"/>
              </w:pBdr>
              <w:spacing w:line="259" w:lineRule="auto"/>
              <w:ind w:left="340"/>
              <w:rPr>
                <w:rFonts w:ascii="Avenir Next LT Pro" w:eastAsia="Aptos" w:hAnsi="Avenir Next LT Pro" w:cs="Arial"/>
                <w:color w:val="000000"/>
              </w:rPr>
            </w:pPr>
            <w:r w:rsidRPr="4D9520A7">
              <w:rPr>
                <w:rFonts w:ascii="Avenir Next LT Pro" w:eastAsia="Aptos" w:hAnsi="Avenir Next LT Pro" w:cs="Arial"/>
                <w:color w:val="000000" w:themeColor="text1"/>
              </w:rPr>
              <w:t>H</w:t>
            </w:r>
            <w:r w:rsidR="1E9ED582" w:rsidRPr="4D9520A7">
              <w:rPr>
                <w:rFonts w:ascii="Avenir Next LT Pro" w:eastAsia="Aptos" w:hAnsi="Avenir Next LT Pro" w:cs="Arial"/>
                <w:color w:val="000000" w:themeColor="text1"/>
              </w:rPr>
              <w:t xml:space="preserve">ealth </w:t>
            </w:r>
            <w:r w:rsidRPr="4D9520A7">
              <w:rPr>
                <w:rFonts w:ascii="Avenir Next LT Pro" w:eastAsia="Aptos" w:hAnsi="Avenir Next LT Pro" w:cs="Arial"/>
                <w:color w:val="000000" w:themeColor="text1"/>
              </w:rPr>
              <w:t>E</w:t>
            </w:r>
            <w:r w:rsidR="62A8F926" w:rsidRPr="4D9520A7">
              <w:rPr>
                <w:rFonts w:ascii="Avenir Next LT Pro" w:eastAsia="Aptos" w:hAnsi="Avenir Next LT Pro" w:cs="Arial"/>
                <w:color w:val="000000" w:themeColor="text1"/>
              </w:rPr>
              <w:t xml:space="preserve">conomics and </w:t>
            </w:r>
            <w:r w:rsidRPr="4D9520A7">
              <w:rPr>
                <w:rFonts w:ascii="Avenir Next LT Pro" w:eastAsia="Aptos" w:hAnsi="Avenir Next LT Pro" w:cs="Arial"/>
                <w:color w:val="000000" w:themeColor="text1"/>
              </w:rPr>
              <w:t>O</w:t>
            </w:r>
            <w:r w:rsidR="01BEC392" w:rsidRPr="4D9520A7">
              <w:rPr>
                <w:rFonts w:ascii="Avenir Next LT Pro" w:eastAsia="Aptos" w:hAnsi="Avenir Next LT Pro" w:cs="Arial"/>
                <w:color w:val="000000" w:themeColor="text1"/>
              </w:rPr>
              <w:t xml:space="preserve">utcomes </w:t>
            </w:r>
            <w:r w:rsidRPr="4D9520A7">
              <w:rPr>
                <w:rFonts w:ascii="Avenir Next LT Pro" w:eastAsia="Aptos" w:hAnsi="Avenir Next LT Pro" w:cs="Arial"/>
                <w:color w:val="000000" w:themeColor="text1"/>
              </w:rPr>
              <w:t>R</w:t>
            </w:r>
            <w:r w:rsidR="023DF292" w:rsidRPr="4D9520A7">
              <w:rPr>
                <w:rFonts w:ascii="Avenir Next LT Pro" w:eastAsia="Aptos" w:hAnsi="Avenir Next LT Pro" w:cs="Arial"/>
                <w:color w:val="000000" w:themeColor="text1"/>
              </w:rPr>
              <w:t>esearch</w:t>
            </w:r>
            <w:r w:rsidRPr="4D9520A7">
              <w:rPr>
                <w:rFonts w:ascii="Avenir Next LT Pro" w:eastAsia="Aptos" w:hAnsi="Avenir Next LT Pro" w:cs="Arial"/>
                <w:color w:val="000000" w:themeColor="text1"/>
              </w:rPr>
              <w:t xml:space="preserve"> data analysis results provided</w:t>
            </w:r>
          </w:p>
        </w:tc>
      </w:tr>
      <w:tr w:rsidR="00EF5EDB" w:rsidRPr="00EF5EDB" w14:paraId="03050E52" w14:textId="77777777" w:rsidTr="607EBF3D">
        <w:trPr>
          <w:trHeight w:val="300"/>
        </w:trPr>
        <w:tc>
          <w:tcPr>
            <w:tcW w:w="1799" w:type="dxa"/>
            <w:tcMar>
              <w:left w:w="105" w:type="dxa"/>
              <w:right w:w="105" w:type="dxa"/>
            </w:tcMar>
            <w:vAlign w:val="center"/>
          </w:tcPr>
          <w:p w14:paraId="34BB315A"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IP</w:t>
            </w:r>
          </w:p>
        </w:tc>
        <w:tc>
          <w:tcPr>
            <w:tcW w:w="7561" w:type="dxa"/>
            <w:tcMar>
              <w:left w:w="105" w:type="dxa"/>
              <w:right w:w="105" w:type="dxa"/>
            </w:tcMar>
            <w:vAlign w:val="center"/>
          </w:tcPr>
          <w:p w14:paraId="0C61123B" w14:textId="77777777" w:rsidR="00EF5EDB" w:rsidRPr="00EF5EDB" w:rsidRDefault="00EF5EDB" w:rsidP="00EF5EDB">
            <w:pPr>
              <w:numPr>
                <w:ilvl w:val="0"/>
                <w:numId w:val="11"/>
              </w:numPr>
              <w:ind w:left="340"/>
              <w:contextualSpacing/>
              <w:rPr>
                <w:rFonts w:ascii="Avenir Next LT Pro" w:eastAsia="Aptos" w:hAnsi="Avenir Next LT Pro" w:cs="Arial"/>
              </w:rPr>
            </w:pPr>
            <w:r w:rsidRPr="00EF5EDB">
              <w:rPr>
                <w:rFonts w:ascii="Avenir Next LT Pro" w:eastAsia="Aptos" w:hAnsi="Avenir Next LT Pro" w:cs="Arial"/>
                <w:color w:val="000000"/>
              </w:rPr>
              <w:t>IP summary including all IP ownership locked and licensing terms outlined </w:t>
            </w:r>
          </w:p>
        </w:tc>
      </w:tr>
      <w:tr w:rsidR="00EF5EDB" w:rsidRPr="00EF5EDB" w14:paraId="636C314F" w14:textId="77777777" w:rsidTr="607EBF3D">
        <w:trPr>
          <w:trHeight w:val="300"/>
        </w:trPr>
        <w:tc>
          <w:tcPr>
            <w:tcW w:w="1799" w:type="dxa"/>
            <w:tcMar>
              <w:left w:w="105" w:type="dxa"/>
              <w:right w:w="105" w:type="dxa"/>
            </w:tcMar>
            <w:vAlign w:val="center"/>
          </w:tcPr>
          <w:p w14:paraId="74030BB2"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Regulatory</w:t>
            </w:r>
          </w:p>
        </w:tc>
        <w:tc>
          <w:tcPr>
            <w:tcW w:w="7561" w:type="dxa"/>
            <w:tcMar>
              <w:left w:w="105" w:type="dxa"/>
              <w:right w:w="105" w:type="dxa"/>
            </w:tcMar>
            <w:vAlign w:val="center"/>
          </w:tcPr>
          <w:p w14:paraId="33E49671" w14:textId="77777777" w:rsidR="00EF5EDB" w:rsidRPr="00EF5EDB" w:rsidRDefault="00EF5EDB" w:rsidP="00EF5EDB">
            <w:pPr>
              <w:numPr>
                <w:ilvl w:val="0"/>
                <w:numId w:val="11"/>
              </w:numPr>
              <w:ind w:left="340"/>
              <w:contextualSpacing/>
              <w:rPr>
                <w:rFonts w:ascii="Avenir Next LT Pro" w:eastAsia="Aptos" w:hAnsi="Avenir Next LT Pro" w:cs="Arial"/>
              </w:rPr>
            </w:pPr>
            <w:r w:rsidRPr="00EF5EDB">
              <w:rPr>
                <w:rFonts w:ascii="Avenir Next LT Pro" w:eastAsia="Aptos" w:hAnsi="Avenir Next LT Pro" w:cs="Arial"/>
                <w:color w:val="000000"/>
              </w:rPr>
              <w:t>FDA submission and communication updates provided</w:t>
            </w:r>
          </w:p>
        </w:tc>
      </w:tr>
      <w:tr w:rsidR="00EF5EDB" w:rsidRPr="00EF5EDB" w14:paraId="0C95C108" w14:textId="77777777" w:rsidTr="607EBF3D">
        <w:trPr>
          <w:trHeight w:val="300"/>
        </w:trPr>
        <w:tc>
          <w:tcPr>
            <w:tcW w:w="1799" w:type="dxa"/>
            <w:tcMar>
              <w:left w:w="105" w:type="dxa"/>
              <w:right w:w="105" w:type="dxa"/>
            </w:tcMar>
            <w:vAlign w:val="center"/>
          </w:tcPr>
          <w:p w14:paraId="48AC8FBF" w14:textId="77777777" w:rsidR="00EF5EDB" w:rsidRPr="00EF5EDB" w:rsidRDefault="00EF5EDB" w:rsidP="00EF5EDB">
            <w:pPr>
              <w:rPr>
                <w:rFonts w:ascii="Avenir Next LT Pro" w:eastAsia="Aptos" w:hAnsi="Avenir Next LT Pro" w:cs="Arial"/>
                <w:b/>
                <w:color w:val="0070C0"/>
              </w:rPr>
            </w:pPr>
            <w:r w:rsidRPr="00EF5EDB">
              <w:rPr>
                <w:rFonts w:ascii="Avenir Next LT Pro" w:eastAsia="Aptos" w:hAnsi="Avenir Next LT Pro" w:cs="Arial"/>
                <w:b/>
                <w:color w:val="0070C0"/>
              </w:rPr>
              <w:t>Exit Plan</w:t>
            </w:r>
          </w:p>
        </w:tc>
        <w:tc>
          <w:tcPr>
            <w:tcW w:w="7561" w:type="dxa"/>
            <w:tcMar>
              <w:left w:w="105" w:type="dxa"/>
              <w:right w:w="105" w:type="dxa"/>
            </w:tcMar>
            <w:vAlign w:val="center"/>
          </w:tcPr>
          <w:p w14:paraId="1F136961" w14:textId="77777777" w:rsidR="00EF5EDB" w:rsidRPr="00EF5EDB" w:rsidRDefault="00EF5EDB" w:rsidP="00EF5EDB">
            <w:pPr>
              <w:numPr>
                <w:ilvl w:val="0"/>
                <w:numId w:val="5"/>
              </w:numPr>
              <w:pBdr>
                <w:top w:val="nil"/>
                <w:left w:val="nil"/>
                <w:bottom w:val="nil"/>
                <w:right w:val="nil"/>
                <w:between w:val="nil"/>
              </w:pBdr>
              <w:spacing w:line="259" w:lineRule="auto"/>
              <w:ind w:left="340"/>
              <w:rPr>
                <w:rFonts w:ascii="Avenir Next LT Pro" w:eastAsia="Aptos" w:hAnsi="Avenir Next LT Pro" w:cs="Arial"/>
                <w:color w:val="000000"/>
              </w:rPr>
            </w:pPr>
            <w:r w:rsidRPr="00EF5EDB">
              <w:rPr>
                <w:rFonts w:ascii="Avenir Next LT Pro" w:eastAsia="Aptos" w:hAnsi="Avenir Next LT Pro" w:cs="Arial"/>
                <w:color w:val="000000"/>
              </w:rPr>
              <w:t>Investor summary with at least 1 strategic partnership and/or acquisition interest for transition outlined </w:t>
            </w:r>
          </w:p>
          <w:p w14:paraId="46BE83A8" w14:textId="77777777" w:rsidR="00EF5EDB" w:rsidRPr="00EF5EDB" w:rsidRDefault="00EF5EDB" w:rsidP="00EF5EDB">
            <w:pPr>
              <w:numPr>
                <w:ilvl w:val="0"/>
                <w:numId w:val="5"/>
              </w:numPr>
              <w:ind w:left="340"/>
              <w:contextualSpacing/>
              <w:rPr>
                <w:rFonts w:ascii="Avenir Next LT Pro" w:eastAsia="Aptos" w:hAnsi="Avenir Next LT Pro" w:cs="Arial"/>
              </w:rPr>
            </w:pPr>
            <w:r w:rsidRPr="00EF5EDB">
              <w:rPr>
                <w:rFonts w:ascii="Avenir Next LT Pro" w:eastAsia="Aptos" w:hAnsi="Avenir Next LT Pro" w:cs="Arial"/>
                <w:color w:val="000000"/>
              </w:rPr>
              <w:t>Exit plan summary of all assets to be transitioned </w:t>
            </w:r>
          </w:p>
          <w:p w14:paraId="15CDA092" w14:textId="77777777" w:rsidR="00EF5EDB" w:rsidRPr="00EF5EDB" w:rsidRDefault="00EF5EDB" w:rsidP="00EF5EDB">
            <w:pPr>
              <w:numPr>
                <w:ilvl w:val="0"/>
                <w:numId w:val="5"/>
              </w:numPr>
              <w:ind w:left="340"/>
              <w:contextualSpacing/>
              <w:rPr>
                <w:rFonts w:ascii="Avenir Next LT Pro" w:eastAsia="Aptos" w:hAnsi="Avenir Next LT Pro" w:cs="Arial"/>
              </w:rPr>
            </w:pPr>
            <w:r w:rsidRPr="00EF5EDB">
              <w:rPr>
                <w:rFonts w:ascii="Avenir Next LT Pro" w:eastAsia="Aptos" w:hAnsi="Avenir Next LT Pro" w:cs="Arial"/>
                <w:color w:val="000000"/>
              </w:rPr>
              <w:t xml:space="preserve">ADVOCATE playbook created to capture TA1-TA2 implementation for scaled clinical settings as well as how regulatory and clinical outcomes will be reported and measured for reimbursement and value proposition </w:t>
            </w:r>
          </w:p>
        </w:tc>
      </w:tr>
    </w:tbl>
    <w:p w14:paraId="681B0807" w14:textId="77777777" w:rsidR="00EF5EDB" w:rsidRPr="00EF5EDB" w:rsidRDefault="00EF5EDB" w:rsidP="00EF5EDB">
      <w:pPr>
        <w:rPr>
          <w:rFonts w:ascii="Avenir Next LT Pro" w:eastAsia="Aptos" w:hAnsi="Avenir Next LT Pro" w:cs="Arial"/>
        </w:rPr>
      </w:pPr>
    </w:p>
    <w:p w14:paraId="4BC3C12B" w14:textId="77777777" w:rsidR="00D83561" w:rsidRDefault="00D83561"/>
    <w:sectPr w:rsidR="00D83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327C5"/>
    <w:multiLevelType w:val="multilevel"/>
    <w:tmpl w:val="9BFEF7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371856"/>
    <w:multiLevelType w:val="hybridMultilevel"/>
    <w:tmpl w:val="A056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A6458F"/>
    <w:multiLevelType w:val="multilevel"/>
    <w:tmpl w:val="E364F0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CA1C9A"/>
    <w:multiLevelType w:val="multilevel"/>
    <w:tmpl w:val="D3DE9D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0E071FA"/>
    <w:multiLevelType w:val="hybridMultilevel"/>
    <w:tmpl w:val="47781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B551C"/>
    <w:multiLevelType w:val="multilevel"/>
    <w:tmpl w:val="9BFEF7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7E959FC"/>
    <w:multiLevelType w:val="hybridMultilevel"/>
    <w:tmpl w:val="1BC8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500E42"/>
    <w:multiLevelType w:val="hybridMultilevel"/>
    <w:tmpl w:val="E18E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A0668C"/>
    <w:multiLevelType w:val="hybridMultilevel"/>
    <w:tmpl w:val="8D6AA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EC7B33"/>
    <w:multiLevelType w:val="multilevel"/>
    <w:tmpl w:val="1E6A4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83F1347"/>
    <w:multiLevelType w:val="hybridMultilevel"/>
    <w:tmpl w:val="9FF04C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5640537">
    <w:abstractNumId w:val="8"/>
  </w:num>
  <w:num w:numId="2" w16cid:durableId="1795323977">
    <w:abstractNumId w:val="6"/>
  </w:num>
  <w:num w:numId="3" w16cid:durableId="1208489402">
    <w:abstractNumId w:val="1"/>
  </w:num>
  <w:num w:numId="4" w16cid:durableId="560824110">
    <w:abstractNumId w:val="4"/>
  </w:num>
  <w:num w:numId="5" w16cid:durableId="1032338518">
    <w:abstractNumId w:val="2"/>
  </w:num>
  <w:num w:numId="6" w16cid:durableId="158427124">
    <w:abstractNumId w:val="5"/>
  </w:num>
  <w:num w:numId="7" w16cid:durableId="1119253203">
    <w:abstractNumId w:val="10"/>
  </w:num>
  <w:num w:numId="8" w16cid:durableId="1917474517">
    <w:abstractNumId w:val="3"/>
  </w:num>
  <w:num w:numId="9" w16cid:durableId="554391768">
    <w:abstractNumId w:val="9"/>
  </w:num>
  <w:num w:numId="10" w16cid:durableId="643192799">
    <w:abstractNumId w:val="7"/>
  </w:num>
  <w:num w:numId="11" w16cid:durableId="170544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DB"/>
    <w:rsid w:val="004F2183"/>
    <w:rsid w:val="00651891"/>
    <w:rsid w:val="008C3BBD"/>
    <w:rsid w:val="009D0C49"/>
    <w:rsid w:val="00A362A8"/>
    <w:rsid w:val="00AC2346"/>
    <w:rsid w:val="00B71CD5"/>
    <w:rsid w:val="00D83561"/>
    <w:rsid w:val="00EF5EDB"/>
    <w:rsid w:val="00F53D47"/>
    <w:rsid w:val="01BEC392"/>
    <w:rsid w:val="023DF292"/>
    <w:rsid w:val="1E9ED582"/>
    <w:rsid w:val="4D9520A7"/>
    <w:rsid w:val="607EBF3D"/>
    <w:rsid w:val="62A8F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CF02"/>
  <w15:chartTrackingRefBased/>
  <w15:docId w15:val="{18FD317D-E41A-4F7D-870A-F8D7FACFF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EDB"/>
    <w:rPr>
      <w:rFonts w:eastAsiaTheme="majorEastAsia" w:cstheme="majorBidi"/>
      <w:color w:val="272727" w:themeColor="text1" w:themeTint="D8"/>
    </w:rPr>
  </w:style>
  <w:style w:type="paragraph" w:styleId="Title">
    <w:name w:val="Title"/>
    <w:basedOn w:val="Normal"/>
    <w:next w:val="Normal"/>
    <w:link w:val="TitleChar"/>
    <w:uiPriority w:val="10"/>
    <w:qFormat/>
    <w:rsid w:val="00EF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EDB"/>
    <w:pPr>
      <w:spacing w:before="160"/>
      <w:jc w:val="center"/>
    </w:pPr>
    <w:rPr>
      <w:i/>
      <w:iCs/>
      <w:color w:val="404040" w:themeColor="text1" w:themeTint="BF"/>
    </w:rPr>
  </w:style>
  <w:style w:type="character" w:customStyle="1" w:styleId="QuoteChar">
    <w:name w:val="Quote Char"/>
    <w:basedOn w:val="DefaultParagraphFont"/>
    <w:link w:val="Quote"/>
    <w:uiPriority w:val="29"/>
    <w:rsid w:val="00EF5EDB"/>
    <w:rPr>
      <w:i/>
      <w:iCs/>
      <w:color w:val="404040" w:themeColor="text1" w:themeTint="BF"/>
    </w:rPr>
  </w:style>
  <w:style w:type="paragraph" w:styleId="ListParagraph">
    <w:name w:val="List Paragraph"/>
    <w:basedOn w:val="Normal"/>
    <w:uiPriority w:val="34"/>
    <w:qFormat/>
    <w:rsid w:val="00EF5EDB"/>
    <w:pPr>
      <w:ind w:left="720"/>
      <w:contextualSpacing/>
    </w:pPr>
  </w:style>
  <w:style w:type="character" w:styleId="IntenseEmphasis">
    <w:name w:val="Intense Emphasis"/>
    <w:basedOn w:val="DefaultParagraphFont"/>
    <w:uiPriority w:val="21"/>
    <w:qFormat/>
    <w:rsid w:val="00EF5EDB"/>
    <w:rPr>
      <w:i/>
      <w:iCs/>
      <w:color w:val="0F4761" w:themeColor="accent1" w:themeShade="BF"/>
    </w:rPr>
  </w:style>
  <w:style w:type="paragraph" w:styleId="IntenseQuote">
    <w:name w:val="Intense Quote"/>
    <w:basedOn w:val="Normal"/>
    <w:next w:val="Normal"/>
    <w:link w:val="IntenseQuoteChar"/>
    <w:uiPriority w:val="30"/>
    <w:qFormat/>
    <w:rsid w:val="00EF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EDB"/>
    <w:rPr>
      <w:i/>
      <w:iCs/>
      <w:color w:val="0F4761" w:themeColor="accent1" w:themeShade="BF"/>
    </w:rPr>
  </w:style>
  <w:style w:type="character" w:styleId="IntenseReference">
    <w:name w:val="Intense Reference"/>
    <w:basedOn w:val="DefaultParagraphFont"/>
    <w:uiPriority w:val="32"/>
    <w:qFormat/>
    <w:rsid w:val="00EF5EDB"/>
    <w:rPr>
      <w:b/>
      <w:bCs/>
      <w:smallCaps/>
      <w:color w:val="0F4761" w:themeColor="accent1" w:themeShade="BF"/>
      <w:spacing w:val="5"/>
    </w:rPr>
  </w:style>
  <w:style w:type="table" w:styleId="TableGrid">
    <w:name w:val="Table Grid"/>
    <w:basedOn w:val="TableNormal"/>
    <w:uiPriority w:val="59"/>
    <w:rsid w:val="00EF5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5EDB"/>
    <w:rPr>
      <w:sz w:val="16"/>
      <w:szCs w:val="16"/>
    </w:rPr>
  </w:style>
  <w:style w:type="paragraph" w:styleId="CommentText">
    <w:name w:val="annotation text"/>
    <w:basedOn w:val="Normal"/>
    <w:link w:val="CommentTextChar"/>
    <w:uiPriority w:val="99"/>
    <w:unhideWhenUsed/>
    <w:rsid w:val="00EF5EDB"/>
    <w:pPr>
      <w:spacing w:line="240" w:lineRule="auto"/>
    </w:pPr>
    <w:rPr>
      <w:sz w:val="20"/>
      <w:szCs w:val="20"/>
    </w:rPr>
  </w:style>
  <w:style w:type="character" w:customStyle="1" w:styleId="CommentTextChar">
    <w:name w:val="Comment Text Char"/>
    <w:basedOn w:val="DefaultParagraphFont"/>
    <w:link w:val="CommentText"/>
    <w:uiPriority w:val="99"/>
    <w:rsid w:val="00EF5EDB"/>
    <w:rPr>
      <w:sz w:val="20"/>
      <w:szCs w:val="20"/>
    </w:rPr>
  </w:style>
  <w:style w:type="character" w:styleId="Mention">
    <w:name w:val="Mention"/>
    <w:basedOn w:val="DefaultParagraphFont"/>
    <w:uiPriority w:val="99"/>
    <w:unhideWhenUsed/>
    <w:rsid w:val="00EF5ED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3" ma:contentTypeDescription="Create a new document." ma:contentTypeScope="" ma:versionID="0992cbccd2da22448cfc3e9ad3428123">
  <xsd:schema xmlns:xsd="http://www.w3.org/2001/XMLSchema" xmlns:xs="http://www.w3.org/2001/XMLSchema" xmlns:p="http://schemas.microsoft.com/office/2006/metadata/properties" xmlns:ns2="9a96d420-221f-4e9d-95ed-cff15f2d7ad9" targetNamespace="http://schemas.microsoft.com/office/2006/metadata/properties" ma:root="true" ma:fieldsID="0c70b59447959d0c3fcf50ddd34aa1b7"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896828-4164-4A68-84BC-277EBD94A183}">
  <ds:schemaRefs>
    <ds:schemaRef ds:uri="http://schemas.microsoft.com/office/2006/metadata/properties"/>
    <ds:schemaRef ds:uri="http://purl.org/dc/elements/1.1/"/>
    <ds:schemaRef ds:uri="http://www.w3.org/XML/1998/namespace"/>
    <ds:schemaRef ds:uri="http://schemas.openxmlformats.org/package/2006/metadata/core-properties"/>
    <ds:schemaRef ds:uri="http://purl.org/dc/dcmitype/"/>
    <ds:schemaRef ds:uri="http://schemas.microsoft.com/office/2006/documentManagement/types"/>
    <ds:schemaRef ds:uri="9a96d420-221f-4e9d-95ed-cff15f2d7ad9"/>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C96F8878-EF8C-44CE-B12F-CA5746289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5D08B8-EA54-4E32-BB85-D9FF9F8CB3A4}">
  <ds:schemaRefs>
    <ds:schemaRef ds:uri="http://schemas.microsoft.com/sharepoint/v3/contenttype/forms"/>
  </ds:schemaRefs>
</ds:datastoreItem>
</file>

<file path=docMetadata/LabelInfo.xml><?xml version="1.0" encoding="utf-8"?>
<clbl:labelList xmlns:clbl="http://schemas.microsoft.com/office/2020/mipLabelMetadata">
  <clbl:label id="{39403df3-4f99-429e-bcca-aef45d118c06}" enabled="1" method="Standard" siteId="{5685c435-011d-4ece-8236-5a545c0ff8a9}"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534</Words>
  <Characters>3547</Characters>
  <Application>Microsoft Office Word</Application>
  <DocSecurity>0</DocSecurity>
  <Lines>114</Lines>
  <Paragraphs>76</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Manning (ARPA-H) [CTR]</dc:creator>
  <cp:keywords/>
  <dc:description/>
  <cp:lastModifiedBy>Kimberly Oatneal (ARPA-H) [CTR]</cp:lastModifiedBy>
  <cp:revision>6</cp:revision>
  <dcterms:created xsi:type="dcterms:W3CDTF">2025-09-08T14:18:00Z</dcterms:created>
  <dcterms:modified xsi:type="dcterms:W3CDTF">2026-01-13T16:30:00Z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ies>
</file>