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0"/>
        <w:jc w:val="center"/>
      </w:pPr>
      <w:r>
        <w:rPr>
          <w:rFonts w:ascii="Arial" w:cs="Arial" w:eastAsia="Arial" w:hAnsi="Arial"/>
          <w:b/>
          <w:bCs/>
          <w:sz w:val="28"/>
          <w:szCs w:val="28"/>
        </w:rPr>
        <w:t xml:space="preserve">ADVOCATE Program Solution Summary</w:t>
      </w:r>
    </w:p>
    <w:p>
      <w:pPr>
        <w:spacing w:after="200" w:before="0" w:line="260"/>
        <w:jc w:val="center"/>
      </w:pPr>
      <w:r>
        <w:rPr>
          <w:rFonts w:ascii="Arial" w:cs="Arial" w:eastAsia="Arial" w:hAnsi="Arial"/>
          <w:sz w:val="24"/>
          <w:szCs w:val="24"/>
        </w:rPr>
        <w:t xml:space="preserve">TA2: Supervisory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1. Solicitation #</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ARPA-H-SOL-26-142</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2. Solution Summary Title</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Iris Sentinel: Layered Supervisory Agent for Autonomous Clinical AI Oversight Through Independent Verification, Adversarial Stress Testing, and Continuous Regression Monitoring</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3. Submitter Organization</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Waiz Khan</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4. Type of Organization</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Individual</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5. Date of Submission</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February 27, 2026</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6. Technical POC</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10" w:before="0" w:line="260"/>
              <w:jc w:val="left"/>
            </w:pPr>
            <w:r>
              <w:rPr>
                <w:rFonts w:ascii="Arial" w:cs="Arial" w:eastAsia="Arial" w:hAnsi="Arial"/>
                <w:sz w:val="21"/>
                <w:szCs w:val="21"/>
              </w:rPr>
              <w:t xml:space="preserve">Khan, Waiz</w:t>
            </w:r>
          </w:p>
          <w:p>
            <w:pPr>
              <w:spacing w:after="10" w:before="0" w:line="260"/>
              <w:jc w:val="left"/>
            </w:pPr>
            <w:r>
              <w:rPr>
                <w:rFonts w:ascii="Arial" w:cs="Arial" w:eastAsia="Arial" w:hAnsi="Arial"/>
                <w:sz w:val="21"/>
                <w:szCs w:val="21"/>
              </w:rPr>
              <w:t xml:space="preserve">3900 North Charles Street, Baltimore, MD 21218</w:t>
            </w:r>
          </w:p>
          <w:p>
            <w:pPr>
              <w:spacing w:after="10" w:before="0" w:line="260"/>
              <w:jc w:val="left"/>
            </w:pPr>
            <w:r>
              <w:rPr>
                <w:rFonts w:ascii="Arial" w:cs="Arial" w:eastAsia="Arial" w:hAnsi="Arial"/>
                <w:sz w:val="21"/>
                <w:szCs w:val="21"/>
              </w:rPr>
              <w:t xml:space="preserve">Telephone: 443-378-2030</w:t>
            </w:r>
          </w:p>
          <w:p>
            <w:pPr>
              <w:spacing w:after="10" w:before="0" w:line="260"/>
              <w:jc w:val="left"/>
            </w:pPr>
            <w:r>
              <w:rPr>
                <w:rFonts w:ascii="Arial" w:cs="Arial" w:eastAsia="Arial" w:hAnsi="Arial"/>
                <w:sz w:val="21"/>
                <w:szCs w:val="21"/>
              </w:rPr>
              <w:t xml:space="preserve">Email: wkhan12@jh.edu</w:t>
            </w:r>
          </w:p>
          <w:p>
            <w:pPr>
              <w:spacing w:after="0" w:before="0" w:line="260"/>
              <w:jc w:val="left"/>
            </w:pPr>
            <w:r>
              <w:rPr>
                <w:rFonts w:ascii="Arial" w:cs="Arial" w:eastAsia="Arial" w:hAnsi="Arial"/>
                <w:sz w:val="21"/>
                <w:szCs w:val="21"/>
              </w:rPr>
              <w:t xml:space="preserve">UEI: To be obtained for full proposal</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7. Administrative POC</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Same as Technical POC</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8. Total Estimated Budget</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$2,356,000 (39 months)</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9. Place(s) of Performance</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Baltimore, MD</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10. Other Team Members</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To be finalized for full proposal. Advisors in clinical informatics and regulatory affairs to be recruited.</w:t>
            </w:r>
          </w:p>
        </w:tc>
      </w:tr>
      <w:tr>
        <w:tc>
          <w:tcPr>
            <w:tcW w:type="dxa" w:w="2800"/>
            <w:tcBorders>
              <w:top w:val="single" w:color="888888" w:sz="1"/>
              <w:left w:val="single" w:color="888888" w:sz="1"/>
              <w:bottom w:val="single" w:color="888888" w:sz="1"/>
              <w:right w:val="single" w:color="888888" w:sz="1"/>
            </w:tcBorders>
            <w:shd w:fill="F0F0F0" w:val="clear"/>
            <w:tcMar>
              <w:top w:type="dxa" w:w="50"/>
              <w:left w:type="dxa" w:w="80"/>
              <w:bottom w:type="dxa" w:w="50"/>
              <w:right w:type="dxa" w:w="80"/>
            </w:tcMar>
          </w:tcPr>
          <w:p>
            <w:pPr>
              <w:spacing w:after="0" w:before="0" w:line="260"/>
              <w:jc w:val="left"/>
            </w:pPr>
            <w:r>
              <w:rPr>
                <w:rFonts w:ascii="Arial" w:cs="Arial" w:eastAsia="Arial" w:hAnsi="Arial"/>
                <w:b/>
                <w:bCs/>
                <w:sz w:val="21"/>
                <w:szCs w:val="21"/>
              </w:rPr>
              <w:t xml:space="preserve">11. Technical Area</w:t>
            </w:r>
          </w:p>
        </w:tc>
        <w:tc>
          <w:tcPr>
            <w:tcW w:type="dxa" w:w="656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1"/>
                <w:szCs w:val="21"/>
              </w:rPr>
              <w:t xml:space="preserve">TA2: Supervisory Agent — Automated Clinical Agent Monitoring and Control</w:t>
            </w:r>
          </w:p>
        </w:tc>
      </w:tr>
    </w:tbl>
    <w:p>
      <w:pPr>
        <w:sectPr>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Abstract</w:t>
      </w:r>
    </w:p>
    <w:p>
      <w:pPr>
        <w:spacing w:after="100" w:before="0" w:line="260"/>
        <w:jc w:val="left"/>
      </w:pPr>
      <w:r>
        <w:rPr>
          <w:rFonts w:ascii="Arial" w:cs="Arial" w:eastAsia="Arial" w:hAnsi="Arial"/>
          <w:sz w:val="22"/>
          <w:szCs w:val="22"/>
        </w:rPr>
        <w:t xml:space="preserve">Autonomous clinical AI agents promise to transform heart failure care by providing continuous, personalized management outside traditional clinical settings. However, autonomous operation demands autonomous oversight. Current approaches to clinical AI safety rely on rule based output checking or human in the loop review. Rule based systems catch known errors but miss novel failures, subtle reasoning gaps, and slow performance degradation. Human review does not scale to continuous 24/7 autonomous operation, and research shows that clinicians themselves struggle to detect AI hallucinations when the reasoning appears superficially coherent.</w:t>
      </w:r>
    </w:p>
    <w:p>
      <w:pPr>
        <w:spacing w:after="100" w:before="0" w:line="260"/>
        <w:jc w:val="left"/>
      </w:pPr>
      <w:r>
        <w:rPr>
          <w:rFonts w:ascii="Arial" w:cs="Arial" w:eastAsia="Arial" w:hAnsi="Arial"/>
          <w:sz w:val="22"/>
          <w:szCs w:val="22"/>
        </w:rPr>
        <w:t xml:space="preserve">We propose </w:t>
      </w:r>
      <w:r>
        <w:rPr>
          <w:rFonts w:ascii="Arial" w:cs="Arial" w:eastAsia="Arial" w:hAnsi="Arial"/>
          <w:b/>
          <w:bCs/>
          <w:sz w:val="22"/>
          <w:szCs w:val="22"/>
        </w:rPr>
        <w:t xml:space="preserve">Iris Sentinel</w:t>
      </w:r>
      <w:r>
        <w:rPr>
          <w:rFonts w:ascii="Arial" w:cs="Arial" w:eastAsia="Arial" w:hAnsi="Arial"/>
          <w:sz w:val="22"/>
          <w:szCs w:val="22"/>
        </w:rPr>
        <w:t xml:space="preserve">, a disease agnostic supervisory agent that provides layered, fully automated oversight of clinical AI agents. Iris Sentinel does not interact with patients. It operates entirely behind the scenes, evaluating every action, message, and clinical order that the patient facing agent attempts to deliver. It combines three verification approaches that no existing system integrates:</w:t>
      </w:r>
    </w:p>
    <w:p>
      <w:pPr>
        <w:spacing w:after="100" w:before="0" w:line="260"/>
        <w:jc w:val="left"/>
      </w:pPr>
      <w:r>
        <w:rPr>
          <w:rFonts w:ascii="Arial" w:cs="Arial" w:eastAsia="Arial" w:hAnsi="Arial"/>
          <w:b/>
          <w:bCs/>
          <w:sz w:val="22"/>
          <w:szCs w:val="22"/>
        </w:rPr>
        <w:t xml:space="preserve">Independent Verification: </w:t>
      </w:r>
      <w:r>
        <w:rPr>
          <w:rFonts w:ascii="Arial" w:cs="Arial" w:eastAsia="Arial" w:hAnsi="Arial"/>
          <w:sz w:val="22"/>
          <w:szCs w:val="22"/>
        </w:rPr>
        <w:t xml:space="preserve">For every clinical recommendation, Iris Sentinel independently processes the same patient data through its own reasoning pipeline with its own medical knowledge base, forms its own clinical assessment, and structurally compares the two assessments. Disagreement reveals errors that output checking alone cannot detect.</w:t>
      </w:r>
    </w:p>
    <w:p>
      <w:pPr>
        <w:spacing w:after="100" w:before="0" w:line="260"/>
        <w:jc w:val="left"/>
      </w:pPr>
      <w:r>
        <w:rPr>
          <w:rFonts w:ascii="Arial" w:cs="Arial" w:eastAsia="Arial" w:hAnsi="Arial"/>
          <w:b/>
          <w:bCs/>
          <w:sz w:val="22"/>
          <w:szCs w:val="22"/>
        </w:rPr>
        <w:t xml:space="preserve">Adversarial Stress Testing: </w:t>
      </w:r>
      <w:r>
        <w:rPr>
          <w:rFonts w:ascii="Arial" w:cs="Arial" w:eastAsia="Arial" w:hAnsi="Arial"/>
          <w:sz w:val="22"/>
          <w:szCs w:val="22"/>
        </w:rPr>
        <w:t xml:space="preserve">For high stakes decisions like medication changes, Iris Sentinel generates realistic variations of the patient's clinical data and tests whether the agent's recommendation remains stable. Unstable recommendations indicate brittle reasoning that could fail on the next patient.</w:t>
      </w:r>
    </w:p>
    <w:p>
      <w:pPr>
        <w:spacing w:after="100" w:before="0" w:line="260"/>
        <w:jc w:val="left"/>
      </w:pPr>
      <w:r>
        <w:rPr>
          <w:rFonts w:ascii="Arial" w:cs="Arial" w:eastAsia="Arial" w:hAnsi="Arial"/>
          <w:b/>
          <w:bCs/>
          <w:sz w:val="22"/>
          <w:szCs w:val="22"/>
        </w:rPr>
        <w:t xml:space="preserve">Continuous Regression Monitoring: </w:t>
      </w:r>
      <w:r>
        <w:rPr>
          <w:rFonts w:ascii="Arial" w:cs="Arial" w:eastAsia="Arial" w:hAnsi="Arial"/>
          <w:sz w:val="22"/>
          <w:szCs w:val="22"/>
        </w:rPr>
        <w:t xml:space="preserve">Iris Sentinel maintains a library of synthetic test patients with known correct answers spanning the full range of clinical scenarios. These cases are continuously fed through the clinical agent alongside real patient interactions. If the agent's performance on test cases degrades over time, Iris Sentinel detects the drift before any real patient is harmed.</w:t>
      </w:r>
    </w:p>
    <w:p>
      <w:pPr>
        <w:spacing w:after="100" w:before="0" w:line="260"/>
        <w:jc w:val="left"/>
      </w:pPr>
      <w:r>
        <w:rPr>
          <w:rFonts w:ascii="Arial" w:cs="Arial" w:eastAsia="Arial" w:hAnsi="Arial"/>
          <w:sz w:val="22"/>
          <w:szCs w:val="22"/>
        </w:rPr>
        <w:t xml:space="preserve">Every evaluated recommendation receives one of four dispositions: Approve (proceed with full logging), Revise (return to the clinical agent with structured feedback specifying the concern), Route to Clinician (escalate to a human clinician with the complete analysis for review), or Hard Stop with Safe Mode (block the action, transition the system to a restricted operating state, and notify the clinical team immediately). Every disposition carries a structured proof trace designed from the ground up for FDA Medical Device Development Tool (MDDT) qualification, establishing Iris Sentinel as the regulatory standard for monitoring all clinical AI systems across any disease.</w:t>
      </w:r>
    </w:p>
    <w:p>
      <w:pPr>
        <w:spacing w:after="100" w:before="0" w:line="260"/>
        <w:jc w:val="left"/>
      </w:pPr>
      <w:r>
        <w:rPr>
          <w:rFonts w:ascii="Arial" w:cs="Arial" w:eastAsia="Arial" w:hAnsi="Arial"/>
          <w:sz w:val="22"/>
          <w:szCs w:val="22"/>
        </w:rPr>
        <w:t xml:space="preserve">The system is fully open source, disease agnostic, and operates as a black box monitor requiring no access to the clinical agent's internal architecture.</w:t>
      </w:r>
    </w:p>
    <w:p>
      <w:pPr>
        <w:sectPr>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Proposed Work</w:t>
      </w:r>
    </w:p>
    <w:p>
      <w:pPr>
        <w:pStyle w:val="Heading2"/>
        <w:spacing w:after="50" w:before="140" w:line="260"/>
        <w:jc w:val="left"/>
      </w:pPr>
      <w:r>
        <w:rPr>
          <w:rFonts w:ascii="Arial" w:cs="Arial" w:eastAsia="Arial" w:hAnsi="Arial"/>
          <w:b/>
          <w:bCs/>
          <w:sz w:val="23"/>
          <w:szCs w:val="23"/>
        </w:rPr>
        <w:t xml:space="preserve">1. Clinical Context and Technical Landscape</w:t>
      </w:r>
    </w:p>
    <w:p>
      <w:pPr>
        <w:spacing w:after="100" w:before="0" w:line="260"/>
        <w:jc w:val="left"/>
      </w:pPr>
      <w:r>
        <w:rPr>
          <w:rFonts w:ascii="Arial" w:cs="Arial" w:eastAsia="Arial" w:hAnsi="Arial"/>
          <w:sz w:val="22"/>
          <w:szCs w:val="22"/>
        </w:rPr>
        <w:t xml:space="preserve">Heart failure affects over 6.7 million Americans, with 30 day rehospitalization rates exceeding 25%. Autonomous clinical AI agents that manage medications, monitor symptoms, and coordinate care around the clock could dramatically improve outcomes by closing the gap between patients and their care teams. Several organizations are developing these patient facing agents under TA1 of the ADVOCATE program.</w:t>
      </w:r>
    </w:p>
    <w:p>
      <w:pPr>
        <w:spacing w:after="100" w:before="0" w:line="260"/>
        <w:jc w:val="left"/>
      </w:pPr>
      <w:r>
        <w:rPr>
          <w:rFonts w:ascii="Arial" w:cs="Arial" w:eastAsia="Arial" w:hAnsi="Arial"/>
          <w:sz w:val="22"/>
          <w:szCs w:val="22"/>
        </w:rPr>
        <w:t xml:space="preserve">However, the safe deployment of autonomous clinical agents at scale introduces a supervision problem that current technology does not solve. Three approaches dominate the current landscape, and each has critical limitations.</w:t>
      </w:r>
    </w:p>
    <w:p>
      <w:pPr>
        <w:spacing w:after="100" w:before="0" w:line="260"/>
        <w:jc w:val="left"/>
      </w:pPr>
      <w:r>
        <w:rPr>
          <w:rFonts w:ascii="Arial" w:cs="Arial" w:eastAsia="Arial" w:hAnsi="Arial"/>
          <w:b/>
          <w:bCs/>
          <w:sz w:val="22"/>
          <w:szCs w:val="22"/>
        </w:rPr>
        <w:t xml:space="preserve">Rule based verification </w:t>
      </w:r>
      <w:r>
        <w:rPr>
          <w:rFonts w:ascii="Arial" w:cs="Arial" w:eastAsia="Arial" w:hAnsi="Arial"/>
          <w:sz w:val="22"/>
          <w:szCs w:val="22"/>
        </w:rPr>
        <w:t xml:space="preserve">checks recommendations against drug interaction databases, dosage ranges, and guideline compliance. These systems catch known, catalogued errors but cannot detect novel failure modes or context dependent reasoning gaps where the recommendation technically falls within bounds but is inappropriate for the specific patient's full clinical picture.</w:t>
      </w:r>
    </w:p>
    <w:p>
      <w:pPr>
        <w:spacing w:after="100" w:before="0" w:line="260"/>
        <w:jc w:val="left"/>
      </w:pPr>
      <w:r>
        <w:rPr>
          <w:rFonts w:ascii="Arial" w:cs="Arial" w:eastAsia="Arial" w:hAnsi="Arial"/>
          <w:b/>
          <w:bCs/>
          <w:sz w:val="22"/>
          <w:szCs w:val="22"/>
        </w:rPr>
        <w:t xml:space="preserve">Human in the loop review </w:t>
      </w:r>
      <w:r>
        <w:rPr>
          <w:rFonts w:ascii="Arial" w:cs="Arial" w:eastAsia="Arial" w:hAnsi="Arial"/>
          <w:sz w:val="22"/>
          <w:szCs w:val="22"/>
        </w:rPr>
        <w:t xml:space="preserve">places clinicians as the final check on AI recommendations. This approach does not scale to continuous 24/7 autonomous operation, and research demonstrates that clinicians themselves struggle to detect AI hallucinations, particularly when the AI's reasoning appears superficially coherent.</w:t>
      </w:r>
    </w:p>
    <w:p>
      <w:pPr>
        <w:spacing w:after="100" w:before="0" w:line="260"/>
        <w:jc w:val="left"/>
      </w:pPr>
      <w:r>
        <w:rPr>
          <w:rFonts w:ascii="Arial" w:cs="Arial" w:eastAsia="Arial" w:hAnsi="Arial"/>
          <w:b/>
          <w:bCs/>
          <w:sz w:val="22"/>
          <w:szCs w:val="22"/>
        </w:rPr>
        <w:t xml:space="preserve">Single model evaluator approaches </w:t>
      </w:r>
      <w:r>
        <w:rPr>
          <w:rFonts w:ascii="Arial" w:cs="Arial" w:eastAsia="Arial" w:hAnsi="Arial"/>
          <w:sz w:val="22"/>
          <w:szCs w:val="22"/>
        </w:rPr>
        <w:t xml:space="preserve">use a second language model to evaluate the first model's outputs. While more scalable than human review, single pass evaluators tend toward agreement with the output they are assessing, lack structured comparison mechanisms, and produce confidence assessments that are not grounded in independent clinical reasoning.</w:t>
      </w:r>
    </w:p>
    <w:p>
      <w:pPr>
        <w:spacing w:after="100" w:before="0" w:line="260"/>
        <w:jc w:val="left"/>
      </w:pPr>
      <w:r>
        <w:rPr>
          <w:rFonts w:ascii="Arial" w:cs="Arial" w:eastAsia="Arial" w:hAnsi="Arial"/>
          <w:sz w:val="22"/>
          <w:szCs w:val="22"/>
        </w:rPr>
        <w:t xml:space="preserve">The addressable problem is clear: autonomous clinical AI requires autonomous supervision that is independent, structured, continuous, and auditable. Iris Sentinel addresses this gap through a layered verification architecture that combines independent clinical reasoning, adversarial stress testing, and continuous regression monitoring into a single, integrated supervisory system.</w:t>
      </w:r>
    </w:p>
    <w:p>
      <w:pPr>
        <w:pStyle w:val="Heading2"/>
        <w:spacing w:after="50" w:before="140" w:line="260"/>
        <w:jc w:val="left"/>
      </w:pPr>
      <w:r>
        <w:rPr>
          <w:rFonts w:ascii="Arial" w:cs="Arial" w:eastAsia="Arial" w:hAnsi="Arial"/>
          <w:b/>
          <w:bCs/>
          <w:sz w:val="23"/>
          <w:szCs w:val="23"/>
        </w:rPr>
        <w:t xml:space="preserve">2. Solution Design, Development, and Validation</w:t>
      </w:r>
    </w:p>
    <w:p>
      <w:pPr>
        <w:spacing w:after="50" w:before="0" w:line="260"/>
        <w:jc w:val="left"/>
      </w:pPr>
      <w:r>
        <w:rPr>
          <w:rFonts w:ascii="Arial" w:cs="Arial" w:eastAsia="Arial" w:hAnsi="Arial"/>
          <w:b/>
          <w:bCs/>
          <w:sz w:val="22"/>
          <w:szCs w:val="22"/>
        </w:rPr>
        <w:t xml:space="preserve">2.1 Core Architecture: Layered Verification</w:t>
      </w:r>
    </w:p>
    <w:p>
      <w:pPr>
        <w:spacing w:after="100" w:before="0" w:line="260"/>
        <w:jc w:val="left"/>
      </w:pPr>
      <w:r>
        <w:rPr>
          <w:rFonts w:ascii="Arial" w:cs="Arial" w:eastAsia="Arial" w:hAnsi="Arial"/>
          <w:sz w:val="22"/>
          <w:szCs w:val="22"/>
        </w:rPr>
        <w:t xml:space="preserve">Iris Sentinel is not patient facing. It operates as an automated gatekeeper that evaluates every action, message, and clinical order that the TA1 clinical agent attempts to deliver. No output from the clinical agent reaches the patient, the clinician, or the health system without first passing through Iris Sentinel's verification layers.</w:t>
      </w:r>
    </w:p>
    <w:p>
      <w:pPr>
        <w:spacing w:after="100" w:before="0" w:line="260"/>
        <w:jc w:val="left"/>
      </w:pPr>
      <w:r>
        <w:rPr>
          <w:rFonts w:ascii="Arial" w:cs="Arial" w:eastAsia="Arial" w:hAnsi="Arial"/>
          <w:b/>
          <w:bCs/>
          <w:sz w:val="22"/>
          <w:szCs w:val="22"/>
        </w:rPr>
        <w:t xml:space="preserve">Layer 1: Independent Clinical Verification. </w:t>
      </w:r>
      <w:r>
        <w:rPr>
          <w:rFonts w:ascii="Arial" w:cs="Arial" w:eastAsia="Arial" w:hAnsi="Arial"/>
          <w:sz w:val="22"/>
          <w:szCs w:val="22"/>
        </w:rPr>
        <w:t xml:space="preserve">When the clinical agent produces a recommendation, Iris Sentinel simultaneously receives the same patient data through a standardized API. Using its own foundation model (a clinically fine tuned model in the 8 to 70 billion parameter range, selected during Phase 1A based on accuracy and latency benchmarking) and its own retrieval augmented generation pipeline drawing from independently maintained clinical practice guidelines, drug interaction databases, FDA safety communications, and the patient's longitudinal health record, Iris Sentinel forms its own clinical assessment of what should be done for this patient. A structured comparison module then analyzes the clinical agent's recommendation against this independent assessment across multiple dimensions: therapeutic direction, drug selection, dosage appropriateness, contraindication awareness, urgency classification, escalation routing, and guideline concordance. Each dimension produces a specific concordance or discordance signal. Agreement across dimensions indicates high confidence. Discordance on any dimension triggers deeper analysis.</w:t>
      </w:r>
    </w:p>
    <w:p>
      <w:pPr>
        <w:spacing w:after="100" w:before="0" w:line="260"/>
        <w:jc w:val="left"/>
      </w:pPr>
      <w:r>
        <w:rPr>
          <w:rFonts w:ascii="Arial" w:cs="Arial" w:eastAsia="Arial" w:hAnsi="Arial"/>
          <w:b/>
          <w:bCs/>
          <w:sz w:val="22"/>
          <w:szCs w:val="22"/>
        </w:rPr>
        <w:t xml:space="preserve">Layer 2: Adversarial Stress Testing. </w:t>
      </w:r>
      <w:r>
        <w:rPr>
          <w:rFonts w:ascii="Arial" w:cs="Arial" w:eastAsia="Arial" w:hAnsi="Arial"/>
          <w:sz w:val="22"/>
          <w:szCs w:val="22"/>
        </w:rPr>
        <w:t xml:space="preserve">For recommendations involving medication changes, escalation decisions, or cases where Layer 1 detected partial discordance, Iris Sentinel runs adversarial stress tests. The system generates clinically realistic variations of the patient's current data: for example, for a proposed diuretic dose increase, it generates scenarios where serum creatinine is 0.2 mg/dL higher, potassium is 0.3 mEq/L lower, and the weight gain trend is 0.5 kg/day steeper. Each variation is sent through the clinical agent's API, and the resulting recommendations are compared. Stable recommendations across perturbations indicate robust clinical reasoning. High variance, where small but clinically meaningful changes in inputs cause large changes in recommended actions inconsistent with guideline expectations, indicates brittle reasoning that should not be trusted. The stress test produces a quantitative stability score that directly informs the final gating decision. This approach requires no access to the clinical agent's internal architecture. It operates entirely through the agent's input output interface.</w:t>
      </w:r>
    </w:p>
    <w:p>
      <w:pPr>
        <w:spacing w:after="100" w:before="0" w:line="260"/>
        <w:jc w:val="left"/>
      </w:pPr>
      <w:r>
        <w:rPr>
          <w:rFonts w:ascii="Arial" w:cs="Arial" w:eastAsia="Arial" w:hAnsi="Arial"/>
          <w:b/>
          <w:bCs/>
          <w:sz w:val="22"/>
          <w:szCs w:val="22"/>
        </w:rPr>
        <w:t xml:space="preserve">Layer 3: Deterministic Safety Verification. </w:t>
      </w:r>
      <w:r>
        <w:rPr>
          <w:rFonts w:ascii="Arial" w:cs="Arial" w:eastAsia="Arial" w:hAnsi="Arial"/>
          <w:sz w:val="22"/>
          <w:szCs w:val="22"/>
        </w:rPr>
        <w:t xml:space="preserve">In parallel with Layers 1 and 2, every recommendation passes through a deterministic safety check: drug drug interaction screening, dosage range verification, renal and hepatic dose adjustments, absolute contraindication checks, and required monitoring verification (for example, ensuring that a potassium check is ordered when a diuretic dose is increased). These checks are implemented as versioned, auditable safety contracts that can be updated as guidelines change. This layer serves as the safety floor that catches clear cut errors regardless of what the other layers conclude.</w:t>
      </w:r>
    </w:p>
    <w:p>
      <w:pPr>
        <w:spacing w:after="100" w:before="0" w:line="260"/>
        <w:jc w:val="left"/>
      </w:pPr>
      <w:r>
        <w:rPr>
          <w:rFonts w:ascii="Arial" w:cs="Arial" w:eastAsia="Arial" w:hAnsi="Arial"/>
          <w:b/>
          <w:bCs/>
          <w:sz w:val="22"/>
          <w:szCs w:val="22"/>
        </w:rPr>
        <w:t xml:space="preserve">Gating Decision. </w:t>
      </w:r>
      <w:r>
        <w:rPr>
          <w:rFonts w:ascii="Arial" w:cs="Arial" w:eastAsia="Arial" w:hAnsi="Arial"/>
          <w:sz w:val="22"/>
          <w:szCs w:val="22"/>
        </w:rPr>
        <w:t xml:space="preserve">The results from all three layers feed into a decision engine that selects one of four dispositions. Approve: all layers concordant, the action proceeds to the patient with full logging. Revise: significant discordance detected on a noncritical dimension, structured feedback is returned to the clinical agent specifying the concern and requesting a revised recommendation. Route to Clinician: the analysis indicates a situation requiring human clinical judgment, the complete verification report is sent to the care team for review and decision. Hard Stop with Safe Mode: critical safety issue identified, the action is blocked, the clinical agent transitions to a restricted operating state limited to low risk actions only, and a human clinician is notified immediately with the complete analysis. Decision thresholds are configurable per healthcare organization and can be adjusted based on the clinical agent's demonstrated track record over time.</w:t>
      </w:r>
    </w:p>
    <w:p>
      <w:pPr>
        <w:spacing w:after="50" w:before="100" w:line="260"/>
        <w:jc w:val="left"/>
      </w:pPr>
      <w:r>
        <w:rPr>
          <w:rFonts w:ascii="Arial" w:cs="Arial" w:eastAsia="Arial" w:hAnsi="Arial"/>
          <w:b/>
          <w:bCs/>
          <w:sz w:val="22"/>
          <w:szCs w:val="22"/>
        </w:rPr>
        <w:t xml:space="preserve">2.2 Proof Carrying Actions</w:t>
      </w:r>
    </w:p>
    <w:p>
      <w:pPr>
        <w:spacing w:after="100" w:before="0" w:line="260"/>
        <w:jc w:val="left"/>
      </w:pPr>
      <w:r>
        <w:rPr>
          <w:rFonts w:ascii="Arial" w:cs="Arial" w:eastAsia="Arial" w:hAnsi="Arial"/>
          <w:sz w:val="22"/>
          <w:szCs w:val="22"/>
        </w:rPr>
        <w:t xml:space="preserve">Every recommendation that Iris Sentinel evaluates carries a structured proof trace. This trace contains: the patient data that was evaluated (hashed for privacy), the clinical agent's recommendation and its stated reasoning, Iris Sentinel's independent assessment and reasoning, the specific comparison results across all dimensions, the adversarial stress test results and stability score, the safety contract checks that passed or failed, the final gating disposition with justification, and a timestamp. This proof trace is not a summary or a log. It is a machine readable, replayable verification record that allows any reviewer, whether a clinician, a hospital administrator, or an FDA auditor, to understand exactly why a recommendation was approved, revised, escalated, or blocked. This design directly supports the FDA MDDT qualification pathway by providing standardized, reproducible evidence of supervisory performance.</w:t>
      </w:r>
    </w:p>
    <w:p>
      <w:pPr>
        <w:spacing w:after="50" w:before="100" w:line="260"/>
        <w:jc w:val="left"/>
      </w:pPr>
      <w:r>
        <w:rPr>
          <w:rFonts w:ascii="Arial" w:cs="Arial" w:eastAsia="Arial" w:hAnsi="Arial"/>
          <w:b/>
          <w:bCs/>
          <w:sz w:val="22"/>
          <w:szCs w:val="22"/>
        </w:rPr>
        <w:t xml:space="preserve">2.3 Continuous Regression Monitoring: Drift Canary System</w:t>
      </w:r>
    </w:p>
    <w:p>
      <w:pPr>
        <w:spacing w:after="100" w:before="0" w:line="260"/>
        <w:jc w:val="left"/>
      </w:pPr>
      <w:r>
        <w:rPr>
          <w:rFonts w:ascii="Arial" w:cs="Arial" w:eastAsia="Arial" w:hAnsi="Arial"/>
          <w:sz w:val="22"/>
          <w:szCs w:val="22"/>
        </w:rPr>
        <w:t xml:space="preserve">Clinical AI agents can degrade over time due to model updates, data distribution shifts, infrastructure changes, or accumulating edge cases. Per recommendation verification catches immediate errors but cannot detect gradual performance degradation across the patient population.</w:t>
      </w:r>
    </w:p>
    <w:p>
      <w:pPr>
        <w:spacing w:after="100" w:before="0" w:line="260"/>
        <w:jc w:val="left"/>
      </w:pPr>
      <w:r>
        <w:rPr>
          <w:rFonts w:ascii="Arial" w:cs="Arial" w:eastAsia="Arial" w:hAnsi="Arial"/>
          <w:sz w:val="22"/>
          <w:szCs w:val="22"/>
        </w:rPr>
        <w:t xml:space="preserve">Iris Sentinel addresses this through the Drift Canary System. The system maintains a versioned library of synthetic test patients, stratified by clinical complexity, failure mode type, and demographic characteristics, each with clinician validated correct answers. These synthetic cases are continuously fed through the clinical agent alongside real patient interactions on a daily and weekly schedule. Iris Sentinel tracks the agent's performance on canary cases over time using multiple metrics: recommendation flip rate (how often the agent changes its answer for the same case), hallucination rate (how often the agent cites evidence that does not exist in the case), constraint violation rate (how often the agent violates safety contracts), and a brittleness index (derived from the adversarial stress tests applied to canary cases).</w:t>
      </w:r>
    </w:p>
    <w:p>
      <w:pPr>
        <w:spacing w:after="100" w:before="0" w:line="260"/>
        <w:jc w:val="left"/>
      </w:pPr>
      <w:r>
        <w:rPr>
          <w:rFonts w:ascii="Arial" w:cs="Arial" w:eastAsia="Arial" w:hAnsi="Arial"/>
          <w:sz w:val="22"/>
          <w:szCs w:val="22"/>
        </w:rPr>
        <w:t xml:space="preserve">When canary metrics degrade beyond configurable thresholds, Iris Sentinel automatically tightens the clinical agent's autonomy level: restricting it to lower risk actions, requiring clinician confirmation for all recommendations, or transitioning to full safe mode. This provides post deployment continuous monitoring that directly addresses the FDA's concerns about adaptive AI systems that may change behavior over time.</w:t>
      </w:r>
    </w:p>
    <w:p>
      <w:pPr>
        <w:spacing w:after="50" w:before="100" w:line="260"/>
        <w:jc w:val="left"/>
      </w:pPr>
      <w:r>
        <w:rPr>
          <w:rFonts w:ascii="Arial" w:cs="Arial" w:eastAsia="Arial" w:hAnsi="Arial"/>
          <w:b/>
          <w:bCs/>
          <w:sz w:val="22"/>
          <w:szCs w:val="22"/>
        </w:rPr>
        <w:t xml:space="preserve">2.4 Quality Estimation Module</w:t>
      </w:r>
    </w:p>
    <w:p>
      <w:pPr>
        <w:spacing w:after="100" w:before="0" w:line="260"/>
        <w:jc w:val="left"/>
      </w:pPr>
      <w:r>
        <w:rPr>
          <w:rFonts w:ascii="Arial" w:cs="Arial" w:eastAsia="Arial" w:hAnsi="Arial"/>
          <w:sz w:val="22"/>
          <w:szCs w:val="22"/>
        </w:rPr>
        <w:t xml:space="preserve">Central to Iris Sentinel's verification capability is a quality estimation module adapted from neural machine translation (NMT) research. In machine translation, quality estimation predicts translation quality from the relationship between the source text and the translation alone, without requiring a reference translation. This technique is well established in the natural language processing community with demonstrated state of the art accuracy in predicting output quality without access to ground truth.</w:t>
      </w:r>
    </w:p>
    <w:p>
      <w:pPr>
        <w:spacing w:after="100" w:before="0" w:line="260"/>
        <w:jc w:val="left"/>
      </w:pPr>
      <w:r>
        <w:rPr>
          <w:rFonts w:ascii="Arial" w:cs="Arial" w:eastAsia="Arial" w:hAnsi="Arial"/>
          <w:sz w:val="22"/>
          <w:szCs w:val="22"/>
        </w:rPr>
        <w:t xml:space="preserve">Iris Sentinel applies this framework to clinical AI supervision. The patient's clinical data serves as the source, the clinical agent's recommendation serves as the translation, and the quality estimation module learns a regression model that maps the combination of patient state, agent output, and verification probe results to a continuous reliability score. This score predicts recommendation quality without requiring patient outcome data as ground truth, enabling real time quality prediction at the point of care months before outcome data would be available. The quality estimation module is trained during Phase 1A on clinician assessments of simulated clinical scenarios and validated during Phase 1B against real agent outputs with clinical oversight from TA3 health systems.</w:t>
      </w:r>
    </w:p>
    <w:p>
      <w:pPr>
        <w:pStyle w:val="Heading2"/>
        <w:spacing w:after="50" w:before="140" w:line="260"/>
        <w:jc w:val="left"/>
      </w:pPr>
      <w:r>
        <w:rPr>
          <w:rFonts w:ascii="Arial" w:cs="Arial" w:eastAsia="Arial" w:hAnsi="Arial"/>
          <w:b/>
          <w:bCs/>
          <w:sz w:val="23"/>
          <w:szCs w:val="23"/>
        </w:rPr>
        <w:t xml:space="preserve">3. Execution Approach and Team Collaboration</w:t>
      </w:r>
    </w:p>
    <w:p>
      <w:pPr>
        <w:spacing w:after="100" w:before="0" w:line="260"/>
        <w:jc w:val="left"/>
      </w:pPr>
      <w:r>
        <w:rPr>
          <w:rFonts w:ascii="Arial" w:cs="Arial" w:eastAsia="Arial" w:hAnsi="Arial"/>
          <w:sz w:val="22"/>
          <w:szCs w:val="22"/>
        </w:rPr>
        <w:t xml:space="preserve">The principal investigator will lead all technical development, with advisory support in clinical informatics and regulatory affairs to be recruited for the full proposal phase. The PI brings direct research experience in quality estimation, transformer architectures, and evaluation of model outputs without reference translations, which forms the technical foundation for this proposal.</w:t>
      </w:r>
    </w:p>
    <w:p>
      <w:pPr>
        <w:spacing w:after="100" w:before="0" w:line="260"/>
        <w:jc w:val="left"/>
      </w:pPr>
      <w:r>
        <w:rPr>
          <w:rFonts w:ascii="Arial" w:cs="Arial" w:eastAsia="Arial" w:hAnsi="Arial"/>
          <w:sz w:val="22"/>
          <w:szCs w:val="22"/>
        </w:rPr>
        <w:t xml:space="preserve">Collaboration with TA1 performers will occur through the standardized Remote Monitoring and Control protocol and MCP aligned APIs. Iris Sentinel is designed to integrate with any TA1 agent without requiring access to the agent's internal architecture. During Phase 1A, integration will be validated using simulated TA1 agents with known failure modes injected at controlled rates. During Phase 1B, integration with actual TA1 performer systems will be established. Collaboration with TA3 performers will provide clinical data for training the quality estimation module, clinical environments for system validation, and clinician feedback for refining decision thresholds. Data generated by Iris Sentinel, including proof traces, canary test results, and drift metrics, will be shared with the IV&amp;V partner and made available to other ADVOCATE performers per program data sharing requirements.</w:t>
      </w:r>
    </w:p>
    <w:p>
      <w:pPr>
        <w:pStyle w:val="Heading2"/>
        <w:spacing w:after="50" w:before="140" w:line="260"/>
        <w:jc w:val="left"/>
      </w:pPr>
      <w:r>
        <w:rPr>
          <w:rFonts w:ascii="Arial" w:cs="Arial" w:eastAsia="Arial" w:hAnsi="Arial"/>
          <w:b/>
          <w:bCs/>
          <w:sz w:val="23"/>
          <w:szCs w:val="23"/>
        </w:rPr>
        <w:t xml:space="preserve">4. Final Deliverables and Key Milestones</w:t>
      </w:r>
    </w:p>
    <w:p>
      <w:pPr>
        <w:spacing w:after="100" w:before="0" w:line="260"/>
        <w:jc w:val="left"/>
      </w:pPr>
      <w:r>
        <w:rPr>
          <w:rFonts w:ascii="Arial" w:cs="Arial" w:eastAsia="Arial" w:hAnsi="Arial"/>
          <w:b/>
          <w:bCs/>
          <w:sz w:val="22"/>
          <w:szCs w:val="22"/>
        </w:rPr>
        <w:t xml:space="preserve">Final Deliverable: </w:t>
      </w:r>
      <w:r>
        <w:rPr>
          <w:rFonts w:ascii="Arial" w:cs="Arial" w:eastAsia="Arial" w:hAnsi="Arial"/>
          <w:sz w:val="22"/>
          <w:szCs w:val="22"/>
        </w:rPr>
        <w:t xml:space="preserve">An open source, disease agnostic supervisory agent with FDA MDDT qualification documentation, validated for deployment in TA3 health system scalability studies, capable of monitoring any TA1 clinical agent through standardized APIs with sub second response latency.</w:t>
      </w:r>
    </w:p>
    <w:p>
      <w:pPr>
        <w:spacing w:after="100" w:before="0" w:line="260"/>
        <w:jc w:val="left"/>
      </w:pPr>
      <w:r>
        <w:rPr>
          <w:rFonts w:ascii="Arial" w:cs="Arial" w:eastAsia="Arial" w:hAnsi="Arial"/>
          <w:b/>
          <w:bCs/>
          <w:sz w:val="22"/>
          <w:szCs w:val="22"/>
        </w:rPr>
        <w:t xml:space="preserve">Milestone 1 (Month 6): </w:t>
      </w:r>
      <w:r>
        <w:rPr>
          <w:rFonts w:ascii="Arial" w:cs="Arial" w:eastAsia="Arial" w:hAnsi="Arial"/>
          <w:sz w:val="22"/>
          <w:szCs w:val="22"/>
        </w:rPr>
        <w:t xml:space="preserve">Functional prototype of the three layer verification system (independent verification, adversarial stress testing, deterministic safety checks) demonstrated on simulated heart failure clinical scenarios using MIMIC IV derived cases. Proof trace generation operational. Initial canary test suite developed with at least 200 clinician validated synthetic cases.</w:t>
      </w:r>
    </w:p>
    <w:p>
      <w:pPr>
        <w:spacing w:after="100" w:before="0" w:line="260"/>
        <w:jc w:val="left"/>
      </w:pPr>
      <w:r>
        <w:rPr>
          <w:rFonts w:ascii="Arial" w:cs="Arial" w:eastAsia="Arial" w:hAnsi="Arial"/>
          <w:b/>
          <w:bCs/>
          <w:sz w:val="22"/>
          <w:szCs w:val="22"/>
        </w:rPr>
        <w:t xml:space="preserve">Milestone 2 (Month 9, IV&amp;V Study): </w:t>
      </w:r>
      <w:r>
        <w:rPr>
          <w:rFonts w:ascii="Arial" w:cs="Arial" w:eastAsia="Arial" w:hAnsi="Arial"/>
          <w:sz w:val="22"/>
          <w:szCs w:val="22"/>
        </w:rPr>
        <w:t xml:space="preserve">Full system including drift canary monitoring and quality estimation module evaluated on simulated TA1 agent outputs. Performance benchmarked against TA2 metrics: accuracy of clinical agent assessment, hallucination detection rate, uncertainty quantification, acuity determination, and task assignment evaluation. Pre submission meeting with FDA completed for MDDT qualification strategy alignment.</w:t>
      </w:r>
    </w:p>
    <w:p>
      <w:pPr>
        <w:pStyle w:val="Heading2"/>
        <w:spacing w:after="50" w:before="140" w:line="260"/>
        <w:jc w:val="left"/>
      </w:pPr>
      <w:r>
        <w:rPr>
          <w:rFonts w:ascii="Arial" w:cs="Arial" w:eastAsia="Arial" w:hAnsi="Arial"/>
          <w:b/>
          <w:bCs/>
          <w:sz w:val="23"/>
          <w:szCs w:val="23"/>
        </w:rPr>
        <w:t xml:space="preserve">5. Architecture, Development Plan, and Risk Mitigation</w:t>
      </w:r>
    </w:p>
    <w:p>
      <w:pPr>
        <w:spacing w:after="50" w:before="0" w:line="260"/>
        <w:jc w:val="left"/>
      </w:pPr>
      <w:r>
        <w:rPr>
          <w:rFonts w:ascii="Arial" w:cs="Arial" w:eastAsia="Arial" w:hAnsi="Arial"/>
          <w:b/>
          <w:bCs/>
          <w:sz w:val="22"/>
          <w:szCs w:val="22"/>
        </w:rPr>
        <w:t xml:space="preserve">Agentic Solution Architecture and Interoperability</w:t>
      </w:r>
    </w:p>
    <w:p>
      <w:pPr>
        <w:spacing w:after="100" w:before="0" w:line="260"/>
        <w:jc w:val="left"/>
      </w:pPr>
      <w:r>
        <w:rPr>
          <w:rFonts w:ascii="Arial" w:cs="Arial" w:eastAsia="Arial" w:hAnsi="Arial"/>
          <w:sz w:val="22"/>
          <w:szCs w:val="22"/>
        </w:rPr>
        <w:t xml:space="preserve">Iris Sentinel connects to the clinical agent through a standardized, open source Remote Monitoring and Control protocol aligned with the Model Context Protocol (MCP). Patient data is ingested through FHIR R4 compliant interfaces with HL7v2 support for legacy systems. The system comprises seven modular components: (1) Data Ingestion Layer handling FHIR/HL7 interfaces and TA1 API connection, (2) Knowledge Base providing the RAG pipeline with clinical guidelines, drug databases, and FDA communications, (3) Independent Reasoning Engine using a clinically fine tuned foundation model with a clinical prompting framework, (4) Structured Comparison Module performing dimension by dimension analysis, (5) Adversarial Stress Testing Engine generating perturbations and measuring stability, (6) Quality Estimation Scorer producing the learned quality prediction, and (7) Audit and Proof Trace Logger generating immutable verification records. All components are designed for containerized deployment within healthcare organization infrastructure. Automation is integral to every component: the system runs continuously without manual triggers, processes every clinical agent output in real time, and adjusts autonomy levels automatically based on ongoing canary monitoring.</w:t>
      </w:r>
    </w:p>
    <w:p>
      <w:pPr>
        <w:spacing w:after="50" w:before="80" w:line="260"/>
        <w:jc w:val="left"/>
      </w:pPr>
      <w:r>
        <w:rPr>
          <w:rFonts w:ascii="Arial" w:cs="Arial" w:eastAsia="Arial" w:hAnsi="Arial"/>
          <w:b/>
          <w:bCs/>
          <w:sz w:val="22"/>
          <w:szCs w:val="22"/>
        </w:rPr>
        <w:t xml:space="preserve">Development Plan</w:t>
      </w:r>
    </w:p>
    <w:p>
      <w:pPr>
        <w:spacing w:after="100" w:before="0" w:line="260"/>
        <w:jc w:val="left"/>
      </w:pPr>
      <w:r>
        <w:rPr>
          <w:rFonts w:ascii="Arial" w:cs="Arial" w:eastAsia="Arial" w:hAnsi="Arial"/>
          <w:sz w:val="22"/>
          <w:szCs w:val="22"/>
        </w:rPr>
        <w:t xml:space="preserve">Phase 1A (Months 1 through 12): Build and validate the prototype. Develop the three layer verification system using MIMIC IV derived clinical scenarios and simulated TA1 agents with known failure modes. Train the quality estimation module on clinician assessments. Build the initial canary test suite. Complete IV&amp;V study at Month 9. Deliver functional prototype for down selection.</w:t>
      </w:r>
    </w:p>
    <w:p>
      <w:pPr>
        <w:spacing w:after="100" w:before="0" w:line="260"/>
        <w:jc w:val="left"/>
      </w:pPr>
      <w:r>
        <w:rPr>
          <w:rFonts w:ascii="Arial" w:cs="Arial" w:eastAsia="Arial" w:hAnsi="Arial"/>
          <w:sz w:val="22"/>
          <w:szCs w:val="22"/>
        </w:rPr>
        <w:t xml:space="preserve">Phase 1B (Months 13 through 24): Integrate and harden. Connect to actual TA1 performer systems. Validate against real clinical agent outputs with TA3 clinical oversight. Expand the canary test suite to cover diverse patient populations. Optimize for sub second latency. Begin FDA MDDT pre submission process. Complete IV&amp;V study at Month 21.</w:t>
      </w:r>
    </w:p>
    <w:p>
      <w:pPr>
        <w:spacing w:after="100" w:before="0" w:line="260"/>
        <w:jc w:val="left"/>
      </w:pPr>
      <w:r>
        <w:rPr>
          <w:rFonts w:ascii="Arial" w:cs="Arial" w:eastAsia="Arial" w:hAnsi="Arial"/>
          <w:sz w:val="22"/>
          <w:szCs w:val="22"/>
        </w:rPr>
        <w:t xml:space="preserve">Phase 2 (Months 25 through 39): Deploy and monitor. Deploy in TA3 health system scalability studies. Validate long term drift detection. Collect post market surveillance data. Complete MDDT qualification submission. Open source release of the core platform.</w:t>
      </w:r>
    </w:p>
    <w:p>
      <w:pPr>
        <w:spacing w:after="50" w:before="80" w:line="260"/>
        <w:jc w:val="left"/>
      </w:pPr>
      <w:r>
        <w:rPr>
          <w:rFonts w:ascii="Arial" w:cs="Arial" w:eastAsia="Arial" w:hAnsi="Arial"/>
          <w:b/>
          <w:bCs/>
          <w:sz w:val="22"/>
          <w:szCs w:val="22"/>
        </w:rPr>
        <w:t xml:space="preserve">Data Privacy and Cybersecurity</w:t>
      </w:r>
    </w:p>
    <w:p>
      <w:pPr>
        <w:spacing w:after="100" w:before="0" w:line="260"/>
        <w:jc w:val="left"/>
      </w:pPr>
      <w:r>
        <w:rPr>
          <w:rFonts w:ascii="Arial" w:cs="Arial" w:eastAsia="Arial" w:hAnsi="Arial"/>
          <w:sz w:val="22"/>
          <w:szCs w:val="22"/>
        </w:rPr>
        <w:t xml:space="preserve">All patient data is processed within healthcare organization infrastructure. No patient data leaves the institutional environment. Proof traces contain hashed patient identifiers, not raw data. The RAG knowledge base contains only de identified clinical guidelines and public drug information. All communication between Iris Sentinel and the clinical agent occurs over encrypted channels within the institutional network. The system is designed for HIPAA compliance and will undergo security assessment during Phase 1A.</w:t>
      </w:r>
    </w:p>
    <w:p>
      <w:pPr>
        <w:spacing w:after="50" w:before="80" w:line="260"/>
        <w:jc w:val="left"/>
      </w:pPr>
      <w:r>
        <w:rPr>
          <w:rFonts w:ascii="Arial" w:cs="Arial" w:eastAsia="Arial" w:hAnsi="Arial"/>
          <w:b/>
          <w:bCs/>
          <w:sz w:val="22"/>
          <w:szCs w:val="22"/>
        </w:rPr>
        <w:t xml:space="preserve">Risk Identification and Mitigation</w:t>
      </w:r>
    </w:p>
    <w:p>
      <w:pPr>
        <w:spacing w:after="100" w:before="0" w:line="260"/>
        <w:jc w:val="left"/>
      </w:pPr>
      <w:r>
        <w:rPr>
          <w:rFonts w:ascii="Arial" w:cs="Arial" w:eastAsia="Arial" w:hAnsi="Arial"/>
          <w:sz w:val="22"/>
          <w:szCs w:val="22"/>
        </w:rPr>
        <w:t xml:space="preserve">Risk 1: Independent assessment disagrees with expert clinical judgment. Mitigation: Quality estimation module is calibrated against clinician assessments during Phase 1A. Decision thresholds are tuned to minimize false positives while maintaining safety sensitivity.</w:t>
      </w:r>
    </w:p>
    <w:p>
      <w:pPr>
        <w:spacing w:after="100" w:before="0" w:line="260"/>
        <w:jc w:val="left"/>
      </w:pPr>
      <w:r>
        <w:rPr>
          <w:rFonts w:ascii="Arial" w:cs="Arial" w:eastAsia="Arial" w:hAnsi="Arial"/>
          <w:sz w:val="22"/>
          <w:szCs w:val="22"/>
        </w:rPr>
        <w:t xml:space="preserve">Risk 2: Adversarial stress tests generate unrealistic patient scenarios. Mitigation: Perturbation ranges are constrained to clinically plausible values derived from MIMIC IV population distributions. Clinical advisors review perturbation parameters.</w:t>
      </w:r>
    </w:p>
    <w:p>
      <w:pPr>
        <w:spacing w:after="100" w:before="0" w:line="260"/>
        <w:jc w:val="left"/>
      </w:pPr>
      <w:r>
        <w:rPr>
          <w:rFonts w:ascii="Arial" w:cs="Arial" w:eastAsia="Arial" w:hAnsi="Arial"/>
          <w:sz w:val="22"/>
          <w:szCs w:val="22"/>
        </w:rPr>
        <w:t xml:space="preserve">Risk 3: Latency exceeds the sub second target. Mitigation: Parallel execution of all three verification layers. Model quantization and caching of frequently accessed clinical guidelines. Progressive deployment starting with batch verification and moving to real time.</w:t>
      </w:r>
    </w:p>
    <w:p>
      <w:pPr>
        <w:spacing w:after="100" w:before="0" w:line="260"/>
        <w:jc w:val="left"/>
      </w:pPr>
      <w:r>
        <w:rPr>
          <w:rFonts w:ascii="Arial" w:cs="Arial" w:eastAsia="Arial" w:hAnsi="Arial"/>
          <w:sz w:val="22"/>
          <w:szCs w:val="22"/>
        </w:rPr>
        <w:t xml:space="preserve">Risk 4: Canary test cases become stale or unrepresentative. Mitigation: Canary suite is versioned and updated quarterly with new cases reflecting emerging clinical scenarios and failure modes identified during operation.</w:t>
      </w:r>
    </w:p>
    <w:p>
      <w:pPr>
        <w:spacing w:after="50" w:before="80" w:line="260"/>
        <w:jc w:val="left"/>
      </w:pPr>
      <w:r>
        <w:rPr>
          <w:rFonts w:ascii="Arial" w:cs="Arial" w:eastAsia="Arial" w:hAnsi="Arial"/>
          <w:b/>
          <w:bCs/>
          <w:sz w:val="22"/>
          <w:szCs w:val="22"/>
        </w:rPr>
        <w:t xml:space="preserve">IV&amp;V Data Generation</w:t>
      </w:r>
    </w:p>
    <w:p>
      <w:pPr>
        <w:spacing w:after="100" w:before="0" w:line="260"/>
        <w:jc w:val="left"/>
      </w:pPr>
      <w:r>
        <w:rPr>
          <w:rFonts w:ascii="Arial" w:cs="Arial" w:eastAsia="Arial" w:hAnsi="Arial"/>
          <w:sz w:val="22"/>
          <w:szCs w:val="22"/>
        </w:rPr>
        <w:t xml:space="preserve">Iris Sentinel generates structured data for Independent Verification and Validation at every level of operation: per recommendation proof traces with full verification details, aggregated performance metrics across patient populations, canary regression test results tracked over time, and adversarial stress test stability scores. All data is formatted for automated analysis and made available to the IV&amp;V partner through secure data sharing protocols established during Phase 1A.</w:t>
      </w:r>
    </w:p>
    <w:p>
      <w:pPr>
        <w:spacing w:after="50" w:before="80" w:line="260"/>
        <w:jc w:val="left"/>
      </w:pPr>
      <w:r>
        <w:rPr>
          <w:rFonts w:ascii="Arial" w:cs="Arial" w:eastAsia="Arial" w:hAnsi="Arial"/>
          <w:b/>
          <w:bCs/>
          <w:sz w:val="22"/>
          <w:szCs w:val="22"/>
        </w:rPr>
        <w:t xml:space="preserve">Disease Agnostic Design and Regulatory Strategy</w:t>
      </w:r>
    </w:p>
    <w:p>
      <w:pPr>
        <w:spacing w:after="100" w:before="0" w:line="260"/>
        <w:jc w:val="left"/>
      </w:pPr>
      <w:r>
        <w:rPr>
          <w:rFonts w:ascii="Arial" w:cs="Arial" w:eastAsia="Arial" w:hAnsi="Arial"/>
          <w:sz w:val="22"/>
          <w:szCs w:val="22"/>
        </w:rPr>
        <w:t xml:space="preserve">The layered verification architecture is inherently disease agnostic. The supervisory logic (independent assessment, structured comparison, adversarial stress testing, continuous regression monitoring) does not depend on cardiovascular specific knowledge. Clinical domain knowledge is contained entirely within the RAG knowledge base, which can be configured for any disease area. Within ADVOCATE, we validate on cardiovascular disease. The architecture generalizes to any clinical agent monitoring use case. This supports the FDA MDDT qualification pathway: Iris Sentinel provides a standardized, reproducible methodology for evaluating any clinical AI agent, establishing it as an industry standard for clinical AI supervision.</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Team, Organization, and Capabilities</w:t>
      </w:r>
    </w:p>
    <w:p>
      <w:pPr>
        <w:pStyle w:val="Heading2"/>
        <w:spacing w:after="50" w:before="140" w:line="260"/>
        <w:jc w:val="left"/>
      </w:pPr>
      <w:r>
        <w:rPr>
          <w:rFonts w:ascii="Arial" w:cs="Arial" w:eastAsia="Arial" w:hAnsi="Arial"/>
          <w:b/>
          <w:bCs/>
          <w:sz w:val="23"/>
          <w:szCs w:val="23"/>
        </w:rPr>
        <w:t xml:space="preserve">1. Team Roles and Responsibilities</w:t>
      </w:r>
    </w:p>
    <w:p>
      <w:pPr>
        <w:spacing w:after="100" w:before="0" w:line="260"/>
        <w:jc w:val="left"/>
      </w:pPr>
      <w:r>
        <w:rPr>
          <w:rFonts w:ascii="Arial" w:cs="Arial" w:eastAsia="Arial" w:hAnsi="Arial"/>
          <w:b/>
          <w:bCs/>
          <w:sz w:val="22"/>
          <w:szCs w:val="22"/>
        </w:rPr>
        <w:t xml:space="preserve">Waiz Khan, Principal Investigator and Lead Developer. </w:t>
      </w:r>
      <w:r>
        <w:rPr>
          <w:rFonts w:ascii="Arial" w:cs="Arial" w:eastAsia="Arial" w:hAnsi="Arial"/>
          <w:sz w:val="22"/>
          <w:szCs w:val="22"/>
        </w:rPr>
        <w:t xml:space="preserve">Responsible for all technical design, development, and validation of the Iris Sentinel supervisory system. Leads architecture decisions, implements the verification layers, trains the quality estimation module, and manages integration with TA1 and TA3 performers.</w:t>
      </w:r>
    </w:p>
    <w:p>
      <w:pPr>
        <w:spacing w:after="100" w:before="0" w:line="260"/>
        <w:jc w:val="left"/>
      </w:pPr>
      <w:r>
        <w:rPr>
          <w:rFonts w:ascii="Arial" w:cs="Arial" w:eastAsia="Arial" w:hAnsi="Arial"/>
          <w:b/>
          <w:bCs/>
          <w:sz w:val="22"/>
          <w:szCs w:val="22"/>
        </w:rPr>
        <w:t xml:space="preserve">Clinical Informatics Advisor (to be recruited for full proposal). </w:t>
      </w:r>
      <w:r>
        <w:rPr>
          <w:rFonts w:ascii="Arial" w:cs="Arial" w:eastAsia="Arial" w:hAnsi="Arial"/>
          <w:sz w:val="22"/>
          <w:szCs w:val="22"/>
        </w:rPr>
        <w:t xml:space="preserve">Will provide clinical validation of the independent assessment pipeline, review canary test case clinical accuracy, and advise on guideline integration.</w:t>
      </w:r>
    </w:p>
    <w:p>
      <w:pPr>
        <w:spacing w:after="100" w:before="0" w:line="260"/>
        <w:jc w:val="left"/>
      </w:pPr>
      <w:r>
        <w:rPr>
          <w:rFonts w:ascii="Arial" w:cs="Arial" w:eastAsia="Arial" w:hAnsi="Arial"/>
          <w:b/>
          <w:bCs/>
          <w:sz w:val="22"/>
          <w:szCs w:val="22"/>
        </w:rPr>
        <w:t xml:space="preserve">Regulatory Affairs Consultant (to be recruited for full proposal). </w:t>
      </w:r>
      <w:r>
        <w:rPr>
          <w:rFonts w:ascii="Arial" w:cs="Arial" w:eastAsia="Arial" w:hAnsi="Arial"/>
          <w:sz w:val="22"/>
          <w:szCs w:val="22"/>
        </w:rPr>
        <w:t xml:space="preserve">Will guide the FDA MDDT qualification strategy, support pre submission meetings, and ensure the proof trace format meets regulatory expectations.</w:t>
      </w:r>
    </w:p>
    <w:p>
      <w:pPr>
        <w:pStyle w:val="Heading2"/>
        <w:spacing w:after="50" w:before="140" w:line="260"/>
        <w:jc w:val="left"/>
      </w:pPr>
      <w:r>
        <w:rPr>
          <w:rFonts w:ascii="Arial" w:cs="Arial" w:eastAsia="Arial" w:hAnsi="Arial"/>
          <w:b/>
          <w:bCs/>
          <w:sz w:val="23"/>
          <w:szCs w:val="23"/>
        </w:rPr>
        <w:t xml:space="preserve">2. Key Personnel</w:t>
      </w:r>
    </w:p>
    <w:p>
      <w:pPr>
        <w:spacing w:after="100" w:before="0" w:line="260"/>
        <w:jc w:val="left"/>
      </w:pPr>
      <w:r>
        <w:rPr>
          <w:rFonts w:ascii="Arial" w:cs="Arial" w:eastAsia="Arial" w:hAnsi="Arial"/>
          <w:b/>
          <w:bCs/>
          <w:sz w:val="22"/>
          <w:szCs w:val="22"/>
        </w:rPr>
        <w:t xml:space="preserve">Waiz Khan </w:t>
      </w:r>
      <w:r>
        <w:rPr>
          <w:rFonts w:ascii="Arial" w:cs="Arial" w:eastAsia="Arial" w:hAnsi="Arial"/>
          <w:sz w:val="22"/>
          <w:szCs w:val="22"/>
        </w:rPr>
        <w:t xml:space="preserve">| Principal Investigator | M.S. Engineering Data Science Candidate | Johns Hopkins University</w:t>
      </w:r>
    </w:p>
    <w:p>
      <w:pPr>
        <w:spacing w:after="100" w:before="0" w:line="260"/>
        <w:jc w:val="left"/>
      </w:pPr>
      <w:r>
        <w:rPr>
          <w:rFonts w:ascii="Arial" w:cs="Arial" w:eastAsia="Arial" w:hAnsi="Arial"/>
          <w:sz w:val="22"/>
          <w:szCs w:val="22"/>
        </w:rPr>
        <w:t xml:space="preserve">The PI brings direct research experience in neural machine translation with focus on quality estimation, which is the core technical methodology underlying Iris Sentinel's verification approach. This research involves predicting output quality without reference translations, training evaluation models on learned representations, and developing methods for assessing model outputs in the absence of ground truth. The PI's expertise in transformer architectures, retrieval augmented generation, and model evaluation methodologies directly applies to building the independent reasoning engine, the quality estimation scorer, and the structured comparison module.</w:t>
      </w:r>
    </w:p>
    <w:p>
      <w:pPr>
        <w:spacing w:after="100" w:before="0" w:line="260"/>
        <w:jc w:val="left"/>
      </w:pPr>
      <w:r>
        <w:rPr>
          <w:rFonts w:ascii="Arial" w:cs="Arial" w:eastAsia="Arial" w:hAnsi="Arial"/>
          <w:sz w:val="22"/>
          <w:szCs w:val="22"/>
        </w:rPr>
        <w:t xml:space="preserve">Additional relevant experience includes: development of machine learning pipelines for clinical applications including a cuffless blood pressure estimation system using on device machine learning, data science internship building predictive models for healthcare analytics, and advanced coursework in natural language processing, computational genomics, machine translation, and quantitative modeling.</w:t>
      </w:r>
    </w:p>
    <w:p>
      <w:pPr>
        <w:spacing w:after="100" w:before="0" w:line="260"/>
        <w:jc w:val="left"/>
      </w:pPr>
      <w:r>
        <w:rPr>
          <w:rFonts w:ascii="Arial" w:cs="Arial" w:eastAsia="Arial" w:hAnsi="Arial"/>
          <w:sz w:val="22"/>
          <w:szCs w:val="22"/>
        </w:rPr>
        <w:t xml:space="preserve">LinkedIn: linkedin.com/in/waiz-khan</w:t>
      </w:r>
    </w:p>
    <w:p>
      <w:pPr>
        <w:pStyle w:val="Heading2"/>
        <w:spacing w:after="50" w:before="140" w:line="260"/>
        <w:jc w:val="left"/>
      </w:pPr>
      <w:r>
        <w:rPr>
          <w:rFonts w:ascii="Arial" w:cs="Arial" w:eastAsia="Arial" w:hAnsi="Arial"/>
          <w:b/>
          <w:bCs/>
          <w:sz w:val="23"/>
          <w:szCs w:val="23"/>
        </w:rPr>
        <w:t xml:space="preserve">3. Evidence of Relevant Experience</w:t>
      </w:r>
    </w:p>
    <w:p>
      <w:pPr>
        <w:spacing w:after="50" w:before="0" w:line="260"/>
        <w:jc w:val="left"/>
      </w:pPr>
      <w:r>
        <w:rPr>
          <w:rFonts w:ascii="Arial" w:cs="Arial" w:eastAsia="Arial" w:hAnsi="Arial"/>
          <w:b/>
          <w:bCs/>
          <w:sz w:val="22"/>
          <w:szCs w:val="22"/>
        </w:rPr>
        <w:t xml:space="preserve">Patient and Clinician Facing Application Development</w:t>
      </w:r>
    </w:p>
    <w:p>
      <w:pPr>
        <w:spacing w:after="100" w:before="0" w:line="260"/>
        <w:jc w:val="left"/>
      </w:pPr>
      <w:r>
        <w:rPr>
          <w:rFonts w:ascii="Arial" w:cs="Arial" w:eastAsia="Arial" w:hAnsi="Arial"/>
          <w:sz w:val="22"/>
          <w:szCs w:val="22"/>
        </w:rPr>
        <w:t xml:space="preserve">The PI has developed health related applications including a cuffless blood pressure monitoring iOS application that uses on device machine learning to estimate blood pressure from sensor data. This demonstrates experience building patient facing health technology with real time data processing and clinical measurement capabilities.</w:t>
      </w:r>
    </w:p>
    <w:p>
      <w:pPr>
        <w:spacing w:after="50" w:before="80" w:line="260"/>
        <w:jc w:val="left"/>
      </w:pPr>
      <w:r>
        <w:rPr>
          <w:rFonts w:ascii="Arial" w:cs="Arial" w:eastAsia="Arial" w:hAnsi="Arial"/>
          <w:b/>
          <w:bCs/>
          <w:sz w:val="22"/>
          <w:szCs w:val="22"/>
        </w:rPr>
        <w:t xml:space="preserve">Proposed Techniques and Models</w:t>
      </w:r>
    </w:p>
    <w:p>
      <w:pPr>
        <w:spacing w:after="100" w:before="0" w:line="260"/>
        <w:jc w:val="left"/>
      </w:pPr>
      <w:r>
        <w:rPr>
          <w:rFonts w:ascii="Arial" w:cs="Arial" w:eastAsia="Arial" w:hAnsi="Arial"/>
          <w:sz w:val="22"/>
          <w:szCs w:val="22"/>
        </w:rPr>
        <w:t xml:space="preserve">The PI's active research in neural machine translation directly involves the quality estimation techniques proposed for Iris Sentinel. This includes training models to predict translation quality without reference outputs, developing evaluation frameworks for generative AI systems, and building retrieval augmented generation pipelines. These techniques transfer directly to the clinical AI supervision domain.</w:t>
      </w:r>
    </w:p>
    <w:p>
      <w:pPr>
        <w:spacing w:after="50" w:before="80" w:line="260"/>
        <w:jc w:val="left"/>
      </w:pPr>
      <w:r>
        <w:rPr>
          <w:rFonts w:ascii="Arial" w:cs="Arial" w:eastAsia="Arial" w:hAnsi="Arial"/>
          <w:b/>
          <w:bCs/>
          <w:sz w:val="22"/>
          <w:szCs w:val="22"/>
        </w:rPr>
        <w:t xml:space="preserve">Risk Mitigation and Quality Control</w:t>
      </w:r>
    </w:p>
    <w:p>
      <w:pPr>
        <w:spacing w:after="100" w:before="0" w:line="260"/>
        <w:jc w:val="left"/>
      </w:pPr>
      <w:r>
        <w:rPr>
          <w:rFonts w:ascii="Arial" w:cs="Arial" w:eastAsia="Arial" w:hAnsi="Arial"/>
          <w:sz w:val="22"/>
          <w:szCs w:val="22"/>
        </w:rPr>
        <w:t xml:space="preserve">The proposed three layer verification architecture is itself a quality control methodology. The PI's experience in building and evaluating machine learning systems, combined with coursework in computational methods and data science, provides the foundation for implementing rigorous testing frameworks including the canary drift monitoring system.</w:t>
      </w:r>
    </w:p>
    <w:p>
      <w:pPr>
        <w:spacing w:after="50" w:before="80" w:line="260"/>
        <w:jc w:val="left"/>
      </w:pPr>
      <w:r>
        <w:rPr>
          <w:rFonts w:ascii="Arial" w:cs="Arial" w:eastAsia="Arial" w:hAnsi="Arial"/>
          <w:b/>
          <w:bCs/>
          <w:sz w:val="22"/>
          <w:szCs w:val="22"/>
        </w:rPr>
        <w:t xml:space="preserve">FDA Regulated Product Development</w:t>
      </w:r>
    </w:p>
    <w:p>
      <w:pPr>
        <w:spacing w:after="100" w:before="0" w:line="260"/>
        <w:jc w:val="left"/>
      </w:pPr>
      <w:r>
        <w:rPr>
          <w:rFonts w:ascii="Arial" w:cs="Arial" w:eastAsia="Arial" w:hAnsi="Arial"/>
          <w:sz w:val="22"/>
          <w:szCs w:val="22"/>
        </w:rPr>
        <w:t xml:space="preserve">The PI does not have prior FDA submission experience. A regulatory affairs consultant with MDDT experience will be recruited for the full proposal and program execution. The PI's on device clinical measurement application development demonstrates familiarity with the intersection of technology and clinical measurement, which informs the regulatory strategy.</w:t>
      </w:r>
    </w:p>
    <w:p>
      <w:pPr>
        <w:spacing w:after="50" w:before="80" w:line="260"/>
        <w:jc w:val="left"/>
      </w:pPr>
      <w:r>
        <w:rPr>
          <w:rFonts w:ascii="Arial" w:cs="Arial" w:eastAsia="Arial" w:hAnsi="Arial"/>
          <w:b/>
          <w:bCs/>
          <w:sz w:val="22"/>
          <w:szCs w:val="22"/>
        </w:rPr>
        <w:t xml:space="preserve">Cross Institutional Collaboration and Commercialization</w:t>
      </w:r>
    </w:p>
    <w:p>
      <w:pPr>
        <w:spacing w:after="100" w:before="0" w:line="260"/>
        <w:jc w:val="left"/>
      </w:pPr>
      <w:r>
        <w:rPr>
          <w:rFonts w:ascii="Arial" w:cs="Arial" w:eastAsia="Arial" w:hAnsi="Arial"/>
          <w:sz w:val="22"/>
          <w:szCs w:val="22"/>
        </w:rPr>
        <w:t xml:space="preserve">The PI has founded and led cross institutional initiatives including Empower, a skill development organization serving over 50 students across multiple institutions, demonstrating ability to recruit, coordinate, and lead diverse teams. The PI has experience in startup environments and technology product development, providing commercial awareness relevant to transitioning Iris Sentinel from a research prototype to a deployable product. For the full proposal, partnerships with health system collaborators and technology providers will be formalized.</w:t>
      </w:r>
    </w:p>
    <w:p>
      <w:pPr>
        <w:pStyle w:val="Heading2"/>
        <w:spacing w:after="50" w:before="140" w:line="260"/>
        <w:jc w:val="left"/>
      </w:pPr>
      <w:r>
        <w:rPr>
          <w:rFonts w:ascii="Arial" w:cs="Arial" w:eastAsia="Arial" w:hAnsi="Arial"/>
          <w:b/>
          <w:bCs/>
          <w:sz w:val="23"/>
          <w:szCs w:val="23"/>
        </w:rPr>
        <w:t xml:space="preserve">4. Team Expansion Plan</w:t>
      </w:r>
    </w:p>
    <w:p>
      <w:pPr>
        <w:spacing w:after="100" w:before="0" w:line="260"/>
        <w:jc w:val="left"/>
      </w:pPr>
      <w:r>
        <w:rPr>
          <w:rFonts w:ascii="Arial" w:cs="Arial" w:eastAsia="Arial" w:hAnsi="Arial"/>
          <w:sz w:val="22"/>
          <w:szCs w:val="22"/>
        </w:rPr>
        <w:t xml:space="preserve">Upon encouragement to submit a full proposal, the team will be expanded to include: a clinical informatics advisor with cardiology or heart failure expertise recruited from academic medical center collaborations, a regulatory affairs consultant with FDA medical device and MDDT qualification experience, additional machine learning engineers with healthcare AI experience, and a clinical data specialist for managing FHIR/EHR integration. The PI has demonstrated ability to recruit and lead technical teams and will leverage professional networks in the Baltimore and Washington healthcare technology ecosystem to build the team required for program execution.</w:t>
      </w:r>
    </w:p>
    <w:p>
      <w:pPr>
        <w:sectPr>
          <w:pgSz w:w="12240" w:h="15840" w:orient="portrait"/>
          <w:pgMar w:top="1440" w:right="1440" w:bottom="1440" w:left="1440" w:header="708" w:footer="708" w:gutter="0"/>
          <w:pgNumType/>
          <w:docGrid w:linePitch="360"/>
        </w:sectPr>
      </w:pPr>
    </w:p>
    <w:p>
      <w:pPr>
        <w:pStyle w:val="Heading1"/>
        <w:spacing w:after="60" w:before="180" w:line="260"/>
        <w:jc w:val="left"/>
      </w:pPr>
      <w:r>
        <w:rPr>
          <w:rFonts w:ascii="Arial" w:cs="Arial" w:eastAsia="Arial" w:hAnsi="Arial"/>
          <w:b/>
          <w:bCs/>
          <w:sz w:val="26"/>
          <w:szCs w:val="26"/>
        </w:rPr>
        <w:t xml:space="preserve">Rough Order of Magnitude (ROM)</w:t>
      </w:r>
    </w:p>
    <w:p>
      <w:pPr>
        <w:spacing w:after="100" w:before="0" w:line="260"/>
        <w:jc w:val="left"/>
      </w:pPr>
      <w:r>
        <w:rPr>
          <w:rFonts w:ascii="Arial" w:cs="Arial" w:eastAsia="Arial" w:hAnsi="Arial"/>
          <w:i/>
          <w:iCs/>
          <w:sz w:val="22"/>
          <w:szCs w:val="22"/>
        </w:rPr>
        <w:t xml:space="preserve">The following provides a basis of estimate for the proposed 39 month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Category</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Phase 1A
(12 mo)</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Phase 1B
(12 mo)</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Phase 2
(15 mo)</w:t>
            </w:r>
          </w:p>
        </w:tc>
        <w:tc>
          <w:tcPr>
            <w:tcW w:type="dxa" w:w="1540"/>
            <w:tcBorders>
              <w:top w:val="single" w:color="888888" w:sz="1"/>
              <w:left w:val="single" w:color="888888" w:sz="1"/>
              <w:bottom w:val="single" w:color="888888" w:sz="1"/>
              <w:right w:val="single" w:color="888888" w:sz="1"/>
            </w:tcBorders>
            <w:shd w:fill="333333" w:val="clear"/>
            <w:tcMar>
              <w:top w:type="dxa" w:w="50"/>
              <w:left w:type="dxa" w:w="80"/>
              <w:bottom w:type="dxa" w:w="50"/>
              <w:right w:type="dxa" w:w="80"/>
            </w:tcMar>
          </w:tcPr>
          <w:p>
            <w:pPr>
              <w:spacing w:after="0" w:before="0" w:line="260"/>
              <w:jc w:val="left"/>
            </w:pPr>
            <w:r>
              <w:rPr>
                <w:rFonts w:ascii="Arial" w:cs="Arial" w:eastAsia="Arial" w:hAnsi="Arial"/>
                <w:b/>
                <w:bCs/>
                <w:color w:val="FFFFFF"/>
                <w:sz w:val="20"/>
                <w:szCs w:val="20"/>
              </w:rPr>
              <w:t xml:space="preserve">Total</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PI (1.0 FTE) @ $85/hr fully loaded</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$170K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$170K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$212K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$552K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ML Engineers (1.5 FTE avg) @ $75/hr</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$180K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$225K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$280K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$685K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Clinical Informatics Advisor (0.2 FTE) @ $120/hr</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$50K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$50K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$62K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$162K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Regulatory Consultant @ $150/hr (0.1 FTE)</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$30K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$50K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$62K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$142K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Cloud Compute (GPU inference and training)</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$100K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$130K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$160K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$390K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Travel and Collaboration</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$30K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$75K</w:t>
            </w:r>
          </w:p>
        </w:tc>
      </w:tr>
      <w:tr>
        <w:tc>
          <w:tcPr>
            <w:tcW w:type="dxa" w:w="320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Other Direct Costs</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$25K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$30K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$35K</w:t>
            </w:r>
          </w:p>
        </w:tc>
        <w:tc>
          <w:tcPr>
            <w:tcW w:type="dxa" w:w="1540"/>
            <w:tcBorders>
              <w:top w:val="single" w:color="888888" w:sz="1"/>
              <w:left w:val="single" w:color="888888" w:sz="1"/>
              <w:bottom w:val="single" w:color="888888" w:sz="1"/>
              <w:right w:val="single" w:color="888888" w:sz="1"/>
            </w:tcBorders>
            <w:shd w:fill="F5F5F5" w:val="clear"/>
            <w:tcMar>
              <w:top w:type="dxa" w:w="50"/>
              <w:left w:type="dxa" w:w="80"/>
              <w:bottom w:type="dxa" w:w="50"/>
              <w:right w:type="dxa" w:w="80"/>
            </w:tcMar>
          </w:tcPr>
          <w:p>
            <w:pPr>
              <w:spacing w:after="0" w:before="0" w:line="260"/>
              <w:jc w:val="left"/>
            </w:pPr>
            <w:r>
              <w:rPr>
                <w:rFonts w:ascii="Arial" w:cs="Arial" w:eastAsia="Arial" w:hAnsi="Arial"/>
                <w:sz w:val="20"/>
                <w:szCs w:val="20"/>
              </w:rPr>
              <w:t xml:space="preserve">$90K</w:t>
            </w:r>
          </w:p>
        </w:tc>
      </w:tr>
      <w:tr>
        <w:tc>
          <w:tcPr>
            <w:tcW w:type="dxa" w:w="320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Indirect Costs</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$75K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$85K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$100K</w:t>
            </w:r>
          </w:p>
        </w:tc>
        <w:tc>
          <w:tcPr>
            <w:tcW w:type="dxa" w:w="1540"/>
            <w:tcBorders>
              <w:top w:val="single" w:color="888888" w:sz="1"/>
              <w:left w:val="single" w:color="888888" w:sz="1"/>
              <w:bottom w:val="single" w:color="888888" w:sz="1"/>
              <w:right w:val="single" w:color="888888" w:sz="1"/>
            </w:tcBorders>
            <w:tcMar>
              <w:top w:type="dxa" w:w="50"/>
              <w:left w:type="dxa" w:w="80"/>
              <w:bottom w:type="dxa" w:w="50"/>
              <w:right w:type="dxa" w:w="80"/>
            </w:tcMar>
          </w:tcPr>
          <w:p>
            <w:pPr>
              <w:spacing w:after="0" w:before="0" w:line="260"/>
              <w:jc w:val="left"/>
            </w:pPr>
            <w:r>
              <w:rPr>
                <w:rFonts w:ascii="Arial" w:cs="Arial" w:eastAsia="Arial" w:hAnsi="Arial"/>
                <w:sz w:val="20"/>
                <w:szCs w:val="20"/>
              </w:rPr>
              <w:t xml:space="preserve">$260K</w:t>
            </w:r>
          </w:p>
        </w:tc>
      </w:tr>
      <w:tr>
        <w:tc>
          <w:tcPr>
            <w:tcW w:type="dxa" w:w="320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Total</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$650K</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$765K</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$941K</w:t>
            </w:r>
          </w:p>
        </w:tc>
        <w:tc>
          <w:tcPr>
            <w:tcW w:type="dxa" w:w="1540"/>
            <w:tcBorders>
              <w:top w:val="single" w:color="888888" w:sz="1"/>
              <w:left w:val="single" w:color="888888" w:sz="1"/>
              <w:bottom w:val="single" w:color="888888" w:sz="1"/>
              <w:right w:val="single" w:color="888888" w:sz="1"/>
            </w:tcBorders>
            <w:shd w:fill="E0E0E0" w:val="clear"/>
            <w:tcMar>
              <w:top w:type="dxa" w:w="50"/>
              <w:left w:type="dxa" w:w="80"/>
              <w:bottom w:type="dxa" w:w="50"/>
              <w:right w:type="dxa" w:w="80"/>
            </w:tcMar>
          </w:tcPr>
          <w:p>
            <w:pPr>
              <w:spacing w:after="0" w:before="0" w:line="260"/>
              <w:jc w:val="left"/>
            </w:pPr>
            <w:r>
              <w:rPr>
                <w:rFonts w:ascii="Arial" w:cs="Arial" w:eastAsia="Arial" w:hAnsi="Arial"/>
                <w:b/>
                <w:bCs/>
                <w:sz w:val="20"/>
                <w:szCs w:val="20"/>
              </w:rPr>
              <w:t xml:space="preserve">$2,356K</w:t>
            </w:r>
          </w:p>
        </w:tc>
      </w:tr>
    </w:tbl>
    <w:p>
      <w:pPr>
        <w:spacing w:after="60" w:before="0" w:line="260"/>
        <w:jc w:val="left"/>
      </w:pPr>
    </w:p>
    <w:p>
      <w:pPr>
        <w:spacing w:after="100" w:before="0" w:line="260"/>
        <w:jc w:val="left"/>
      </w:pPr>
      <w:r>
        <w:rPr>
          <w:rFonts w:ascii="Arial" w:cs="Arial" w:eastAsia="Arial" w:hAnsi="Arial"/>
          <w:sz w:val="20"/>
          <w:szCs w:val="20"/>
        </w:rPr>
        <w:t xml:space="preserve">Resource sharing: None at this stage. Resource sharing opportunities will be explored for the full proposal.</w:t>
      </w:r>
    </w:p>
    <w:p>
      <w:pPr>
        <w:spacing w:after="100" w:before="0" w:line="260"/>
        <w:jc w:val="left"/>
      </w:pPr>
      <w:r>
        <w:rPr>
          <w:rFonts w:ascii="Arial" w:cs="Arial" w:eastAsia="Arial" w:hAnsi="Arial"/>
          <w:sz w:val="20"/>
          <w:szCs w:val="20"/>
        </w:rPr>
        <w:t xml:space="preserve">Profit: Not applicable (individual proposer).</w:t>
      </w:r>
    </w:p>
    <w:p>
      <w:pPr>
        <w:pStyle w:val="Heading1"/>
        <w:spacing w:after="60" w:before="180" w:line="260"/>
        <w:jc w:val="left"/>
      </w:pPr>
      <w:r>
        <w:rPr>
          <w:rFonts w:ascii="Arial" w:cs="Arial" w:eastAsia="Arial" w:hAnsi="Arial"/>
          <w:b/>
          <w:bCs/>
          <w:sz w:val="26"/>
          <w:szCs w:val="26"/>
        </w:rPr>
        <w:t xml:space="preserve">References</w:t>
      </w:r>
    </w:p>
    <w:p>
      <w:pPr>
        <w:spacing w:after="40" w:before="0" w:line="260"/>
        <w:jc w:val="left"/>
      </w:pPr>
      <w:r>
        <w:rPr>
          <w:rFonts w:ascii="Arial" w:cs="Arial" w:eastAsia="Arial" w:hAnsi="Arial"/>
          <w:i/>
          <w:iCs/>
          <w:sz w:val="20"/>
          <w:szCs w:val="20"/>
        </w:rPr>
        <w:t xml:space="preserve">[1] Specia, L. et al. "Quality Estimation for Machine Translation." Morgan and Claypool, 2018.</w:t>
      </w:r>
    </w:p>
    <w:p>
      <w:pPr>
        <w:spacing w:after="40" w:before="0" w:line="260"/>
        <w:jc w:val="left"/>
      </w:pPr>
      <w:r>
        <w:rPr>
          <w:rFonts w:ascii="Arial" w:cs="Arial" w:eastAsia="Arial" w:hAnsi="Arial"/>
          <w:i/>
          <w:iCs/>
          <w:sz w:val="20"/>
          <w:szCs w:val="20"/>
        </w:rPr>
        <w:t xml:space="preserve">[2] Liao, Q. V. et al. "Benchmarking Agentic AI Systems in Clinical Settings." Nature, February 2026.</w:t>
      </w:r>
    </w:p>
    <w:p>
      <w:pPr>
        <w:spacing w:after="40" w:before="0" w:line="260"/>
        <w:jc w:val="left"/>
      </w:pPr>
      <w:r>
        <w:rPr>
          <w:rFonts w:ascii="Arial" w:cs="Arial" w:eastAsia="Arial" w:hAnsi="Arial"/>
          <w:i/>
          <w:iCs/>
          <w:sz w:val="20"/>
          <w:szCs w:val="20"/>
        </w:rPr>
        <w:t xml:space="preserve">[3] AHA/ACC Clinical Practice Guidelines for Heart Failure Management, 2022 Update.</w:t>
      </w:r>
    </w:p>
    <w:p>
      <w:pPr>
        <w:spacing w:after="40" w:before="0" w:line="260"/>
        <w:jc w:val="left"/>
      </w:pPr>
      <w:r>
        <w:rPr>
          <w:rFonts w:ascii="Arial" w:cs="Arial" w:eastAsia="Arial" w:hAnsi="Arial"/>
          <w:i/>
          <w:iCs/>
          <w:sz w:val="20"/>
          <w:szCs w:val="20"/>
        </w:rPr>
        <w:t xml:space="preserve">[4] FDA Guidance: Medical Device Development Tools (MDDT) Program, 2024.</w:t>
      </w:r>
    </w:p>
    <w:p>
      <w:pPr>
        <w:spacing w:after="40" w:before="0" w:line="260"/>
        <w:jc w:val="left"/>
      </w:pPr>
      <w:r>
        <w:rPr>
          <w:rFonts w:ascii="Arial" w:cs="Arial" w:eastAsia="Arial" w:hAnsi="Arial"/>
          <w:i/>
          <w:iCs/>
          <w:sz w:val="20"/>
          <w:szCs w:val="20"/>
        </w:rPr>
        <w:t xml:space="preserve">[5] ARPA-H ADVOCATE ISO: ARPA-H-SOL-26-142, Amendment 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0"/>
      <w:jc w:val="right"/>
    </w:pPr>
    <w:r>
      <w:rPr>
        <w:rFonts w:ascii="Arial" w:cs="Arial" w:eastAsia="Arial" w:hAnsi="Arial"/>
        <w:i/>
        <w:iCs/>
        <w:color w:val="888888"/>
        <w:sz w:val="16"/>
        <w:szCs w:val="16"/>
      </w:rPr>
      <w:t xml:space="preserve">Iris Sentinel | TA2 Solution Summary | Proposed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60"/>
      <w:outlineLvl w:val="0"/>
    </w:pPr>
    <w:rPr>
      <w:rFonts w:ascii="Arial" w:cs="Arial" w:eastAsia="Arial" w:hAnsi="Arial"/>
      <w:b/>
      <w:bCs/>
      <w:sz w:val="26"/>
      <w:szCs w:val="26"/>
    </w:rPr>
  </w:style>
  <w:style w:type="paragraph" w:styleId="Heading2">
    <w:name w:val="Heading 2"/>
    <w:basedOn w:val="Normal"/>
    <w:next w:val="Normal"/>
    <w:qFormat/>
    <w:pPr>
      <w:spacing w:before="140" w:after="5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2026-02-28T03:45:54.444Z</dcterms:created>
  <dcterms:modified xsi:type="dcterms:W3CDTF">2026-02-28T03:45:54.445Z</dcterms:modified>
</cp:coreProperties>
</file>

<file path=docProps/custom.xml><?xml version="1.0" encoding="utf-8"?>
<Properties xmlns="http://schemas.openxmlformats.org/officeDocument/2006/custom-properties" xmlns:vt="http://schemas.openxmlformats.org/officeDocument/2006/docPropsVTypes"/>
</file>