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60"/>
        <w:jc w:val="center"/>
      </w:pPr>
      <w:r>
        <w:rPr>
          <w:rFonts w:ascii="Arial" w:cs="Arial" w:eastAsia="Arial" w:hAnsi="Arial"/>
          <w:b/>
          <w:bCs/>
          <w:sz w:val="28"/>
          <w:szCs w:val="28"/>
        </w:rPr>
        <w:t xml:space="preserve">ADVOCATE Program Solution Summary</w:t>
      </w:r>
    </w:p>
    <w:p>
      <w:pPr>
        <w:spacing w:after="200" w:before="0" w:line="260"/>
        <w:jc w:val="center"/>
      </w:pPr>
      <w:r>
        <w:rPr>
          <w:rFonts w:ascii="Arial" w:cs="Arial" w:eastAsia="Arial" w:hAnsi="Arial"/>
          <w:sz w:val="24"/>
          <w:szCs w:val="24"/>
        </w:rPr>
        <w:t xml:space="preserve">TA1: Patient Facing CVD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1. Solicitation #</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ARPA-H-SOL-26-142</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2. Solution Summary Title</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Iris Core: Tool First Closed Loop Heart Failure Care Agent with Barrier Aware Planning and Predictive Escalation</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3. Submitter Organization</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Waiz Khan</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4. Type of Organization</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Individual</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5. Date of Submission</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February 27, 2026</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6. Technical POC</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10" w:before="0" w:line="260"/>
              <w:jc w:val="left"/>
            </w:pPr>
            <w:r>
              <w:rPr>
                <w:rFonts w:ascii="Arial" w:cs="Arial" w:eastAsia="Arial" w:hAnsi="Arial"/>
                <w:sz w:val="21"/>
                <w:szCs w:val="21"/>
              </w:rPr>
              <w:t xml:space="preserve">Khan, Waiz</w:t>
            </w:r>
          </w:p>
          <w:p>
            <w:pPr>
              <w:spacing w:after="10" w:before="0" w:line="260"/>
              <w:jc w:val="left"/>
            </w:pPr>
            <w:r>
              <w:rPr>
                <w:rFonts w:ascii="Arial" w:cs="Arial" w:eastAsia="Arial" w:hAnsi="Arial"/>
                <w:sz w:val="21"/>
                <w:szCs w:val="21"/>
              </w:rPr>
              <w:t xml:space="preserve">3900 North Charles Street, Baltimore, MD 21218</w:t>
            </w:r>
          </w:p>
          <w:p>
            <w:pPr>
              <w:spacing w:after="10" w:before="0" w:line="260"/>
              <w:jc w:val="left"/>
            </w:pPr>
            <w:r>
              <w:rPr>
                <w:rFonts w:ascii="Arial" w:cs="Arial" w:eastAsia="Arial" w:hAnsi="Arial"/>
                <w:sz w:val="21"/>
                <w:szCs w:val="21"/>
              </w:rPr>
              <w:t xml:space="preserve">Telephone: 443-378-2030</w:t>
            </w:r>
          </w:p>
          <w:p>
            <w:pPr>
              <w:spacing w:after="10" w:before="0" w:line="260"/>
              <w:jc w:val="left"/>
            </w:pPr>
            <w:r>
              <w:rPr>
                <w:rFonts w:ascii="Arial" w:cs="Arial" w:eastAsia="Arial" w:hAnsi="Arial"/>
                <w:sz w:val="21"/>
                <w:szCs w:val="21"/>
              </w:rPr>
              <w:t xml:space="preserve">Email: wkhan12@jh.edu</w:t>
            </w:r>
          </w:p>
          <w:p>
            <w:pPr>
              <w:spacing w:after="0" w:before="0" w:line="260"/>
              <w:jc w:val="left"/>
            </w:pPr>
            <w:r>
              <w:rPr>
                <w:rFonts w:ascii="Arial" w:cs="Arial" w:eastAsia="Arial" w:hAnsi="Arial"/>
                <w:sz w:val="21"/>
                <w:szCs w:val="21"/>
              </w:rPr>
              <w:t xml:space="preserve">UEI: To be obtained for full proposal</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7. Administrative POC</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Same as Technical POC</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8. Total Estimated Budget</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$3,001,000 (39 months)</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9. Place(s) of Performance</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Baltimore, MD</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10. Other Team Members</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To be finalized for full proposal. Clinical advisors in cardiology/heart failure and regulatory affairs to be recruited.</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11. Technical Area</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TA1: Patient Facing CVD Agent for Heart Failure Care Management</w:t>
            </w:r>
          </w:p>
        </w:tc>
      </w:tr>
    </w:tbl>
    <w:p>
      <w:pPr>
        <w:sectPr>
          <w:pgSz w:w="12240" w:h="15840" w:orient="portrait"/>
          <w:pgMar w:top="1440" w:right="1440" w:bottom="1440" w:left="1440" w:header="708" w:footer="708" w:gutter="0"/>
          <w:pgNumType/>
          <w:docGrid w:linePitch="360"/>
        </w:sectPr>
      </w:pPr>
    </w:p>
    <w:p>
      <w:pPr>
        <w:pStyle w:val="Heading1"/>
        <w:spacing w:after="60" w:before="180" w:line="260"/>
        <w:jc w:val="left"/>
      </w:pPr>
      <w:r>
        <w:rPr>
          <w:rFonts w:ascii="Arial" w:cs="Arial" w:eastAsia="Arial" w:hAnsi="Arial"/>
          <w:b/>
          <w:bCs/>
          <w:sz w:val="26"/>
          <w:szCs w:val="26"/>
        </w:rPr>
        <w:t xml:space="preserve">Abstract</w:t>
      </w:r>
    </w:p>
    <w:p>
      <w:pPr>
        <w:spacing w:after="100" w:before="0" w:line="260"/>
        <w:jc w:val="left"/>
      </w:pPr>
      <w:r>
        <w:rPr>
          <w:rFonts w:ascii="Arial" w:cs="Arial" w:eastAsia="Arial" w:hAnsi="Arial"/>
          <w:sz w:val="22"/>
          <w:szCs w:val="22"/>
        </w:rPr>
        <w:t xml:space="preserve">Heart failure affects over 6.7 million Americans. Despite well established treatment guidelines, fewer than 25% of eligible patients are optimally titrated on guideline directed medical therapy (GDMT). The gap is not knowledge but execution: limited specialist access, infrequent clinic visits, and the slow, labor intensive process of titrating multiple medications simultaneously while monitoring for adverse effects. Patients between visits are largely on their own.</w:t>
      </w:r>
    </w:p>
    <w:p>
      <w:pPr>
        <w:spacing w:after="100" w:before="0" w:line="260"/>
        <w:jc w:val="left"/>
      </w:pPr>
      <w:r>
        <w:rPr>
          <w:rFonts w:ascii="Arial" w:cs="Arial" w:eastAsia="Arial" w:hAnsi="Arial"/>
          <w:sz w:val="22"/>
          <w:szCs w:val="22"/>
        </w:rPr>
        <w:t xml:space="preserve">We propose </w:t>
      </w:r>
      <w:r>
        <w:rPr>
          <w:rFonts w:ascii="Arial" w:cs="Arial" w:eastAsia="Arial" w:hAnsi="Arial"/>
          <w:b/>
          <w:bCs/>
          <w:sz w:val="22"/>
          <w:szCs w:val="22"/>
        </w:rPr>
        <w:t xml:space="preserve">Iris Core</w:t>
      </w:r>
      <w:r>
        <w:rPr>
          <w:rFonts w:ascii="Arial" w:cs="Arial" w:eastAsia="Arial" w:hAnsi="Arial"/>
          <w:sz w:val="22"/>
          <w:szCs w:val="22"/>
        </w:rPr>
        <w:t xml:space="preserve">, an autonomous heart failure care management agent built on a tool first architecture where the language model never directly computes clinical decisions. Instead, it orchestrates a suite of deterministic clinical tools that strongly constrain hallucination risk: a trajectory prediction tool that continuously monitors the patient's physiological state with the target of predicting decompensation 48 to 72 hours before symptoms appear, a GDMT optimization tool that identifies the next safe medication titration step per AHA/ACC guidelines, a medication safety tool that screens every proposed change against drug interactions and lab values, and a scheduling tool that proactively stages escalations to cardiologists before emergencies arise.</w:t>
      </w:r>
    </w:p>
    <w:p>
      <w:pPr>
        <w:spacing w:after="100" w:before="0" w:line="260"/>
        <w:jc w:val="left"/>
      </w:pPr>
      <w:r>
        <w:rPr>
          <w:rFonts w:ascii="Arial" w:cs="Arial" w:eastAsia="Arial" w:hAnsi="Arial"/>
          <w:sz w:val="22"/>
          <w:szCs w:val="22"/>
        </w:rPr>
        <w:t xml:space="preserve">What makes Iris Core different from other clinical AI agents is that it treats patients as whole people, not as collections of lab values. Before recommending any medication, the system checks whether the patient can afford it, whether their pharmacy stocks it, whether the dosing schedule fits their actual life, and whether they have the support system to manage side effects. A clinically perfect prescription that never gets filled helps nobody. This barrier aware planning layer, integrated into every clinical decision, addresses the adherence gap that determines whether clinical AI actually improves outcomes in the real world.</w:t>
      </w:r>
    </w:p>
    <w:p>
      <w:pPr>
        <w:spacing w:after="100" w:before="0" w:line="260"/>
        <w:jc w:val="left"/>
      </w:pPr>
      <w:r>
        <w:rPr>
          <w:rFonts w:ascii="Arial" w:cs="Arial" w:eastAsia="Arial" w:hAnsi="Arial"/>
          <w:sz w:val="22"/>
          <w:szCs w:val="22"/>
        </w:rPr>
        <w:t xml:space="preserve">The tool first architecture strongly constrains hallucination risk for clinical decisions because every medical recommendation originates from a deterministic, auditable tool rather than from unconstrained language model generation. The language model handles patient communication, information extraction, and workflow orchestration, which are the tasks it excels at, while clinical reasoning flows through validated, rules based tools that can be independently verified and updated as guidelines change.</w:t>
      </w:r>
    </w:p>
    <w:p>
      <w:pPr>
        <w:spacing w:after="100" w:before="0" w:line="260"/>
        <w:jc w:val="left"/>
      </w:pPr>
      <w:r>
        <w:rPr>
          <w:rFonts w:ascii="Arial" w:cs="Arial" w:eastAsia="Arial" w:hAnsi="Arial"/>
          <w:sz w:val="22"/>
          <w:szCs w:val="22"/>
        </w:rPr>
        <w:t xml:space="preserve">Phase 1A focuses on heart failure GDMT optimization and early congestion detection using validated clinical data, with the goal of demonstrating measurable reduction in time to optimal therapy and earlier identification of decompensation events.</w:t>
      </w:r>
    </w:p>
    <w:p>
      <w:pPr>
        <w:sectPr>
          <w:pgSz w:w="12240" w:h="15840" w:orient="portrait"/>
          <w:pgMar w:top="1440" w:right="1440" w:bottom="1440" w:left="1440" w:header="708" w:footer="708" w:gutter="0"/>
          <w:pgNumType/>
          <w:docGrid w:linePitch="360"/>
        </w:sectPr>
      </w:pPr>
    </w:p>
    <w:p>
      <w:pPr>
        <w:pStyle w:val="Heading1"/>
        <w:spacing w:after="60" w:before="180" w:line="260"/>
        <w:jc w:val="left"/>
      </w:pPr>
      <w:r>
        <w:rPr>
          <w:rFonts w:ascii="Arial" w:cs="Arial" w:eastAsia="Arial" w:hAnsi="Arial"/>
          <w:b/>
          <w:bCs/>
          <w:sz w:val="26"/>
          <w:szCs w:val="26"/>
        </w:rPr>
        <w:t xml:space="preserve">Proposed Work</w:t>
      </w:r>
    </w:p>
    <w:p>
      <w:pPr>
        <w:pStyle w:val="Heading2"/>
        <w:spacing w:after="50" w:before="140" w:line="260"/>
        <w:jc w:val="left"/>
      </w:pPr>
      <w:r>
        <w:rPr>
          <w:rFonts w:ascii="Arial" w:cs="Arial" w:eastAsia="Arial" w:hAnsi="Arial"/>
          <w:b/>
          <w:bCs/>
          <w:sz w:val="23"/>
          <w:szCs w:val="23"/>
        </w:rPr>
        <w:t xml:space="preserve">1. Clinical Context and Technical Landscape</w:t>
      </w:r>
    </w:p>
    <w:p>
      <w:pPr>
        <w:spacing w:after="100" w:before="0" w:line="260"/>
        <w:jc w:val="left"/>
      </w:pPr>
      <w:r>
        <w:rPr>
          <w:rFonts w:ascii="Arial" w:cs="Arial" w:eastAsia="Arial" w:hAnsi="Arial"/>
          <w:sz w:val="22"/>
          <w:szCs w:val="22"/>
        </w:rPr>
        <w:t xml:space="preserve">Heart failure is the leading cause of hospitalization in adults over 65 in the United States. Annual costs exceed $30 billion. The clinical evidence is clear: guideline directed medical therapy with drugs such as ACE inhibitors or ARNIs, beta blockers, mineralocorticoid receptor antagonists, and SGLT2 inhibitors significantly reduces mortality and hospitalization. Yet optimization of GDMT is painfully slow in practice. Titrating four drug classes simultaneously, each with its own monitoring requirements, contraindications, and side effect profiles, requires frequent lab checks, dose adjustments, and clinical assessments that overwhelm the capacity of most cardiology practices.</w:t>
      </w:r>
    </w:p>
    <w:p>
      <w:pPr>
        <w:spacing w:after="100" w:before="0" w:line="260"/>
        <w:jc w:val="left"/>
      </w:pPr>
      <w:r>
        <w:rPr>
          <w:rFonts w:ascii="Arial" w:cs="Arial" w:eastAsia="Arial" w:hAnsi="Arial"/>
          <w:sz w:val="22"/>
          <w:szCs w:val="22"/>
        </w:rPr>
        <w:t xml:space="preserve">The result is a treatment gap: patients spend months or years on suboptimal therapy because there are not enough specialists and not enough clinic visits to get them to target doses. Between visits, patients manage their own symptoms with limited guidance, often recognizing decompensation only after symptoms become severe enough to require emergency care.</w:t>
      </w:r>
    </w:p>
    <w:p>
      <w:pPr>
        <w:spacing w:after="100" w:before="0" w:line="260"/>
        <w:jc w:val="left"/>
      </w:pPr>
      <w:r>
        <w:rPr>
          <w:rFonts w:ascii="Arial" w:cs="Arial" w:eastAsia="Arial" w:hAnsi="Arial"/>
          <w:sz w:val="22"/>
          <w:szCs w:val="22"/>
        </w:rPr>
        <w:t xml:space="preserve">The emerging generation of clinical AI agents promises to close this gap by providing continuous, autonomous care management. However, current approaches face three technical challenges. First, language models hallucinate, and a hallucinated medication recommendation in heart failure can be fatal. Second, most clinical AI treats patients as interchangeable, ignoring the social, economic, and behavioral factors that determine whether a patient actually follows a treatment plan. Third, clinical AI agents are reactive, waiting for the patient to report problems rather than predicting and preventing them.</w:t>
      </w:r>
    </w:p>
    <w:p>
      <w:pPr>
        <w:spacing w:after="100" w:before="0" w:line="260"/>
        <w:jc w:val="left"/>
      </w:pPr>
      <w:r>
        <w:rPr>
          <w:rFonts w:ascii="Arial" w:cs="Arial" w:eastAsia="Arial" w:hAnsi="Arial"/>
          <w:sz w:val="22"/>
          <w:szCs w:val="22"/>
        </w:rPr>
        <w:t xml:space="preserve">Iris Core addresses all three challenges through a tool first architecture that strongly constrains hallucination risk for clinical decisions, a barrier aware planning layer that optimizes for real world feasibility, and a closed loop physiological monitoring system that targets early prediction of decompensation before symptoms appear.</w:t>
      </w:r>
    </w:p>
    <w:p>
      <w:pPr>
        <w:pStyle w:val="Heading2"/>
        <w:spacing w:after="50" w:before="140" w:line="260"/>
        <w:jc w:val="left"/>
      </w:pPr>
      <w:r>
        <w:rPr>
          <w:rFonts w:ascii="Arial" w:cs="Arial" w:eastAsia="Arial" w:hAnsi="Arial"/>
          <w:b/>
          <w:bCs/>
          <w:sz w:val="23"/>
          <w:szCs w:val="23"/>
        </w:rPr>
        <w:t xml:space="preserve">2. Solution Design, Development, and Validation</w:t>
      </w:r>
    </w:p>
    <w:p>
      <w:pPr>
        <w:spacing w:after="50" w:before="0" w:line="260"/>
        <w:jc w:val="left"/>
      </w:pPr>
      <w:r>
        <w:rPr>
          <w:rFonts w:ascii="Arial" w:cs="Arial" w:eastAsia="Arial" w:hAnsi="Arial"/>
          <w:b/>
          <w:bCs/>
          <w:sz w:val="22"/>
          <w:szCs w:val="22"/>
        </w:rPr>
        <w:t xml:space="preserve">2.1 Tool First Architecture: Constraining Hallucination Risk in Clinical Decisions</w:t>
      </w:r>
    </w:p>
    <w:p>
      <w:pPr>
        <w:spacing w:after="100" w:before="0" w:line="260"/>
        <w:jc w:val="left"/>
      </w:pPr>
      <w:r>
        <w:rPr>
          <w:rFonts w:ascii="Arial" w:cs="Arial" w:eastAsia="Arial" w:hAnsi="Arial"/>
          <w:sz w:val="22"/>
          <w:szCs w:val="22"/>
        </w:rPr>
        <w:t xml:space="preserve">The central design principle of Iris Core is the separation of clinical reasoning from language generation. The language model handles what language models are good at: understanding patient messages, extracting structured clinical information from unstructured text, generating empathetic and clear patient communication, and orchestrating workflows. The language model never directly computes a clinical conclusion.</w:t>
      </w:r>
    </w:p>
    <w:p>
      <w:pPr>
        <w:spacing w:after="100" w:before="0" w:line="260"/>
        <w:jc w:val="left"/>
      </w:pPr>
      <w:r>
        <w:rPr>
          <w:rFonts w:ascii="Arial" w:cs="Arial" w:eastAsia="Arial" w:hAnsi="Arial"/>
          <w:sz w:val="22"/>
          <w:szCs w:val="22"/>
        </w:rPr>
        <w:t xml:space="preserve">All clinical decisions flow through deterministic tools. Each tool is independently validated, version controlled, and auditable. The tools operate in a pipeline: the trajectory prediction tool identifies clinical need, the GDMT optimization tool determines the optimal adjustment, the medication safety tool validates the adjustment, the barrier aware planning layer checks real world feasibility, and the language model communicates the result to the patient. The tools include:</w:t>
      </w:r>
    </w:p>
    <w:p>
      <w:pPr>
        <w:spacing w:after="100" w:before="0" w:line="260"/>
        <w:jc w:val="left"/>
      </w:pPr>
      <w:r>
        <w:rPr>
          <w:rFonts w:ascii="Arial" w:cs="Arial" w:eastAsia="Arial" w:hAnsi="Arial"/>
          <w:b/>
          <w:bCs/>
          <w:sz w:val="22"/>
          <w:szCs w:val="22"/>
        </w:rPr>
        <w:t xml:space="preserve">GDMT Optimization Tool: </w:t>
      </w:r>
      <w:r>
        <w:rPr>
          <w:rFonts w:ascii="Arial" w:cs="Arial" w:eastAsia="Arial" w:hAnsi="Arial"/>
          <w:sz w:val="22"/>
          <w:szCs w:val="22"/>
        </w:rPr>
        <w:t xml:space="preserve">Implements AHA/ACC heart failure guideline directed medical therapy protocols as a structured decision engine. For each of the four GDMT drug classes, the tool evaluates the patient's current dose, vital signs, lab values, and contraindications, and identifies the next safe titration step. The tool enforces monitoring requirements (for example, a renal function check 1 to 2 weeks after ARNI initiation or dose increase) and tracks titration progress toward target doses. Every recommendation is traceable to a specific guideline clause.</w:t>
      </w:r>
    </w:p>
    <w:p>
      <w:pPr>
        <w:spacing w:after="100" w:before="0" w:line="260"/>
        <w:jc w:val="left"/>
      </w:pPr>
      <w:r>
        <w:rPr>
          <w:rFonts w:ascii="Arial" w:cs="Arial" w:eastAsia="Arial" w:hAnsi="Arial"/>
          <w:b/>
          <w:bCs/>
          <w:sz w:val="22"/>
          <w:szCs w:val="22"/>
        </w:rPr>
        <w:t xml:space="preserve">Trajectory Prediction Tool: </w:t>
      </w:r>
      <w:r>
        <w:rPr>
          <w:rFonts w:ascii="Arial" w:cs="Arial" w:eastAsia="Arial" w:hAnsi="Arial"/>
          <w:sz w:val="22"/>
          <w:szCs w:val="22"/>
        </w:rPr>
        <w:t xml:space="preserve">Continuously processes time series data from patient wearables (weight, heart rate, blood pressure, activity levels) and EHR data (lab trends, medication adherence signals, prior visit notes) to generate a physiological state estimate and a forward prediction. Implemented as a sequence to sequence model that takes time series wearable and clinical data as input and outputs predicted future physiological states, directly leveraging the PI's expertise in transformer based sequence modeling. The tool projects the patient's fluid balance, hemodynamic stability, and functional capacity over 48 to 72 hour horizons. When the predicted trajectory crosses decompensation risk thresholds, the tool generates a proactive alert. The 48 to 72 hour prediction window is a Phase 1A evaluation target that will be validated against retrospective MIMIC IV data to establish achievable sensitivity and specificity benchmarks before clinical deployment.</w:t>
      </w:r>
    </w:p>
    <w:p>
      <w:pPr>
        <w:spacing w:after="100" w:before="0" w:line="260"/>
        <w:jc w:val="left"/>
      </w:pPr>
      <w:r>
        <w:rPr>
          <w:rFonts w:ascii="Arial" w:cs="Arial" w:eastAsia="Arial" w:hAnsi="Arial"/>
          <w:b/>
          <w:bCs/>
          <w:sz w:val="22"/>
          <w:szCs w:val="22"/>
        </w:rPr>
        <w:t xml:space="preserve">Medication Safety Tool: </w:t>
      </w:r>
      <w:r>
        <w:rPr>
          <w:rFonts w:ascii="Arial" w:cs="Arial" w:eastAsia="Arial" w:hAnsi="Arial"/>
          <w:sz w:val="22"/>
          <w:szCs w:val="22"/>
        </w:rPr>
        <w:t xml:space="preserve">Screens every proposed medication change against drug drug interactions (sourced from DrugBank and FDA FAERS), drug disease contraindications, renal and hepatic dose adjustments based on most recent lab values, electrolyte risks (for example, potassium monitoring for diuretic changes), and allergy records. This tool operates deterministically: any safety violation blocks the recommendation and generates a specific explanation of the concern.</w:t>
      </w:r>
    </w:p>
    <w:p>
      <w:pPr>
        <w:spacing w:after="100" w:before="0" w:line="260"/>
        <w:jc w:val="left"/>
      </w:pPr>
      <w:r>
        <w:rPr>
          <w:rFonts w:ascii="Arial" w:cs="Arial" w:eastAsia="Arial" w:hAnsi="Arial"/>
          <w:b/>
          <w:bCs/>
          <w:sz w:val="22"/>
          <w:szCs w:val="22"/>
        </w:rPr>
        <w:t xml:space="preserve">Scheduling and Escalation Tool: </w:t>
      </w:r>
      <w:r>
        <w:rPr>
          <w:rFonts w:ascii="Arial" w:cs="Arial" w:eastAsia="Arial" w:hAnsi="Arial"/>
          <w:sz w:val="22"/>
          <w:szCs w:val="22"/>
        </w:rPr>
        <w:t xml:space="preserve">Manages the care coordination workflow. When the trajectory tool predicts that a patient will need clinical attention in the coming days, this tool proactively checks specialist availability, pre populates a consultation note with the relevant clinical history and current concerns, and schedules the appointment. The patient is informed proactively: "I have noticed some trends in your readings that I would like Dr. Smith to review. I have scheduled you for next Thursday." This pre staged escalation ensures that by the time a clinician is needed, everything is ready, reducing the emergency visits that drive rehospitalization.</w:t>
      </w:r>
    </w:p>
    <w:p>
      <w:pPr>
        <w:spacing w:after="100" w:before="0" w:line="260"/>
        <w:jc w:val="left"/>
      </w:pPr>
      <w:r>
        <w:rPr>
          <w:rFonts w:ascii="Arial" w:cs="Arial" w:eastAsia="Arial" w:hAnsi="Arial"/>
          <w:sz w:val="22"/>
          <w:szCs w:val="22"/>
        </w:rPr>
        <w:t xml:space="preserve">The language model ties these tools together. A patient says: "I have been feeling more tired and my feet are swollen." The language model extracts the clinical signals (fatigue, peripheral edema), queries the trajectory tool (which confirms a rising congestion risk based on weight gain trend over 5 days), calls the GDMT tool (which identifies that the patient's furosemide dose could be increased safely given current labs), runs the proposed increase through the safety tool (which confirms no interactions or contraindications), and generates a response: "I can see from your readings that you may be retaining some extra fluid. Based on your latest lab results, I think increasing your water pill from 40 to 60 mg would help. I would also like to check your blood work in one week to make sure your kidneys and potassium stay in good range. Does this sound okay to you?"</w:t>
      </w:r>
    </w:p>
    <w:p>
      <w:pPr>
        <w:spacing w:after="100" w:before="0" w:line="260"/>
        <w:jc w:val="left"/>
      </w:pPr>
      <w:r>
        <w:rPr>
          <w:rFonts w:ascii="Arial" w:cs="Arial" w:eastAsia="Arial" w:hAnsi="Arial"/>
          <w:sz w:val="22"/>
          <w:szCs w:val="22"/>
        </w:rPr>
        <w:t xml:space="preserve">Every clinical element of that response came from a deterministic tool. The language model contributed the natural language communication only. This architecture strongly constrains hallucination risk for clinical decisions while preserving the natural, empathetic communication that patients need. To further ensure the language model does not drift into generating clinical content, all patient facing messages are assembled from structured tool output templates, with free text generation limited to conversational framing and empathetic language.</w:t>
      </w:r>
    </w:p>
    <w:p>
      <w:pPr>
        <w:spacing w:after="50" w:before="100" w:line="260"/>
        <w:jc w:val="left"/>
      </w:pPr>
      <w:r>
        <w:rPr>
          <w:rFonts w:ascii="Arial" w:cs="Arial" w:eastAsia="Arial" w:hAnsi="Arial"/>
          <w:b/>
          <w:bCs/>
          <w:sz w:val="22"/>
          <w:szCs w:val="22"/>
        </w:rPr>
        <w:t xml:space="preserve">2.2 Barrier Aware Planning: Treating Patients as Whole People</w:t>
      </w:r>
    </w:p>
    <w:p>
      <w:pPr>
        <w:spacing w:after="100" w:before="0" w:line="260"/>
        <w:jc w:val="left"/>
      </w:pPr>
      <w:r>
        <w:rPr>
          <w:rFonts w:ascii="Arial" w:cs="Arial" w:eastAsia="Arial" w:hAnsi="Arial"/>
          <w:sz w:val="22"/>
          <w:szCs w:val="22"/>
        </w:rPr>
        <w:t xml:space="preserve">A medication recommendation is only as good as the patient's ability to follow it. Iris Core integrates a barrier aware planning layer that evaluates the real world feasibility of every clinical recommendation before it reaches the patient.</w:t>
      </w:r>
    </w:p>
    <w:p>
      <w:pPr>
        <w:spacing w:after="100" w:before="0" w:line="260"/>
        <w:jc w:val="left"/>
      </w:pPr>
      <w:r>
        <w:rPr>
          <w:rFonts w:ascii="Arial" w:cs="Arial" w:eastAsia="Arial" w:hAnsi="Arial"/>
          <w:sz w:val="22"/>
          <w:szCs w:val="22"/>
        </w:rPr>
        <w:t xml:space="preserve">For every proposed medication change, the system checks: Is this medication on the patient's insurance formulary? If not, is there a therapeutically equivalent alternative that is covered? What is the patient's likely out of pocket cost? Does the dosing schedule require a time of day that conflicts with the patient's work schedule or daily routine? Does the medication require refrigeration, and does the patient have reliable refrigeration access? Does the patient live alone, and if so, should monitoring thresholds be tightened because there is no one to notice early warning signs?</w:t>
      </w:r>
    </w:p>
    <w:p>
      <w:pPr>
        <w:spacing w:after="100" w:before="0" w:line="260"/>
        <w:jc w:val="left"/>
      </w:pPr>
      <w:r>
        <w:rPr>
          <w:rFonts w:ascii="Arial" w:cs="Arial" w:eastAsia="Arial" w:hAnsi="Arial"/>
          <w:sz w:val="22"/>
          <w:szCs w:val="22"/>
        </w:rPr>
        <w:t xml:space="preserve">In Phase 1A, this information is sourced from patient reported data collected through the agent's conversational interface over time and publicly available social determinants data such as the Area Deprivation Index. In Phase 1B, integration with real time pharmacy benefit checker APIs and pharmacy availability systems will enable automated cost and availability verification. The system does not require patients to disclose sensitive information unprompted; instead, it learns about barriers through natural conversation and adjusts its recommendations accordingly.</w:t>
      </w:r>
    </w:p>
    <w:p>
      <w:pPr>
        <w:spacing w:after="100" w:before="0" w:line="260"/>
        <w:jc w:val="left"/>
      </w:pPr>
      <w:r>
        <w:rPr>
          <w:rFonts w:ascii="Arial" w:cs="Arial" w:eastAsia="Arial" w:hAnsi="Arial"/>
          <w:sz w:val="22"/>
          <w:szCs w:val="22"/>
        </w:rPr>
        <w:t xml:space="preserve">When the optimal clinical recommendation faces significant real world barriers, the agent proposes alternatives. Instead of prescribing an expensive branded SGLT2 inhibitor that the patient cannot afford, the agent identifies a lower cost option, checks with the GDMT tool to confirm it is clinically appropriate, and presents it to the patient with context: "There are two options for this medication. One costs about $400 per month and the other is $35 with your insurance. Both work well for heart failure. I recommend we start with the more affordable one."</w:t>
      </w:r>
    </w:p>
    <w:p>
      <w:pPr>
        <w:spacing w:after="100" w:before="0" w:line="260"/>
        <w:jc w:val="left"/>
      </w:pPr>
      <w:r>
        <w:rPr>
          <w:rFonts w:ascii="Arial" w:cs="Arial" w:eastAsia="Arial" w:hAnsi="Arial"/>
          <w:sz w:val="22"/>
          <w:szCs w:val="22"/>
        </w:rPr>
        <w:t xml:space="preserve">This layer addresses the health equity dimension of clinical AI deployment. Heart failure disproportionately affects older adults, low income populations, and communities with limited healthcare access. An agent that only optimizes for clinical correctness without considering whether patients can actually follow its recommendations will not improve outcomes for these populations. Automation of barrier detection and alternative recommendation generation is integral to the system design, running on every clinical decision without requiring manual review.</w:t>
      </w:r>
    </w:p>
    <w:p>
      <w:pPr>
        <w:spacing w:after="50" w:before="100" w:line="260"/>
        <w:jc w:val="left"/>
      </w:pPr>
      <w:r>
        <w:rPr>
          <w:rFonts w:ascii="Arial" w:cs="Arial" w:eastAsia="Arial" w:hAnsi="Arial"/>
          <w:b/>
          <w:bCs/>
          <w:sz w:val="22"/>
          <w:szCs w:val="22"/>
        </w:rPr>
        <w:t xml:space="preserve">2.3 Patient Communication and Engagement</w:t>
      </w:r>
    </w:p>
    <w:p>
      <w:pPr>
        <w:spacing w:after="100" w:before="0" w:line="260"/>
        <w:jc w:val="left"/>
      </w:pPr>
      <w:r>
        <w:rPr>
          <w:rFonts w:ascii="Arial" w:cs="Arial" w:eastAsia="Arial" w:hAnsi="Arial"/>
          <w:sz w:val="22"/>
          <w:szCs w:val="22"/>
        </w:rPr>
        <w:t xml:space="preserve">The language model serves as the patient's primary interface. It is fine tuned for heart failure specific communication using principles from motivational interviewing and health behavior science. When a patient misses medications, the agent does not simply send a reminder. It explores the barrier: "I noticed your pharmacy shows your prescription has not been refilled. Sometimes that happens because of cost or side effects. Can we talk about what got in the way?" This approach builds rapport and identifies actionable barriers rather than generating reminders that patients learn to ignore.</w:t>
      </w:r>
    </w:p>
    <w:p>
      <w:pPr>
        <w:spacing w:after="100" w:before="0" w:line="260"/>
        <w:jc w:val="left"/>
      </w:pPr>
      <w:r>
        <w:rPr>
          <w:rFonts w:ascii="Arial" w:cs="Arial" w:eastAsia="Arial" w:hAnsi="Arial"/>
          <w:sz w:val="22"/>
          <w:szCs w:val="22"/>
        </w:rPr>
        <w:t xml:space="preserve">The communication layer adapts to each patient's health literacy level, preferred language, and communication style, all learned through natural interaction over time. Complex clinical concepts are explained using analogies and plain language appropriate for the individual patient.</w:t>
      </w:r>
    </w:p>
    <w:p>
      <w:pPr>
        <w:pStyle w:val="Heading2"/>
        <w:spacing w:after="50" w:before="140" w:line="260"/>
        <w:jc w:val="left"/>
      </w:pPr>
      <w:r>
        <w:rPr>
          <w:rFonts w:ascii="Arial" w:cs="Arial" w:eastAsia="Arial" w:hAnsi="Arial"/>
          <w:b/>
          <w:bCs/>
          <w:sz w:val="23"/>
          <w:szCs w:val="23"/>
        </w:rPr>
        <w:t xml:space="preserve">3. Execution Approach and Team Collaboration</w:t>
      </w:r>
    </w:p>
    <w:p>
      <w:pPr>
        <w:spacing w:after="100" w:before="0" w:line="260"/>
        <w:jc w:val="left"/>
      </w:pPr>
      <w:r>
        <w:rPr>
          <w:rFonts w:ascii="Arial" w:cs="Arial" w:eastAsia="Arial" w:hAnsi="Arial"/>
          <w:sz w:val="22"/>
          <w:szCs w:val="22"/>
        </w:rPr>
        <w:t xml:space="preserve">The PI will lead all technical development of the Iris Core platform, with clinical advisors in cardiology and heart failure to be recruited for the full proposal phase. The PI's expertise in natural language processing, transformer architectures, and retrieval augmented generation directly applies to building the language model orchestration layer, the sequence to sequence trajectory prediction model, the conversational interface, and the integration infrastructure connecting the clinical tools.</w:t>
      </w:r>
    </w:p>
    <w:p>
      <w:pPr>
        <w:spacing w:after="100" w:before="0" w:line="260"/>
        <w:jc w:val="left"/>
      </w:pPr>
      <w:r>
        <w:rPr>
          <w:rFonts w:ascii="Arial" w:cs="Arial" w:eastAsia="Arial" w:hAnsi="Arial"/>
          <w:sz w:val="22"/>
          <w:szCs w:val="22"/>
        </w:rPr>
        <w:t xml:space="preserve">Collaboration with TA2 performers: Iris Core will expose all clinical recommendations through the standardized Remote Monitoring and Control protocol aligned with MCP, enabling the supervisory agent to verify every action. The tool first architecture facilitates TA2 oversight because every clinical decision carries structured metadata: which tool was called, with what inputs, and what the tool returned. This is significantly easier for a supervisory agent to verify than free text clinical reasoning.</w:t>
      </w:r>
    </w:p>
    <w:p>
      <w:pPr>
        <w:spacing w:after="100" w:before="0" w:line="260"/>
        <w:jc w:val="left"/>
      </w:pPr>
      <w:r>
        <w:rPr>
          <w:rFonts w:ascii="Arial" w:cs="Arial" w:eastAsia="Arial" w:hAnsi="Arial"/>
          <w:sz w:val="22"/>
          <w:szCs w:val="22"/>
        </w:rPr>
        <w:t xml:space="preserve">Collaboration with TA3 performers: TA3 health systems will provide de identified EHR data for developing and validating the trajectory prediction tool, clinical environments for integration testing, and patient populations for the Phase 2 scalability studies. Clinical workflow mapping conducted by TA3 performers will inform the design of the scheduling and escalation tool to ensure compatibility with real hospital operations.</w:t>
      </w:r>
    </w:p>
    <w:p>
      <w:pPr>
        <w:pStyle w:val="Heading2"/>
        <w:spacing w:after="50" w:before="140" w:line="260"/>
        <w:jc w:val="left"/>
      </w:pPr>
      <w:r>
        <w:rPr>
          <w:rFonts w:ascii="Arial" w:cs="Arial" w:eastAsia="Arial" w:hAnsi="Arial"/>
          <w:b/>
          <w:bCs/>
          <w:sz w:val="23"/>
          <w:szCs w:val="23"/>
        </w:rPr>
        <w:t xml:space="preserve">4. Final Deliverables and Key Milestones</w:t>
      </w:r>
    </w:p>
    <w:p>
      <w:pPr>
        <w:spacing w:after="100" w:before="0" w:line="260"/>
        <w:jc w:val="left"/>
      </w:pPr>
      <w:r>
        <w:rPr>
          <w:rFonts w:ascii="Arial" w:cs="Arial" w:eastAsia="Arial" w:hAnsi="Arial"/>
          <w:b/>
          <w:bCs/>
          <w:sz w:val="22"/>
          <w:szCs w:val="22"/>
        </w:rPr>
        <w:t xml:space="preserve">Final Deliverable: </w:t>
      </w:r>
      <w:r>
        <w:rPr>
          <w:rFonts w:ascii="Arial" w:cs="Arial" w:eastAsia="Arial" w:hAnsi="Arial"/>
          <w:sz w:val="22"/>
          <w:szCs w:val="22"/>
        </w:rPr>
        <w:t xml:space="preserve">A validated, FDA ready autonomous heart failure care management agent capable of GDMT optimization, continuous physiological monitoring with predictive decompensation alerting, barrier aware medication planning, and proactive care coordination, integrated with TA2 supervisory systems and deployed in TA3 health system scalability studies.</w:t>
      </w:r>
    </w:p>
    <w:p>
      <w:pPr>
        <w:spacing w:after="100" w:before="0" w:line="260"/>
        <w:jc w:val="left"/>
      </w:pPr>
      <w:r>
        <w:rPr>
          <w:rFonts w:ascii="Arial" w:cs="Arial" w:eastAsia="Arial" w:hAnsi="Arial"/>
          <w:b/>
          <w:bCs/>
          <w:sz w:val="22"/>
          <w:szCs w:val="22"/>
        </w:rPr>
        <w:t xml:space="preserve">Milestone 1 (Month 6): </w:t>
      </w:r>
      <w:r>
        <w:rPr>
          <w:rFonts w:ascii="Arial" w:cs="Arial" w:eastAsia="Arial" w:hAnsi="Arial"/>
          <w:sz w:val="22"/>
          <w:szCs w:val="22"/>
        </w:rPr>
        <w:t xml:space="preserve">Functional prototype of the tool first architecture demonstrated on simulated heart failure patient scenarios. GDMT optimization tool validated against AHA/ACC guidelines for at least two drug classes. Trajectory prediction tool trained on retrospective data with evaluated sensitivity and specificity for early congestion detection. Conversational interface operational with barrier aware planning for medication cost.</w:t>
      </w:r>
    </w:p>
    <w:p>
      <w:pPr>
        <w:spacing w:after="100" w:before="0" w:line="260"/>
        <w:jc w:val="left"/>
      </w:pPr>
      <w:r>
        <w:rPr>
          <w:rFonts w:ascii="Arial" w:cs="Arial" w:eastAsia="Arial" w:hAnsi="Arial"/>
          <w:b/>
          <w:bCs/>
          <w:sz w:val="22"/>
          <w:szCs w:val="22"/>
        </w:rPr>
        <w:t xml:space="preserve">Milestone 2 (Month 9, IV&amp;V Study): </w:t>
      </w:r>
      <w:r>
        <w:rPr>
          <w:rFonts w:ascii="Arial" w:cs="Arial" w:eastAsia="Arial" w:hAnsi="Arial"/>
          <w:sz w:val="22"/>
          <w:szCs w:val="22"/>
        </w:rPr>
        <w:t xml:space="preserve">Full system with all four GDMT drug classes, complete safety tool, and scheduling/escalation tool evaluated on simulated patient scenarios spanning diverse clinical presentations. Non inferiority assessment against cardiologist panel decisions on standardized clinical cases. Initial FDA pre submission meeting completed for regulatory pathway alignment.</w:t>
      </w:r>
    </w:p>
    <w:p>
      <w:pPr>
        <w:pStyle w:val="Heading2"/>
        <w:spacing w:after="50" w:before="140" w:line="260"/>
        <w:jc w:val="left"/>
      </w:pPr>
      <w:r>
        <w:rPr>
          <w:rFonts w:ascii="Arial" w:cs="Arial" w:eastAsia="Arial" w:hAnsi="Arial"/>
          <w:b/>
          <w:bCs/>
          <w:sz w:val="23"/>
          <w:szCs w:val="23"/>
        </w:rPr>
        <w:t xml:space="preserve">5. Architecture, Development Plan, and Risk Mitigation</w:t>
      </w:r>
    </w:p>
    <w:p>
      <w:pPr>
        <w:spacing w:after="50" w:before="0" w:line="260"/>
        <w:jc w:val="left"/>
      </w:pPr>
      <w:r>
        <w:rPr>
          <w:rFonts w:ascii="Arial" w:cs="Arial" w:eastAsia="Arial" w:hAnsi="Arial"/>
          <w:b/>
          <w:bCs/>
          <w:sz w:val="22"/>
          <w:szCs w:val="22"/>
        </w:rPr>
        <w:t xml:space="preserve">Agentic Solution Architecture and System Connections</w:t>
      </w:r>
    </w:p>
    <w:p>
      <w:pPr>
        <w:spacing w:after="100" w:before="0" w:line="260"/>
        <w:jc w:val="left"/>
      </w:pPr>
      <w:r>
        <w:rPr>
          <w:rFonts w:ascii="Arial" w:cs="Arial" w:eastAsia="Arial" w:hAnsi="Arial"/>
          <w:sz w:val="22"/>
          <w:szCs w:val="22"/>
        </w:rPr>
        <w:t xml:space="preserve">Iris Core integrates with hospital infrastructure through FHIR R4 APIs for EHR data (medications, labs, vitals, notes, problem lists), wearable device APIs for continuous physiological data (weight scales, blood pressure monitors, heart rate monitors, activity trackers), and scheduling systems for appointment management. In Phase 1A, barrier aware planning uses patient reported data and public datasets. In Phase 1B, integration with pharmacy benefit checker APIs and pharmacy availability systems enables automated cost and availability verification. The language model component uses a pre trained foundation model accessed through API with a carefully engineered clinical prompting framework that constrains the model to tool orchestration and patient communication. All clinical tools are implemented as independent, containerized services that can be updated without modifying the language model layer. Automation is central to the architecture: the trajectory prediction tool runs continuously on incoming data, the barrier aware planning layer evaluates every recommendation automatically, and the scheduling tool proactively manages escalation workflows without manual triggers.</w:t>
      </w:r>
    </w:p>
    <w:p>
      <w:pPr>
        <w:spacing w:after="50" w:before="80" w:line="260"/>
        <w:jc w:val="left"/>
      </w:pPr>
      <w:r>
        <w:rPr>
          <w:rFonts w:ascii="Arial" w:cs="Arial" w:eastAsia="Arial" w:hAnsi="Arial"/>
          <w:b/>
          <w:bCs/>
          <w:sz w:val="22"/>
          <w:szCs w:val="22"/>
        </w:rPr>
        <w:t xml:space="preserve">Development Plan</w:t>
      </w:r>
    </w:p>
    <w:p>
      <w:pPr>
        <w:spacing w:after="100" w:before="0" w:line="260"/>
        <w:jc w:val="left"/>
      </w:pPr>
      <w:r>
        <w:rPr>
          <w:rFonts w:ascii="Arial" w:cs="Arial" w:eastAsia="Arial" w:hAnsi="Arial"/>
          <w:sz w:val="22"/>
          <w:szCs w:val="22"/>
        </w:rPr>
        <w:t xml:space="preserve">Phase 1A (Months 1 through 12): Build the core platform. Develop and validate all four clinical tools using MIMIC IV data and AHA/ACC guidelines. Build the language model orchestration layer and conversational interface. Implement the barrier aware planning layer using patient reported data and public social determinants datasets. Train the trajectory prediction model on retrospective heart failure cohort data. Complete IV&amp;V study at Month 9.</w:t>
      </w:r>
    </w:p>
    <w:p>
      <w:pPr>
        <w:spacing w:after="100" w:before="0" w:line="260"/>
        <w:jc w:val="left"/>
      </w:pPr>
      <w:r>
        <w:rPr>
          <w:rFonts w:ascii="Arial" w:cs="Arial" w:eastAsia="Arial" w:hAnsi="Arial"/>
          <w:sz w:val="22"/>
          <w:szCs w:val="22"/>
        </w:rPr>
        <w:t xml:space="preserve">Phase 1B (Months 13 through 24): Integrate and validate clinically. Connect to TA3 health system EHR and wearable data feeds. Conduct prospective validation of trajectory prediction against real patient outcomes. Expand barrier aware planning with pharmacy benefit checker and availability API integrations. Integrate transportation, social support, and health literacy factors. Integrate with TA2 supervisory systems. Optimize for real time performance. Complete IV&amp;V study at Month 21. Initiate FDA regulatory engagement.</w:t>
      </w:r>
    </w:p>
    <w:p>
      <w:pPr>
        <w:spacing w:after="100" w:before="0" w:line="260"/>
        <w:jc w:val="left"/>
      </w:pPr>
      <w:r>
        <w:rPr>
          <w:rFonts w:ascii="Arial" w:cs="Arial" w:eastAsia="Arial" w:hAnsi="Arial"/>
          <w:sz w:val="22"/>
          <w:szCs w:val="22"/>
        </w:rPr>
        <w:t xml:space="preserve">Phase 2 (Months 25 through 39): Deploy at scale. Participate in TA3 scalability studies across diverse health systems. Validate across demographic and socioeconomic subgroups. Collect real world outcome data. Complete FDA submission process.</w:t>
      </w:r>
    </w:p>
    <w:p>
      <w:pPr>
        <w:spacing w:after="50" w:before="80" w:line="260"/>
        <w:jc w:val="left"/>
      </w:pPr>
      <w:r>
        <w:rPr>
          <w:rFonts w:ascii="Arial" w:cs="Arial" w:eastAsia="Arial" w:hAnsi="Arial"/>
          <w:b/>
          <w:bCs/>
          <w:sz w:val="22"/>
          <w:szCs w:val="22"/>
        </w:rPr>
        <w:t xml:space="preserve">Data Privacy and Cybersecurity</w:t>
      </w:r>
    </w:p>
    <w:p>
      <w:pPr>
        <w:spacing w:after="100" w:before="0" w:line="260"/>
        <w:jc w:val="left"/>
      </w:pPr>
      <w:r>
        <w:rPr>
          <w:rFonts w:ascii="Arial" w:cs="Arial" w:eastAsia="Arial" w:hAnsi="Arial"/>
          <w:sz w:val="22"/>
          <w:szCs w:val="22"/>
        </w:rPr>
        <w:t xml:space="preserve">All patient data is processed within the healthcare organization's infrastructure. The language model API calls contain de identified clinical context, not raw patient records. Tool outputs are generated locally. The barrier aware planning layer accesses external data sources (formulary databases, pharmacy APIs) using medication identifiers only, never transmitting patient identity information. All data exchange is encrypted and HIPAA compliant. The tool first architecture provides an additional security benefit: clinical reasoning occurs in deterministic local tools, not in cloud based language model inference.</w:t>
      </w:r>
    </w:p>
    <w:p>
      <w:pPr>
        <w:spacing w:after="50" w:before="80" w:line="260"/>
        <w:jc w:val="left"/>
      </w:pPr>
      <w:r>
        <w:rPr>
          <w:rFonts w:ascii="Arial" w:cs="Arial" w:eastAsia="Arial" w:hAnsi="Arial"/>
          <w:b/>
          <w:bCs/>
          <w:sz w:val="22"/>
          <w:szCs w:val="22"/>
        </w:rPr>
        <w:t xml:space="preserve">Risk Identification and Mitigation</w:t>
      </w:r>
    </w:p>
    <w:p>
      <w:pPr>
        <w:spacing w:after="100" w:before="0" w:line="260"/>
        <w:jc w:val="left"/>
      </w:pPr>
      <w:r>
        <w:rPr>
          <w:rFonts w:ascii="Arial" w:cs="Arial" w:eastAsia="Arial" w:hAnsi="Arial"/>
          <w:sz w:val="22"/>
          <w:szCs w:val="22"/>
        </w:rPr>
        <w:t xml:space="preserve">Risk 1: Trajectory prediction generates false alarms causing alert fatigue. Mitigation: Sensitivity and specificity thresholds are tuned on retrospective data to achieve clinically acceptable false alarm rates. Alerts are stratified by urgency level to preserve clinician attention for genuine emergencies.</w:t>
      </w:r>
    </w:p>
    <w:p>
      <w:pPr>
        <w:spacing w:after="100" w:before="0" w:line="260"/>
        <w:jc w:val="left"/>
      </w:pPr>
      <w:r>
        <w:rPr>
          <w:rFonts w:ascii="Arial" w:cs="Arial" w:eastAsia="Arial" w:hAnsi="Arial"/>
          <w:sz w:val="22"/>
          <w:szCs w:val="22"/>
        </w:rPr>
        <w:t xml:space="preserve">Risk 2: Barrier aware planning data is incomplete or inaccurate. Mitigation: System defaults to the clinically optimal recommendation when barrier information is unavailable. Barrier data is continuously updated through patient conversation and never used to withhold clinically necessary treatment.</w:t>
      </w:r>
    </w:p>
    <w:p>
      <w:pPr>
        <w:spacing w:after="100" w:before="0" w:line="260"/>
        <w:jc w:val="left"/>
      </w:pPr>
      <w:r>
        <w:rPr>
          <w:rFonts w:ascii="Arial" w:cs="Arial" w:eastAsia="Arial" w:hAnsi="Arial"/>
          <w:sz w:val="22"/>
          <w:szCs w:val="22"/>
        </w:rPr>
        <w:t xml:space="preserve">Risk 3: Language model generates misleading patient communication despite tool first constraints. Mitigation: All patient facing messages are assembled from structured tool output templates. Free text generation is limited to empathetic framing and does not include clinical assertions not sourced from tool outputs.</w:t>
      </w:r>
    </w:p>
    <w:p>
      <w:pPr>
        <w:spacing w:after="100" w:before="0" w:line="260"/>
        <w:jc w:val="left"/>
      </w:pPr>
      <w:r>
        <w:rPr>
          <w:rFonts w:ascii="Arial" w:cs="Arial" w:eastAsia="Arial" w:hAnsi="Arial"/>
          <w:sz w:val="22"/>
          <w:szCs w:val="22"/>
        </w:rPr>
        <w:t xml:space="preserve">Risk 4: Integration with diverse EHR systems is technically complex. Mitigation: FHIR R4 provides standardized access. Phase 1A uses MIMIC IV to develop the integration layer. Phase 1B validates with at least one TA3 health system EHR environment.</w:t>
      </w:r>
    </w:p>
    <w:p>
      <w:pPr>
        <w:spacing w:after="50" w:before="80" w:line="260"/>
        <w:jc w:val="left"/>
      </w:pPr>
      <w:r>
        <w:rPr>
          <w:rFonts w:ascii="Arial" w:cs="Arial" w:eastAsia="Arial" w:hAnsi="Arial"/>
          <w:b/>
          <w:bCs/>
          <w:sz w:val="22"/>
          <w:szCs w:val="22"/>
        </w:rPr>
        <w:t xml:space="preserve">IV&amp;V Data Generation</w:t>
      </w:r>
    </w:p>
    <w:p>
      <w:pPr>
        <w:spacing w:after="100" w:before="0" w:line="260"/>
        <w:jc w:val="left"/>
      </w:pPr>
      <w:r>
        <w:rPr>
          <w:rFonts w:ascii="Arial" w:cs="Arial" w:eastAsia="Arial" w:hAnsi="Arial"/>
          <w:sz w:val="22"/>
          <w:szCs w:val="22"/>
        </w:rPr>
        <w:t xml:space="preserve">The tool first architecture generates structured, auditable data for every clinical decision: which tool was invoked, with what inputs, what the tool returned, and what the language model communicated to the patient. This structured decision trail is shared with the IV&amp;V partner and TA2 supervisory agent. Trajectory prediction performance metrics (sensitivity, specificity, lead time) are computed continuously and logged for evaluation. Patient engagement metrics (response rates, barrier identification rates, adherence indicators) are tracked and reported.</w:t>
      </w:r>
    </w:p>
    <w:p>
      <w:pPr>
        <w:spacing w:after="50" w:before="80" w:line="260"/>
        <w:jc w:val="left"/>
      </w:pPr>
      <w:r>
        <w:rPr>
          <w:rFonts w:ascii="Arial" w:cs="Arial" w:eastAsia="Arial" w:hAnsi="Arial"/>
          <w:b/>
          <w:bCs/>
          <w:sz w:val="22"/>
          <w:szCs w:val="22"/>
        </w:rPr>
        <w:t xml:space="preserve">Regulatory Strategy</w:t>
      </w:r>
    </w:p>
    <w:p>
      <w:pPr>
        <w:spacing w:after="100" w:before="0" w:line="260"/>
        <w:jc w:val="left"/>
      </w:pPr>
      <w:r>
        <w:rPr>
          <w:rFonts w:ascii="Arial" w:cs="Arial" w:eastAsia="Arial" w:hAnsi="Arial"/>
          <w:sz w:val="22"/>
          <w:szCs w:val="22"/>
        </w:rPr>
        <w:t xml:space="preserve">Iris Core will pursue FDA medical device authorization through the De Novo pathway for autonomous clinical decision support. The tool first architecture supports this strategy: each clinical tool can be independently validated, and the separation of clinical reasoning from language generation simplifies the regulatory review by isolating the components that make medical decisions. Early engagement with FDA during Phase 1A will establish the predicate framework and agree on the clinical evidence requirements for authorization.</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after="60" w:before="180" w:line="260"/>
        <w:jc w:val="left"/>
      </w:pPr>
      <w:r>
        <w:rPr>
          <w:rFonts w:ascii="Arial" w:cs="Arial" w:eastAsia="Arial" w:hAnsi="Arial"/>
          <w:b/>
          <w:bCs/>
          <w:sz w:val="26"/>
          <w:szCs w:val="26"/>
        </w:rPr>
        <w:t xml:space="preserve">Team, Organization, and Capabilities</w:t>
      </w:r>
    </w:p>
    <w:p>
      <w:pPr>
        <w:pStyle w:val="Heading2"/>
        <w:spacing w:after="50" w:before="140" w:line="260"/>
        <w:jc w:val="left"/>
      </w:pPr>
      <w:r>
        <w:rPr>
          <w:rFonts w:ascii="Arial" w:cs="Arial" w:eastAsia="Arial" w:hAnsi="Arial"/>
          <w:b/>
          <w:bCs/>
          <w:sz w:val="23"/>
          <w:szCs w:val="23"/>
        </w:rPr>
        <w:t xml:space="preserve">1. Team Roles and Responsibilities</w:t>
      </w:r>
    </w:p>
    <w:p>
      <w:pPr>
        <w:spacing w:after="100" w:before="0" w:line="260"/>
        <w:jc w:val="left"/>
      </w:pPr>
      <w:r>
        <w:rPr>
          <w:rFonts w:ascii="Arial" w:cs="Arial" w:eastAsia="Arial" w:hAnsi="Arial"/>
          <w:b/>
          <w:bCs/>
          <w:sz w:val="22"/>
          <w:szCs w:val="22"/>
        </w:rPr>
        <w:t xml:space="preserve">Waiz Khan, Principal Investigator and Lead Developer. </w:t>
      </w:r>
      <w:r>
        <w:rPr>
          <w:rFonts w:ascii="Arial" w:cs="Arial" w:eastAsia="Arial" w:hAnsi="Arial"/>
          <w:sz w:val="22"/>
          <w:szCs w:val="22"/>
        </w:rPr>
        <w:t xml:space="preserve">Responsible for all technical design, development, and validation of the Iris Core platform. Leads architecture decisions, builds the language model orchestration layer, implements tool integrations, and manages collaboration with TA2 and TA3 performers.</w:t>
      </w:r>
    </w:p>
    <w:p>
      <w:pPr>
        <w:spacing w:after="100" w:before="0" w:line="260"/>
        <w:jc w:val="left"/>
      </w:pPr>
      <w:r>
        <w:rPr>
          <w:rFonts w:ascii="Arial" w:cs="Arial" w:eastAsia="Arial" w:hAnsi="Arial"/>
          <w:b/>
          <w:bCs/>
          <w:sz w:val="22"/>
          <w:szCs w:val="22"/>
        </w:rPr>
        <w:t xml:space="preserve">Clinical Advisor in Cardiology/Heart Failure (to be recruited for full proposal). </w:t>
      </w:r>
      <w:r>
        <w:rPr>
          <w:rFonts w:ascii="Arial" w:cs="Arial" w:eastAsia="Arial" w:hAnsi="Arial"/>
          <w:sz w:val="22"/>
          <w:szCs w:val="22"/>
        </w:rPr>
        <w:t xml:space="preserve">Will validate clinical tool logic against current heart failure management guidelines, review trajectory prediction model outputs, and advise on clinical workflow integration.</w:t>
      </w:r>
    </w:p>
    <w:p>
      <w:pPr>
        <w:spacing w:after="100" w:before="0" w:line="260"/>
        <w:jc w:val="left"/>
      </w:pPr>
      <w:r>
        <w:rPr>
          <w:rFonts w:ascii="Arial" w:cs="Arial" w:eastAsia="Arial" w:hAnsi="Arial"/>
          <w:b/>
          <w:bCs/>
          <w:sz w:val="22"/>
          <w:szCs w:val="22"/>
        </w:rPr>
        <w:t xml:space="preserve">Regulatory Affairs Consultant (to be recruited for full proposal). </w:t>
      </w:r>
      <w:r>
        <w:rPr>
          <w:rFonts w:ascii="Arial" w:cs="Arial" w:eastAsia="Arial" w:hAnsi="Arial"/>
          <w:sz w:val="22"/>
          <w:szCs w:val="22"/>
        </w:rPr>
        <w:t xml:space="preserve">Will guide the FDA De Novo authorization strategy, support pre submission meetings, and ensure clinical validation study design meets regulatory requirements.</w:t>
      </w:r>
    </w:p>
    <w:p>
      <w:pPr>
        <w:pStyle w:val="Heading2"/>
        <w:spacing w:after="50" w:before="140" w:line="260"/>
        <w:jc w:val="left"/>
      </w:pPr>
      <w:r>
        <w:rPr>
          <w:rFonts w:ascii="Arial" w:cs="Arial" w:eastAsia="Arial" w:hAnsi="Arial"/>
          <w:b/>
          <w:bCs/>
          <w:sz w:val="23"/>
          <w:szCs w:val="23"/>
        </w:rPr>
        <w:t xml:space="preserve">2. Key Personnel</w:t>
      </w:r>
    </w:p>
    <w:p>
      <w:pPr>
        <w:spacing w:after="100" w:before="0" w:line="260"/>
        <w:jc w:val="left"/>
      </w:pPr>
      <w:r>
        <w:rPr>
          <w:rFonts w:ascii="Arial" w:cs="Arial" w:eastAsia="Arial" w:hAnsi="Arial"/>
          <w:b/>
          <w:bCs/>
          <w:sz w:val="22"/>
          <w:szCs w:val="22"/>
        </w:rPr>
        <w:t xml:space="preserve">Waiz Khan </w:t>
      </w:r>
      <w:r>
        <w:rPr>
          <w:rFonts w:ascii="Arial" w:cs="Arial" w:eastAsia="Arial" w:hAnsi="Arial"/>
          <w:sz w:val="22"/>
          <w:szCs w:val="22"/>
        </w:rPr>
        <w:t xml:space="preserve">| Principal Investigator | M.S. Engineering Data Science Candidate | Johns Hopkins University</w:t>
      </w:r>
    </w:p>
    <w:p>
      <w:pPr>
        <w:spacing w:after="100" w:before="0" w:line="260"/>
        <w:jc w:val="left"/>
      </w:pPr>
      <w:r>
        <w:rPr>
          <w:rFonts w:ascii="Arial" w:cs="Arial" w:eastAsia="Arial" w:hAnsi="Arial"/>
          <w:sz w:val="22"/>
          <w:szCs w:val="22"/>
        </w:rPr>
        <w:t xml:space="preserve">The PI brings research experience in natural language processing and machine learning with specific expertise in transformer architectures, retrieval augmented generation, and the evaluation of generative AI system outputs. This directly applies to building the language model orchestration layer, the sequence to sequence trajectory prediction model, the conversational patient interface, and the integration infrastructure connecting the clinical tools. The PI's research in neural machine translation, which involves evaluating model outputs and building pipelines that combine generative models with structured knowledge retrieval, provides the technical foundation for the tool first architecture where a language model orchestrates deterministic clinical tools.</w:t>
      </w:r>
    </w:p>
    <w:p>
      <w:pPr>
        <w:spacing w:after="100" w:before="0" w:line="260"/>
        <w:jc w:val="left"/>
      </w:pPr>
      <w:r>
        <w:rPr>
          <w:rFonts w:ascii="Arial" w:cs="Arial" w:eastAsia="Arial" w:hAnsi="Arial"/>
          <w:sz w:val="22"/>
          <w:szCs w:val="22"/>
        </w:rPr>
        <w:t xml:space="preserve">Additional relevant experience includes: development of a cuffless blood pressure estimation system using on device machine learning (demonstrating experience building clinical measurement tools), data science internship building predictive models for healthcare analytics (demonstrating experience with health data pipelines), and advanced coursework in NLP, computational genomics, quantitative modeling, and applied mathematics.</w:t>
      </w:r>
    </w:p>
    <w:p>
      <w:pPr>
        <w:spacing w:after="100" w:before="0" w:line="260"/>
        <w:jc w:val="left"/>
      </w:pPr>
      <w:r>
        <w:rPr>
          <w:rFonts w:ascii="Arial" w:cs="Arial" w:eastAsia="Arial" w:hAnsi="Arial"/>
          <w:sz w:val="22"/>
          <w:szCs w:val="22"/>
        </w:rPr>
        <w:t xml:space="preserve">LinkedIn: linkedin.com/in/waiz-khan</w:t>
      </w:r>
    </w:p>
    <w:p>
      <w:pPr>
        <w:pStyle w:val="Heading2"/>
        <w:spacing w:after="50" w:before="140" w:line="260"/>
        <w:jc w:val="left"/>
      </w:pPr>
      <w:r>
        <w:rPr>
          <w:rFonts w:ascii="Arial" w:cs="Arial" w:eastAsia="Arial" w:hAnsi="Arial"/>
          <w:b/>
          <w:bCs/>
          <w:sz w:val="23"/>
          <w:szCs w:val="23"/>
        </w:rPr>
        <w:t xml:space="preserve">3. Evidence of Relevant Experience</w:t>
      </w:r>
    </w:p>
    <w:p>
      <w:pPr>
        <w:spacing w:after="50" w:before="0" w:line="260"/>
        <w:jc w:val="left"/>
      </w:pPr>
      <w:r>
        <w:rPr>
          <w:rFonts w:ascii="Arial" w:cs="Arial" w:eastAsia="Arial" w:hAnsi="Arial"/>
          <w:b/>
          <w:bCs/>
          <w:sz w:val="22"/>
          <w:szCs w:val="22"/>
        </w:rPr>
        <w:t xml:space="preserve">Patient Facing Application Development</w:t>
      </w:r>
    </w:p>
    <w:p>
      <w:pPr>
        <w:spacing w:after="100" w:before="0" w:line="260"/>
        <w:jc w:val="left"/>
      </w:pPr>
      <w:r>
        <w:rPr>
          <w:rFonts w:ascii="Arial" w:cs="Arial" w:eastAsia="Arial" w:hAnsi="Arial"/>
          <w:sz w:val="22"/>
          <w:szCs w:val="22"/>
        </w:rPr>
        <w:t xml:space="preserve">The PI developed a cuffless blood pressure monitoring iOS application using on device machine learning that processes sensor data in real time to produce clinical measurements. This demonstrates direct experience building patient facing health technology with real time data processing, clinical measurement capabilities, and mobile deployment, which are core competencies required for Iris Core's patient interface and wearable data integration.</w:t>
      </w:r>
    </w:p>
    <w:p>
      <w:pPr>
        <w:spacing w:after="50" w:before="80" w:line="260"/>
        <w:jc w:val="left"/>
      </w:pPr>
      <w:r>
        <w:rPr>
          <w:rFonts w:ascii="Arial" w:cs="Arial" w:eastAsia="Arial" w:hAnsi="Arial"/>
          <w:b/>
          <w:bCs/>
          <w:sz w:val="22"/>
          <w:szCs w:val="22"/>
        </w:rPr>
        <w:t xml:space="preserve">Proposed Techniques and Models</w:t>
      </w:r>
    </w:p>
    <w:p>
      <w:pPr>
        <w:spacing w:after="100" w:before="0" w:line="260"/>
        <w:jc w:val="left"/>
      </w:pPr>
      <w:r>
        <w:rPr>
          <w:rFonts w:ascii="Arial" w:cs="Arial" w:eastAsia="Arial" w:hAnsi="Arial"/>
          <w:sz w:val="22"/>
          <w:szCs w:val="22"/>
        </w:rPr>
        <w:t xml:space="preserve">The PI's research in NLP involves building systems that combine large language models with structured knowledge retrieval and evaluation pipelines. This maps directly to the tool first architecture where a language model orchestrates deterministic tools and retrieves clinical knowledge. The PI has experience with transformer fine tuning, RAG system development, and evaluation methodologies for generative AI outputs.</w:t>
      </w:r>
    </w:p>
    <w:p>
      <w:pPr>
        <w:spacing w:after="50" w:before="80" w:line="260"/>
        <w:jc w:val="left"/>
      </w:pPr>
      <w:r>
        <w:rPr>
          <w:rFonts w:ascii="Arial" w:cs="Arial" w:eastAsia="Arial" w:hAnsi="Arial"/>
          <w:b/>
          <w:bCs/>
          <w:sz w:val="22"/>
          <w:szCs w:val="22"/>
        </w:rPr>
        <w:t xml:space="preserve">FDA Regulated Product Development</w:t>
      </w:r>
    </w:p>
    <w:p>
      <w:pPr>
        <w:spacing w:after="100" w:before="0" w:line="260"/>
        <w:jc w:val="left"/>
      </w:pPr>
      <w:r>
        <w:rPr>
          <w:rFonts w:ascii="Arial" w:cs="Arial" w:eastAsia="Arial" w:hAnsi="Arial"/>
          <w:sz w:val="22"/>
          <w:szCs w:val="22"/>
        </w:rPr>
        <w:t xml:space="preserve">The PI does not have prior FDA submission experience. A regulatory affairs consultant with medical device authorization experience (De Novo pathway) will be recruited for the full proposal and program execution. The tool first architecture is designed to simplify regulatory review by isolating clinical decision making in independently validatable tools.</w:t>
      </w:r>
    </w:p>
    <w:p>
      <w:pPr>
        <w:spacing w:after="50" w:before="80" w:line="260"/>
        <w:jc w:val="left"/>
      </w:pPr>
      <w:r>
        <w:rPr>
          <w:rFonts w:ascii="Arial" w:cs="Arial" w:eastAsia="Arial" w:hAnsi="Arial"/>
          <w:b/>
          <w:bCs/>
          <w:sz w:val="22"/>
          <w:szCs w:val="22"/>
        </w:rPr>
        <w:t xml:space="preserve">Cross Institutional Collaboration and Commercialization</w:t>
      </w:r>
    </w:p>
    <w:p>
      <w:pPr>
        <w:spacing w:after="100" w:before="0" w:line="260"/>
        <w:jc w:val="left"/>
      </w:pPr>
      <w:r>
        <w:rPr>
          <w:rFonts w:ascii="Arial" w:cs="Arial" w:eastAsia="Arial" w:hAnsi="Arial"/>
          <w:sz w:val="22"/>
          <w:szCs w:val="22"/>
        </w:rPr>
        <w:t xml:space="preserve">The PI has founded and led organizations including Empower, a skill development initiative serving over 50 participants across multiple institutions, demonstrating ability to build and coordinate teams around a shared mission. The PI has experience in startup environments and product development, providing commercial awareness for transitioning Iris Core from prototype to deployment. For the full proposal, clinical partnerships with heart failure specialists and health system collaborators will be formalized, along with technology partnerships for EHR and wearable device integration.</w:t>
      </w:r>
    </w:p>
    <w:p>
      <w:pPr>
        <w:pStyle w:val="Heading2"/>
        <w:spacing w:after="50" w:before="140" w:line="260"/>
        <w:jc w:val="left"/>
      </w:pPr>
      <w:r>
        <w:rPr>
          <w:rFonts w:ascii="Arial" w:cs="Arial" w:eastAsia="Arial" w:hAnsi="Arial"/>
          <w:b/>
          <w:bCs/>
          <w:sz w:val="23"/>
          <w:szCs w:val="23"/>
        </w:rPr>
        <w:t xml:space="preserve">4. Team Expansion Plan</w:t>
      </w:r>
    </w:p>
    <w:p>
      <w:pPr>
        <w:spacing w:after="100" w:before="0" w:line="260"/>
        <w:jc w:val="left"/>
      </w:pPr>
      <w:r>
        <w:rPr>
          <w:rFonts w:ascii="Arial" w:cs="Arial" w:eastAsia="Arial" w:hAnsi="Arial"/>
          <w:sz w:val="22"/>
          <w:szCs w:val="22"/>
        </w:rPr>
        <w:t xml:space="preserve">Upon encouragement to submit a full proposal, the team will be expanded to include: a board certified cardiologist or heart failure specialist as clinical advisor, a regulatory affairs consultant with FDA medical device experience, machine learning engineers with healthcare AI experience, a clinical data integration specialist for FHIR/EHR and wearable device connectivity, and a behavioral science advisor for the patient communication and adherence layers. The PI will leverage professional networks in the Baltimore and Washington healthcare technology ecosystem to build the multidisciplinary team required for program execution.</w:t>
      </w:r>
    </w:p>
    <w:p>
      <w:pPr>
        <w:sectPr>
          <w:pgSz w:w="12240" w:h="15840" w:orient="portrait"/>
          <w:pgMar w:top="1440" w:right="1440" w:bottom="1440" w:left="1440" w:header="708" w:footer="708" w:gutter="0"/>
          <w:pgNumType/>
          <w:docGrid w:linePitch="360"/>
        </w:sectPr>
      </w:pPr>
    </w:p>
    <w:p>
      <w:pPr>
        <w:pStyle w:val="Heading1"/>
        <w:spacing w:after="60" w:before="180" w:line="260"/>
        <w:jc w:val="left"/>
      </w:pPr>
      <w:r>
        <w:rPr>
          <w:rFonts w:ascii="Arial" w:cs="Arial" w:eastAsia="Arial" w:hAnsi="Arial"/>
          <w:b/>
          <w:bCs/>
          <w:sz w:val="26"/>
          <w:szCs w:val="26"/>
        </w:rPr>
        <w:t xml:space="preserve">Rough Order of Magnitude (ROM)</w:t>
      </w:r>
    </w:p>
    <w:p>
      <w:pPr>
        <w:spacing w:after="100" w:before="0" w:line="260"/>
        <w:jc w:val="left"/>
      </w:pPr>
      <w:r>
        <w:rPr>
          <w:rFonts w:ascii="Arial" w:cs="Arial" w:eastAsia="Arial" w:hAnsi="Arial"/>
          <w:i/>
          <w:iCs/>
          <w:sz w:val="22"/>
          <w:szCs w:val="22"/>
        </w:rPr>
        <w:t xml:space="preserve">The following provides a basis of estimate for the proposed 39 month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888888" w:sz="1"/>
              <w:left w:val="single" w:color="888888" w:sz="1"/>
              <w:bottom w:val="single" w:color="888888" w:sz="1"/>
              <w:right w:val="single" w:color="888888" w:sz="1"/>
            </w:tcBorders>
            <w:shd w:fill="333333" w:val="clear"/>
            <w:tcMar>
              <w:top w:type="dxa" w:w="50"/>
              <w:left w:type="dxa" w:w="80"/>
              <w:bottom w:type="dxa" w:w="50"/>
              <w:right w:type="dxa" w:w="80"/>
            </w:tcMar>
          </w:tcPr>
          <w:p>
            <w:pPr>
              <w:spacing w:after="0" w:before="0" w:line="260"/>
              <w:jc w:val="left"/>
            </w:pPr>
            <w:r>
              <w:rPr>
                <w:rFonts w:ascii="Arial" w:cs="Arial" w:eastAsia="Arial" w:hAnsi="Arial"/>
                <w:b/>
                <w:bCs/>
                <w:color w:val="FFFFFF"/>
                <w:sz w:val="20"/>
                <w:szCs w:val="20"/>
              </w:rPr>
              <w:t xml:space="preserve">Category</w:t>
            </w:r>
          </w:p>
        </w:tc>
        <w:tc>
          <w:tcPr>
            <w:tcW w:type="dxa" w:w="1540"/>
            <w:tcBorders>
              <w:top w:val="single" w:color="888888" w:sz="1"/>
              <w:left w:val="single" w:color="888888" w:sz="1"/>
              <w:bottom w:val="single" w:color="888888" w:sz="1"/>
              <w:right w:val="single" w:color="888888" w:sz="1"/>
            </w:tcBorders>
            <w:shd w:fill="333333" w:val="clear"/>
            <w:tcMar>
              <w:top w:type="dxa" w:w="50"/>
              <w:left w:type="dxa" w:w="80"/>
              <w:bottom w:type="dxa" w:w="50"/>
              <w:right w:type="dxa" w:w="80"/>
            </w:tcMar>
          </w:tcPr>
          <w:p>
            <w:pPr>
              <w:spacing w:after="0" w:before="0" w:line="260"/>
              <w:jc w:val="left"/>
            </w:pPr>
            <w:r>
              <w:rPr>
                <w:rFonts w:ascii="Arial" w:cs="Arial" w:eastAsia="Arial" w:hAnsi="Arial"/>
                <w:b/>
                <w:bCs/>
                <w:color w:val="FFFFFF"/>
                <w:sz w:val="20"/>
                <w:szCs w:val="20"/>
              </w:rPr>
              <w:t xml:space="preserve">Phase 1A
(12 mo)</w:t>
            </w:r>
          </w:p>
        </w:tc>
        <w:tc>
          <w:tcPr>
            <w:tcW w:type="dxa" w:w="1540"/>
            <w:tcBorders>
              <w:top w:val="single" w:color="888888" w:sz="1"/>
              <w:left w:val="single" w:color="888888" w:sz="1"/>
              <w:bottom w:val="single" w:color="888888" w:sz="1"/>
              <w:right w:val="single" w:color="888888" w:sz="1"/>
            </w:tcBorders>
            <w:shd w:fill="333333" w:val="clear"/>
            <w:tcMar>
              <w:top w:type="dxa" w:w="50"/>
              <w:left w:type="dxa" w:w="80"/>
              <w:bottom w:type="dxa" w:w="50"/>
              <w:right w:type="dxa" w:w="80"/>
            </w:tcMar>
          </w:tcPr>
          <w:p>
            <w:pPr>
              <w:spacing w:after="0" w:before="0" w:line="260"/>
              <w:jc w:val="left"/>
            </w:pPr>
            <w:r>
              <w:rPr>
                <w:rFonts w:ascii="Arial" w:cs="Arial" w:eastAsia="Arial" w:hAnsi="Arial"/>
                <w:b/>
                <w:bCs/>
                <w:color w:val="FFFFFF"/>
                <w:sz w:val="20"/>
                <w:szCs w:val="20"/>
              </w:rPr>
              <w:t xml:space="preserve">Phase 1B
(12 mo)</w:t>
            </w:r>
          </w:p>
        </w:tc>
        <w:tc>
          <w:tcPr>
            <w:tcW w:type="dxa" w:w="1540"/>
            <w:tcBorders>
              <w:top w:val="single" w:color="888888" w:sz="1"/>
              <w:left w:val="single" w:color="888888" w:sz="1"/>
              <w:bottom w:val="single" w:color="888888" w:sz="1"/>
              <w:right w:val="single" w:color="888888" w:sz="1"/>
            </w:tcBorders>
            <w:shd w:fill="333333" w:val="clear"/>
            <w:tcMar>
              <w:top w:type="dxa" w:w="50"/>
              <w:left w:type="dxa" w:w="80"/>
              <w:bottom w:type="dxa" w:w="50"/>
              <w:right w:type="dxa" w:w="80"/>
            </w:tcMar>
          </w:tcPr>
          <w:p>
            <w:pPr>
              <w:spacing w:after="0" w:before="0" w:line="260"/>
              <w:jc w:val="left"/>
            </w:pPr>
            <w:r>
              <w:rPr>
                <w:rFonts w:ascii="Arial" w:cs="Arial" w:eastAsia="Arial" w:hAnsi="Arial"/>
                <w:b/>
                <w:bCs/>
                <w:color w:val="FFFFFF"/>
                <w:sz w:val="20"/>
                <w:szCs w:val="20"/>
              </w:rPr>
              <w:t xml:space="preserve">Phase 2
(15 mo)</w:t>
            </w:r>
          </w:p>
        </w:tc>
        <w:tc>
          <w:tcPr>
            <w:tcW w:type="dxa" w:w="1540"/>
            <w:tcBorders>
              <w:top w:val="single" w:color="888888" w:sz="1"/>
              <w:left w:val="single" w:color="888888" w:sz="1"/>
              <w:bottom w:val="single" w:color="888888" w:sz="1"/>
              <w:right w:val="single" w:color="888888" w:sz="1"/>
            </w:tcBorders>
            <w:shd w:fill="333333" w:val="clear"/>
            <w:tcMar>
              <w:top w:type="dxa" w:w="50"/>
              <w:left w:type="dxa" w:w="80"/>
              <w:bottom w:type="dxa" w:w="50"/>
              <w:right w:type="dxa" w:w="80"/>
            </w:tcMar>
          </w:tcPr>
          <w:p>
            <w:pPr>
              <w:spacing w:after="0" w:before="0" w:line="260"/>
              <w:jc w:val="left"/>
            </w:pPr>
            <w:r>
              <w:rPr>
                <w:rFonts w:ascii="Arial" w:cs="Arial" w:eastAsia="Arial" w:hAnsi="Arial"/>
                <w:b/>
                <w:bCs/>
                <w:color w:val="FFFFFF"/>
                <w:sz w:val="20"/>
                <w:szCs w:val="20"/>
              </w:rPr>
              <w:t xml:space="preserve">Total</w:t>
            </w:r>
          </w:p>
        </w:tc>
      </w:tr>
      <w:tr>
        <w:tc>
          <w:tcPr>
            <w:tcW w:type="dxa" w:w="320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PI (1.0 FTE) @ $85/hr fully loaded</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$170K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$170K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$212K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$552K</w:t>
            </w:r>
          </w:p>
        </w:tc>
      </w:tr>
      <w:tr>
        <w:tc>
          <w:tcPr>
            <w:tcW w:type="dxa" w:w="320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ML Engineers (2.0 FTE avg) @ $75/hr</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$240K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$300K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$375K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$915K</w:t>
            </w:r>
          </w:p>
        </w:tc>
      </w:tr>
      <w:tr>
        <w:tc>
          <w:tcPr>
            <w:tcW w:type="dxa" w:w="320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Clinical Advisor (0.25 FTE) @ $150/hr</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$75K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$75K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$94K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$244K</w:t>
            </w:r>
          </w:p>
        </w:tc>
      </w:tr>
      <w:tr>
        <w:tc>
          <w:tcPr>
            <w:tcW w:type="dxa" w:w="320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Regulatory Consultant @ $150/hr (0.15 FTE)</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$45K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$60K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$75K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$180K</w:t>
            </w:r>
          </w:p>
        </w:tc>
      </w:tr>
      <w:tr>
        <w:tc>
          <w:tcPr>
            <w:tcW w:type="dxa" w:w="320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Behavioral Science Advisor (0.1 FTE)</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$20K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$20K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$25K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$65K</w:t>
            </w:r>
          </w:p>
        </w:tc>
      </w:tr>
      <w:tr>
        <w:tc>
          <w:tcPr>
            <w:tcW w:type="dxa" w:w="320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Cloud Compute (GPU and API costs)</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$120K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$150K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$180K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$450K</w:t>
            </w:r>
          </w:p>
        </w:tc>
      </w:tr>
      <w:tr>
        <w:tc>
          <w:tcPr>
            <w:tcW w:type="dxa" w:w="320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EHR/Device Integration Costs</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$30K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$50K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$40K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$120K</w:t>
            </w:r>
          </w:p>
        </w:tc>
      </w:tr>
      <w:tr>
        <w:tc>
          <w:tcPr>
            <w:tcW w:type="dxa" w:w="320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Travel and Collaboration</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$20K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$25K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$30K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$75K</w:t>
            </w:r>
          </w:p>
        </w:tc>
      </w:tr>
      <w:tr>
        <w:tc>
          <w:tcPr>
            <w:tcW w:type="dxa" w:w="320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Other Direct Costs</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$25K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$30K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$35K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$90K</w:t>
            </w:r>
          </w:p>
        </w:tc>
      </w:tr>
      <w:tr>
        <w:tc>
          <w:tcPr>
            <w:tcW w:type="dxa" w:w="320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Indirect Costs</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$90K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$100K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$120K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$310K</w:t>
            </w:r>
          </w:p>
        </w:tc>
      </w:tr>
      <w:tr>
        <w:tc>
          <w:tcPr>
            <w:tcW w:type="dxa" w:w="3200"/>
            <w:tcBorders>
              <w:top w:val="single" w:color="888888" w:sz="1"/>
              <w:left w:val="single" w:color="888888" w:sz="1"/>
              <w:bottom w:val="single" w:color="888888" w:sz="1"/>
              <w:right w:val="single" w:color="888888" w:sz="1"/>
            </w:tcBorders>
            <w:shd w:fill="E0E0E0" w:val="clear"/>
            <w:tcMar>
              <w:top w:type="dxa" w:w="50"/>
              <w:left w:type="dxa" w:w="80"/>
              <w:bottom w:type="dxa" w:w="50"/>
              <w:right w:type="dxa" w:w="80"/>
            </w:tcMar>
          </w:tcPr>
          <w:p>
            <w:pPr>
              <w:spacing w:after="0" w:before="0" w:line="260"/>
              <w:jc w:val="left"/>
            </w:pPr>
            <w:r>
              <w:rPr>
                <w:rFonts w:ascii="Arial" w:cs="Arial" w:eastAsia="Arial" w:hAnsi="Arial"/>
                <w:b/>
                <w:bCs/>
                <w:sz w:val="20"/>
                <w:szCs w:val="20"/>
              </w:rPr>
              <w:t xml:space="preserve">Total</w:t>
            </w:r>
          </w:p>
        </w:tc>
        <w:tc>
          <w:tcPr>
            <w:tcW w:type="dxa" w:w="1540"/>
            <w:tcBorders>
              <w:top w:val="single" w:color="888888" w:sz="1"/>
              <w:left w:val="single" w:color="888888" w:sz="1"/>
              <w:bottom w:val="single" w:color="888888" w:sz="1"/>
              <w:right w:val="single" w:color="888888" w:sz="1"/>
            </w:tcBorders>
            <w:shd w:fill="E0E0E0" w:val="clear"/>
            <w:tcMar>
              <w:top w:type="dxa" w:w="50"/>
              <w:left w:type="dxa" w:w="80"/>
              <w:bottom w:type="dxa" w:w="50"/>
              <w:right w:type="dxa" w:w="80"/>
            </w:tcMar>
          </w:tcPr>
          <w:p>
            <w:pPr>
              <w:spacing w:after="0" w:before="0" w:line="260"/>
              <w:jc w:val="left"/>
            </w:pPr>
            <w:r>
              <w:rPr>
                <w:rFonts w:ascii="Arial" w:cs="Arial" w:eastAsia="Arial" w:hAnsi="Arial"/>
                <w:b/>
                <w:bCs/>
                <w:sz w:val="20"/>
                <w:szCs w:val="20"/>
              </w:rPr>
              <w:t xml:space="preserve">$835K</w:t>
            </w:r>
          </w:p>
        </w:tc>
        <w:tc>
          <w:tcPr>
            <w:tcW w:type="dxa" w:w="1540"/>
            <w:tcBorders>
              <w:top w:val="single" w:color="888888" w:sz="1"/>
              <w:left w:val="single" w:color="888888" w:sz="1"/>
              <w:bottom w:val="single" w:color="888888" w:sz="1"/>
              <w:right w:val="single" w:color="888888" w:sz="1"/>
            </w:tcBorders>
            <w:shd w:fill="E0E0E0" w:val="clear"/>
            <w:tcMar>
              <w:top w:type="dxa" w:w="50"/>
              <w:left w:type="dxa" w:w="80"/>
              <w:bottom w:type="dxa" w:w="50"/>
              <w:right w:type="dxa" w:w="80"/>
            </w:tcMar>
          </w:tcPr>
          <w:p>
            <w:pPr>
              <w:spacing w:after="0" w:before="0" w:line="260"/>
              <w:jc w:val="left"/>
            </w:pPr>
            <w:r>
              <w:rPr>
                <w:rFonts w:ascii="Arial" w:cs="Arial" w:eastAsia="Arial" w:hAnsi="Arial"/>
                <w:b/>
                <w:bCs/>
                <w:sz w:val="20"/>
                <w:szCs w:val="20"/>
              </w:rPr>
              <w:t xml:space="preserve">$980K</w:t>
            </w:r>
          </w:p>
        </w:tc>
        <w:tc>
          <w:tcPr>
            <w:tcW w:type="dxa" w:w="1540"/>
            <w:tcBorders>
              <w:top w:val="single" w:color="888888" w:sz="1"/>
              <w:left w:val="single" w:color="888888" w:sz="1"/>
              <w:bottom w:val="single" w:color="888888" w:sz="1"/>
              <w:right w:val="single" w:color="888888" w:sz="1"/>
            </w:tcBorders>
            <w:shd w:fill="E0E0E0" w:val="clear"/>
            <w:tcMar>
              <w:top w:type="dxa" w:w="50"/>
              <w:left w:type="dxa" w:w="80"/>
              <w:bottom w:type="dxa" w:w="50"/>
              <w:right w:type="dxa" w:w="80"/>
            </w:tcMar>
          </w:tcPr>
          <w:p>
            <w:pPr>
              <w:spacing w:after="0" w:before="0" w:line="260"/>
              <w:jc w:val="left"/>
            </w:pPr>
            <w:r>
              <w:rPr>
                <w:rFonts w:ascii="Arial" w:cs="Arial" w:eastAsia="Arial" w:hAnsi="Arial"/>
                <w:b/>
                <w:bCs/>
                <w:sz w:val="20"/>
                <w:szCs w:val="20"/>
              </w:rPr>
              <w:t xml:space="preserve">$1,186K</w:t>
            </w:r>
          </w:p>
        </w:tc>
        <w:tc>
          <w:tcPr>
            <w:tcW w:type="dxa" w:w="1540"/>
            <w:tcBorders>
              <w:top w:val="single" w:color="888888" w:sz="1"/>
              <w:left w:val="single" w:color="888888" w:sz="1"/>
              <w:bottom w:val="single" w:color="888888" w:sz="1"/>
              <w:right w:val="single" w:color="888888" w:sz="1"/>
            </w:tcBorders>
            <w:shd w:fill="E0E0E0" w:val="clear"/>
            <w:tcMar>
              <w:top w:type="dxa" w:w="50"/>
              <w:left w:type="dxa" w:w="80"/>
              <w:bottom w:type="dxa" w:w="50"/>
              <w:right w:type="dxa" w:w="80"/>
            </w:tcMar>
          </w:tcPr>
          <w:p>
            <w:pPr>
              <w:spacing w:after="0" w:before="0" w:line="260"/>
              <w:jc w:val="left"/>
            </w:pPr>
            <w:r>
              <w:rPr>
                <w:rFonts w:ascii="Arial" w:cs="Arial" w:eastAsia="Arial" w:hAnsi="Arial"/>
                <w:b/>
                <w:bCs/>
                <w:sz w:val="20"/>
                <w:szCs w:val="20"/>
              </w:rPr>
              <w:t xml:space="preserve">$3,001K</w:t>
            </w:r>
          </w:p>
        </w:tc>
      </w:tr>
    </w:tbl>
    <w:p>
      <w:pPr>
        <w:spacing w:after="60" w:before="0" w:line="260"/>
        <w:jc w:val="left"/>
      </w:pPr>
    </w:p>
    <w:p>
      <w:pPr>
        <w:spacing w:after="100" w:before="0" w:line="260"/>
        <w:jc w:val="left"/>
      </w:pPr>
      <w:r>
        <w:rPr>
          <w:rFonts w:ascii="Arial" w:cs="Arial" w:eastAsia="Arial" w:hAnsi="Arial"/>
          <w:sz w:val="20"/>
          <w:szCs w:val="20"/>
        </w:rPr>
        <w:t xml:space="preserve">Resource sharing: None at this stage. Resource sharing opportunities will be explored for the full proposal.</w:t>
      </w:r>
    </w:p>
    <w:p>
      <w:pPr>
        <w:spacing w:after="100" w:before="0" w:line="260"/>
        <w:jc w:val="left"/>
      </w:pPr>
      <w:r>
        <w:rPr>
          <w:rFonts w:ascii="Arial" w:cs="Arial" w:eastAsia="Arial" w:hAnsi="Arial"/>
          <w:sz w:val="20"/>
          <w:szCs w:val="20"/>
        </w:rPr>
        <w:t xml:space="preserve">Profit: Not applicable (individual proposer).</w:t>
      </w:r>
    </w:p>
    <w:p>
      <w:pPr>
        <w:pStyle w:val="Heading1"/>
        <w:spacing w:after="60" w:before="180" w:line="260"/>
        <w:jc w:val="left"/>
      </w:pPr>
      <w:r>
        <w:rPr>
          <w:rFonts w:ascii="Arial" w:cs="Arial" w:eastAsia="Arial" w:hAnsi="Arial"/>
          <w:b/>
          <w:bCs/>
          <w:sz w:val="26"/>
          <w:szCs w:val="26"/>
        </w:rPr>
        <w:t xml:space="preserve">References</w:t>
      </w:r>
    </w:p>
    <w:p>
      <w:pPr>
        <w:spacing w:after="40" w:before="0" w:line="260"/>
        <w:jc w:val="left"/>
      </w:pPr>
      <w:r>
        <w:rPr>
          <w:rFonts w:ascii="Arial" w:cs="Arial" w:eastAsia="Arial" w:hAnsi="Arial"/>
          <w:i/>
          <w:iCs/>
          <w:sz w:val="20"/>
          <w:szCs w:val="20"/>
        </w:rPr>
        <w:t xml:space="preserve">[1] AHA/ACC/HFSA Guideline for the Management of Heart Failure, 2022 Update.</w:t>
      </w:r>
    </w:p>
    <w:p>
      <w:pPr>
        <w:spacing w:after="40" w:before="0" w:line="260"/>
        <w:jc w:val="left"/>
      </w:pPr>
      <w:r>
        <w:rPr>
          <w:rFonts w:ascii="Arial" w:cs="Arial" w:eastAsia="Arial" w:hAnsi="Arial"/>
          <w:i/>
          <w:iCs/>
          <w:sz w:val="20"/>
          <w:szCs w:val="20"/>
        </w:rPr>
        <w:t xml:space="preserve">[2] Greene, S.J. et al. "Medical Therapy for Heart Failure With Reduced Ejection Fraction." JACC, 2023.</w:t>
      </w:r>
    </w:p>
    <w:p>
      <w:pPr>
        <w:spacing w:after="40" w:before="0" w:line="260"/>
        <w:jc w:val="left"/>
      </w:pPr>
      <w:r>
        <w:rPr>
          <w:rFonts w:ascii="Arial" w:cs="Arial" w:eastAsia="Arial" w:hAnsi="Arial"/>
          <w:i/>
          <w:iCs/>
          <w:sz w:val="20"/>
          <w:szCs w:val="20"/>
        </w:rPr>
        <w:t xml:space="preserve">[3] FDA Guidance: Clinical Decision Support Software, September 2022.</w:t>
      </w:r>
    </w:p>
    <w:p>
      <w:pPr>
        <w:spacing w:after="40" w:before="0" w:line="260"/>
        <w:jc w:val="left"/>
      </w:pPr>
      <w:r>
        <w:rPr>
          <w:rFonts w:ascii="Arial" w:cs="Arial" w:eastAsia="Arial" w:hAnsi="Arial"/>
          <w:i/>
          <w:iCs/>
          <w:sz w:val="20"/>
          <w:szCs w:val="20"/>
        </w:rPr>
        <w:t xml:space="preserve">[4] ARPA-H ADVOCATE ISO: ARPA-H-SOL-26-142, Amendment 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6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60"/>
      <w:jc w:val="right"/>
    </w:pPr>
    <w:r>
      <w:rPr>
        <w:rFonts w:ascii="Arial" w:cs="Arial" w:eastAsia="Arial" w:hAnsi="Arial"/>
        <w:i/>
        <w:iCs/>
        <w:color w:val="888888"/>
        <w:sz w:val="16"/>
        <w:szCs w:val="16"/>
      </w:rPr>
      <w:t xml:space="preserve">Iris Core | TA1 Solution Summary | Proposed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80" w:after="60"/>
      <w:outlineLvl w:val="0"/>
    </w:pPr>
    <w:rPr>
      <w:rFonts w:ascii="Arial" w:cs="Arial" w:eastAsia="Arial" w:hAnsi="Arial"/>
      <w:b/>
      <w:bCs/>
      <w:sz w:val="26"/>
      <w:szCs w:val="26"/>
    </w:rPr>
  </w:style>
  <w:style w:type="paragraph" w:styleId="Heading2">
    <w:name w:val="Heading 2"/>
    <w:basedOn w:val="Normal"/>
    <w:next w:val="Normal"/>
    <w:qFormat/>
    <w:pPr>
      <w:spacing w:before="140" w:after="5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2026-02-28T03:45:54.836Z</dcterms:created>
  <dcterms:modified xsi:type="dcterms:W3CDTF">2026-02-28T03:45:54.837Z</dcterms:modified>
</cp:coreProperties>
</file>

<file path=docProps/custom.xml><?xml version="1.0" encoding="utf-8"?>
<Properties xmlns="http://schemas.openxmlformats.org/officeDocument/2006/custom-properties" xmlns:vt="http://schemas.openxmlformats.org/officeDocument/2006/docPropsVTypes"/>
</file>