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3366"/>
          <w:sz w:val="30"/>
        </w:rPr>
        <w:t>THE TECHNICAL UNIVERSITY OF KENYA</w:t>
        <w:br/>
      </w:r>
      <w:r>
        <w:rPr>
          <w:rFonts w:ascii="Calibri" w:hAnsi="Calibri"/>
          <w:color w:val="64748B"/>
          <w:sz w:val="20"/>
        </w:rPr>
        <w:t>Faculty of Applied Sciences and Technology | School of Computing and Information Technology</w:t>
        <w:br/>
        <w:t>Department of Computer Science and Informatics</w:t>
        <w:br/>
      </w:r>
    </w:p>
    <w:p>
      <w:pPr>
        <w:spacing w:before="160" w:after="80"/>
        <w:jc w:val="center"/>
      </w:pPr>
      <w:r>
        <w:rPr>
          <w:rFonts w:ascii="Calibri" w:hAnsi="Calibri"/>
          <w:b/>
          <w:color w:val="003366"/>
          <w:sz w:val="40"/>
        </w:rPr>
        <w:t>PRESENTATION DEFENSE EXPLANATION GUIDE</w:t>
        <w:br/>
        <w:t>&amp; SPEAKER WALKTHROUGH MANUAL</w:t>
      </w:r>
    </w:p>
    <w:p>
      <w:pPr>
        <w:spacing w:after="280"/>
        <w:jc w:val="center"/>
      </w:pPr>
      <w:r>
        <w:rPr>
          <w:rFonts w:ascii="Calibri" w:hAnsi="Calibri"/>
          <w:i/>
          <w:color w:val="64748B"/>
          <w:sz w:val="22"/>
        </w:rPr>
        <w:t>A Complete Slide-by-Slide Explanation, Speaker Scripts, Technical Glossaries, and Defense Q&amp;A Companion for the Yala LIMS Presentation Templates</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pPr>
              <w:spacing w:after="20"/>
            </w:pPr>
            <w:r>
              <w:rPr>
                <w:rFonts w:ascii="Calibri" w:hAnsi="Calibri"/>
                <w:b/>
                <w:color w:val="003366"/>
                <w:sz w:val="20"/>
              </w:rPr>
              <w:t>Candidate Name &amp; Reg No:</w:t>
            </w:r>
          </w:p>
        </w:tc>
        <w:tc>
          <w:tcPr>
            <w:tcW w:type="dxa" w:w="4680"/>
            <w:shd w:fill="FFFFFF"/>
            <w:tcMar>
              <w:top w:w="60" w:type="dxa"/>
              <w:bottom w:w="60" w:type="dxa"/>
              <w:left w:w="100" w:type="dxa"/>
              <w:right w:w="100" w:type="dxa"/>
            </w:tcMar>
          </w:tcPr>
          <w:p>
            <w:pPr>
              <w:spacing w:after="20"/>
            </w:pPr>
            <w:r>
              <w:rPr>
                <w:rFonts w:ascii="Calibri" w:hAnsi="Calibri"/>
                <w:color w:val="222222"/>
                <w:sz w:val="20"/>
              </w:rPr>
              <w:t>Owuor Collins  |  SCCI/01227/2022</w:t>
            </w:r>
          </w:p>
        </w:tc>
      </w:tr>
      <w:tr>
        <w:tc>
          <w:tcPr>
            <w:tcW w:type="dxa" w:w="4680"/>
            <w:shd w:fill="F1F5F9"/>
            <w:tcMar>
              <w:top w:w="60" w:type="dxa"/>
              <w:bottom w:w="60" w:type="dxa"/>
              <w:left w:w="100" w:type="dxa"/>
              <w:right w:w="100" w:type="dxa"/>
            </w:tcMar>
          </w:tcPr>
          <w:p>
            <w:pPr>
              <w:spacing w:after="20"/>
            </w:pPr>
            <w:r>
              <w:rPr>
                <w:rFonts w:ascii="Calibri" w:hAnsi="Calibri"/>
                <w:b/>
                <w:color w:val="003366"/>
                <w:sz w:val="20"/>
              </w:rPr>
              <w:t>Programme of Study:</w:t>
            </w:r>
          </w:p>
        </w:tc>
        <w:tc>
          <w:tcPr>
            <w:tcW w:type="dxa" w:w="4680"/>
            <w:shd w:fill="FFFFFF"/>
            <w:tcMar>
              <w:top w:w="60" w:type="dxa"/>
              <w:bottom w:w="60" w:type="dxa"/>
              <w:left w:w="100" w:type="dxa"/>
              <w:right w:w="100" w:type="dxa"/>
            </w:tcMar>
          </w:tcPr>
          <w:p>
            <w:pPr>
              <w:spacing w:after="20"/>
            </w:pPr>
            <w:r>
              <w:rPr>
                <w:rFonts w:ascii="Calibri" w:hAnsi="Calibri"/>
                <w:color w:val="222222"/>
                <w:sz w:val="20"/>
              </w:rPr>
              <w:t>Bachelor of Technology in Information Technology</w:t>
            </w:r>
          </w:p>
        </w:tc>
      </w:tr>
      <w:tr>
        <w:tc>
          <w:tcPr>
            <w:tcW w:type="dxa" w:w="4680"/>
            <w:shd w:fill="F1F5F9"/>
            <w:tcMar>
              <w:top w:w="60" w:type="dxa"/>
              <w:bottom w:w="60" w:type="dxa"/>
              <w:left w:w="100" w:type="dxa"/>
              <w:right w:w="100" w:type="dxa"/>
            </w:tcMar>
          </w:tcPr>
          <w:p>
            <w:pPr>
              <w:spacing w:after="20"/>
            </w:pPr>
            <w:r>
              <w:rPr>
                <w:rFonts w:ascii="Calibri" w:hAnsi="Calibri"/>
                <w:b/>
                <w:color w:val="003366"/>
                <w:sz w:val="20"/>
              </w:rPr>
              <w:t>Academic Supervisors:</w:t>
            </w:r>
          </w:p>
        </w:tc>
        <w:tc>
          <w:tcPr>
            <w:tcW w:type="dxa" w:w="4680"/>
            <w:shd w:fill="FFFFFF"/>
            <w:tcMar>
              <w:top w:w="60" w:type="dxa"/>
              <w:bottom w:w="60" w:type="dxa"/>
              <w:left w:w="100" w:type="dxa"/>
              <w:right w:w="100" w:type="dxa"/>
            </w:tcMar>
          </w:tcPr>
          <w:p>
            <w:pPr>
              <w:spacing w:after="20"/>
            </w:pPr>
            <w:r>
              <w:rPr>
                <w:rFonts w:ascii="Calibri" w:hAnsi="Calibri"/>
                <w:color w:val="222222"/>
                <w:sz w:val="20"/>
              </w:rPr>
              <w:t>Dr. Edwin Ngwawe &amp; Mr. Peter Maina Kariuki</w:t>
            </w:r>
          </w:p>
        </w:tc>
      </w:tr>
      <w:tr>
        <w:tc>
          <w:tcPr>
            <w:tcW w:type="dxa" w:w="4680"/>
            <w:shd w:fill="F1F5F9"/>
            <w:tcMar>
              <w:top w:w="60" w:type="dxa"/>
              <w:bottom w:w="60" w:type="dxa"/>
              <w:left w:w="100" w:type="dxa"/>
              <w:right w:w="100" w:type="dxa"/>
            </w:tcMar>
          </w:tcPr>
          <w:p>
            <w:pPr>
              <w:spacing w:after="20"/>
            </w:pPr>
            <w:r>
              <w:rPr>
                <w:rFonts w:ascii="Calibri" w:hAnsi="Calibri"/>
                <w:b/>
                <w:color w:val="003366"/>
                <w:sz w:val="20"/>
              </w:rPr>
              <w:t>Covered Slide Decks:</w:t>
            </w:r>
          </w:p>
        </w:tc>
        <w:tc>
          <w:tcPr>
            <w:tcW w:type="dxa" w:w="4680"/>
            <w:shd w:fill="FFFFFF"/>
            <w:tcMar>
              <w:top w:w="60" w:type="dxa"/>
              <w:bottom w:w="60" w:type="dxa"/>
              <w:left w:w="100" w:type="dxa"/>
              <w:right w:w="100" w:type="dxa"/>
            </w:tcMar>
          </w:tcPr>
          <w:p>
            <w:pPr>
              <w:spacing w:after="20"/>
            </w:pPr>
            <w:r>
              <w:rPr>
                <w:rFonts w:ascii="Calibri" w:hAnsi="Calibri"/>
                <w:color w:val="222222"/>
                <w:sz w:val="20"/>
              </w:rPr>
              <w:t>PROJECT A PRESENTATION (16 Slides) &amp; PROJECT B FINAL DEFENSE (20 Slides)</w:t>
            </w:r>
          </w:p>
        </w:tc>
      </w:tr>
    </w:tbl>
    <w:p>
      <w:r>
        <w:br w:type="page"/>
      </w:r>
    </w:p>
    <w:p>
      <w:pPr>
        <w:keepNext/>
        <w:spacing w:before="360" w:after="160"/>
      </w:pPr>
      <w:r>
        <w:rPr>
          <w:rFonts w:ascii="Calibri" w:hAnsi="Calibri"/>
          <w:b/>
          <w:color w:val="003366"/>
          <w:sz w:val="32"/>
        </w:rPr>
        <w:t>1. DEFENSE STRATEGY &amp; PRESENTATION ROADMAP</w:t>
      </w:r>
    </w:p>
    <w:p>
      <w:pPr>
        <w:spacing w:before="0" w:after="80" w:line="276" w:lineRule="auto"/>
      </w:pPr>
      <w:r>
        <w:rPr>
          <w:rFonts w:ascii="Calibri" w:hAnsi="Calibri"/>
          <w:color w:val="222222"/>
          <w:sz w:val="21"/>
        </w:rPr>
        <w:t>This document is designed to provide you with complete confidence, ease of explanation, and total mastery when presenting your project defense. Whether you are presenting the preliminary proposal (Project A, 16 slides) or the final complete defense (Project B, 20 slides), this guide tells you exactly what each slide means, why it is structured that way, what to say in clear academic English, and how to defend against tough examiner questions.</w:t>
      </w:r>
    </w:p>
    <w:p>
      <w:pPr>
        <w:keepNext/>
        <w:spacing w:before="240" w:after="80"/>
      </w:pPr>
      <w:r>
        <w:rPr>
          <w:rFonts w:ascii="Calibri" w:hAnsi="Calibri"/>
          <w:b/>
          <w:color w:val="0D9488"/>
          <w:sz w:val="26"/>
        </w:rPr>
        <w:t>Key Presentation Rules for Academic Scoring</w:t>
      </w:r>
    </w:p>
    <w:p>
      <w:pPr>
        <w:pStyle w:val="ListBullet"/>
        <w:spacing w:before="20" w:after="60" w:line="276" w:lineRule="auto"/>
      </w:pPr>
      <w:r>
        <w:rPr>
          <w:rFonts w:ascii="Calibri" w:hAnsi="Calibri"/>
          <w:b/>
          <w:color w:val="222222"/>
          <w:sz w:val="21"/>
        </w:rPr>
        <w:t xml:space="preserve">Pacing Rule: </w:t>
      </w:r>
      <w:r>
        <w:rPr>
          <w:rFonts w:ascii="Calibri" w:hAnsi="Calibri"/>
          <w:color w:val="222222"/>
          <w:sz w:val="21"/>
        </w:rPr>
        <w:t>Aim for 45 to 60 seconds per slide. In a standard 15-to-20-minute defense, this keeps your presentation crisp, engaging, and on-schedule.</w:t>
      </w:r>
    </w:p>
    <w:p>
      <w:pPr>
        <w:pStyle w:val="ListBullet"/>
        <w:spacing w:before="20" w:after="60" w:line="276" w:lineRule="auto"/>
      </w:pPr>
      <w:r>
        <w:rPr>
          <w:rFonts w:ascii="Calibri" w:hAnsi="Calibri"/>
          <w:b/>
          <w:color w:val="222222"/>
          <w:sz w:val="21"/>
        </w:rPr>
        <w:t xml:space="preserve">Delivery Rule: </w:t>
      </w:r>
      <w:r>
        <w:rPr>
          <w:rFonts w:ascii="Calibri" w:hAnsi="Calibri"/>
          <w:color w:val="222222"/>
          <w:sz w:val="21"/>
        </w:rPr>
        <w:t>Never read the bullet points word-for-word off the screen. Examiners can read the slides. Your job as the presenter is to explain the narrative and practical clinical meaning behind each bullet.</w:t>
      </w:r>
    </w:p>
    <w:p>
      <w:pPr>
        <w:pStyle w:val="ListBullet"/>
        <w:spacing w:before="20" w:after="60" w:line="276" w:lineRule="auto"/>
      </w:pPr>
      <w:r>
        <w:rPr>
          <w:rFonts w:ascii="Calibri" w:hAnsi="Calibri"/>
          <w:b/>
          <w:color w:val="222222"/>
          <w:sz w:val="21"/>
        </w:rPr>
        <w:t xml:space="preserve">Confidence Rule: </w:t>
      </w:r>
      <w:r>
        <w:rPr>
          <w:rFonts w:ascii="Calibri" w:hAnsi="Calibri"/>
          <w:color w:val="222222"/>
          <w:sz w:val="21"/>
        </w:rPr>
        <w:t>Speak with active ownership. Use phrases like 'We investigated', 'We identified', 'We engineered', and 'Our evaluation demonstrated'.</w:t>
      </w:r>
    </w:p>
    <w:p>
      <w:pPr>
        <w:pStyle w:val="ListBullet"/>
        <w:spacing w:before="20" w:after="60" w:line="276" w:lineRule="auto"/>
      </w:pPr>
      <w:r>
        <w:rPr>
          <w:rFonts w:ascii="Calibri" w:hAnsi="Calibri"/>
          <w:b/>
          <w:color w:val="222222"/>
          <w:sz w:val="21"/>
        </w:rPr>
        <w:t xml:space="preserve">Defense Rule: </w:t>
      </w:r>
      <w:r>
        <w:rPr>
          <w:rFonts w:ascii="Calibri" w:hAnsi="Calibri"/>
          <w:color w:val="222222"/>
          <w:sz w:val="21"/>
        </w:rPr>
        <w:t>Whenever an examiner interrupts or asks for clarification, listen fully, acknowledge the question calmly, and anchor your answer in your real findings at Yala Sub-County Hospital.</w:t>
      </w:r>
    </w:p>
    <w:p>
      <w:r>
        <w:br w:type="page"/>
      </w:r>
    </w:p>
    <w:p>
      <w:pPr>
        <w:keepNext/>
        <w:spacing w:before="360" w:after="160"/>
      </w:pPr>
      <w:r>
        <w:rPr>
          <w:rFonts w:ascii="Calibri" w:hAnsi="Calibri"/>
          <w:b/>
          <w:color w:val="003366"/>
          <w:sz w:val="32"/>
        </w:rPr>
        <w:t>2. SLIDE-BY-SLIDE WALKTHROUGH &amp; SPEAKER SCRIPTS</w:t>
      </w:r>
    </w:p>
    <w:p>
      <w:pPr>
        <w:keepNext/>
        <w:spacing w:before="240" w:after="80"/>
      </w:pPr>
      <w:r>
        <w:rPr>
          <w:rFonts w:ascii="Calibri" w:hAnsi="Calibri"/>
          <w:b/>
          <w:color w:val="0D9488"/>
          <w:sz w:val="26"/>
        </w:rPr>
        <w:t>Slide 1: Title Slide: Project Identification</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Establish academic credibility, institutional identity, and formal project title.</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Project Title: </w:t>
      </w:r>
      <w:r>
        <w:rPr>
          <w:rFonts w:ascii="Calibri" w:hAnsi="Calibri"/>
          <w:color w:val="222222"/>
          <w:sz w:val="21"/>
        </w:rPr>
        <w:t>Development of a Web-Based Laboratory Information Management System (LIMS) for Yala Sub-County Hospital.</w:t>
      </w:r>
    </w:p>
    <w:p>
      <w:pPr>
        <w:pStyle w:val="ListBullet"/>
        <w:spacing w:before="20" w:after="60" w:line="276" w:lineRule="auto"/>
      </w:pPr>
      <w:r>
        <w:rPr>
          <w:rFonts w:ascii="Calibri" w:hAnsi="Calibri"/>
          <w:b/>
          <w:color w:val="222222"/>
          <w:sz w:val="21"/>
        </w:rPr>
        <w:t xml:space="preserve">• Candidate Identity: </w:t>
      </w:r>
      <w:r>
        <w:rPr>
          <w:rFonts w:ascii="Calibri" w:hAnsi="Calibri"/>
          <w:color w:val="222222"/>
          <w:sz w:val="21"/>
        </w:rPr>
        <w:t>Owuor Collins, Reg. No. SCCI/01227/2022, candidate for B.Tech in Information Technology.</w:t>
      </w:r>
    </w:p>
    <w:p>
      <w:pPr>
        <w:pStyle w:val="ListBullet"/>
        <w:spacing w:before="20" w:after="60" w:line="276" w:lineRule="auto"/>
      </w:pPr>
      <w:r>
        <w:rPr>
          <w:rFonts w:ascii="Calibri" w:hAnsi="Calibri"/>
          <w:b/>
          <w:color w:val="222222"/>
          <w:sz w:val="21"/>
        </w:rPr>
        <w:t xml:space="preserve">• Supervision: </w:t>
      </w:r>
      <w:r>
        <w:rPr>
          <w:rFonts w:ascii="Calibri" w:hAnsi="Calibri"/>
          <w:color w:val="222222"/>
          <w:sz w:val="21"/>
        </w:rPr>
        <w:t>Under the academic supervision of Dr. Edwin Ngwawe and Mr. Peter Maina Kariuki at TUK SCIT.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"Good morning / afternoon, respected members of the examining panel, my supervisors Dr. Edwin Ngwawe and Mr. Peter Maina Kariuki, and faculty members present. My name is Owuor Collins, registration number SCCI/01227/2022. Today, I am proud to present my final year project: Development of a Web-Based Laboratory Information Management System: A Case Study of Yala Sub-County Hospital in Siaya County."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The panel wants to see poise, formal address, and a clear project title grounded in an actual public health problem.</w:t>
            </w:r>
          </w:p>
        </w:tc>
      </w:tr>
    </w:tbl>
    <w:p>
      <w:pPr>
        <w:spacing w:before="0" w:after="80"/>
      </w:pPr>
    </w:p>
    <w:p>
      <w:pPr>
        <w:spacing w:after="120"/>
      </w:pPr>
    </w:p>
    <w:p>
      <w:pPr>
        <w:keepNext/>
        <w:spacing w:before="240" w:after="80"/>
      </w:pPr>
      <w:r>
        <w:rPr>
          <w:rFonts w:ascii="Calibri" w:hAnsi="Calibri"/>
          <w:b/>
          <w:color w:val="0D9488"/>
          <w:sz w:val="26"/>
        </w:rPr>
        <w:t>Slide 2: Introduction &amp; Facility Context</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Set the national and institutional context. Explain why digital transformation is urgent.</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Digital Health Transition: </w:t>
      </w:r>
      <w:r>
        <w:rPr>
          <w:rFonts w:ascii="Calibri" w:hAnsi="Calibri"/>
          <w:color w:val="222222"/>
          <w:sz w:val="21"/>
        </w:rPr>
        <w:t>Kenya's eHealth Policy 2016-2030 and Digital Health Act 2023 mandate moving from paper records to digital healthcare infrastructure.</w:t>
      </w:r>
    </w:p>
    <w:p>
      <w:pPr>
        <w:pStyle w:val="ListBullet"/>
        <w:spacing w:before="20" w:after="60" w:line="276" w:lineRule="auto"/>
      </w:pPr>
      <w:r>
        <w:rPr>
          <w:rFonts w:ascii="Calibri" w:hAnsi="Calibri"/>
          <w:b/>
          <w:color w:val="222222"/>
          <w:sz w:val="21"/>
        </w:rPr>
        <w:t xml:space="preserve">• Facility Profile: </w:t>
      </w:r>
      <w:r>
        <w:rPr>
          <w:rFonts w:ascii="Calibri" w:hAnsi="Calibri"/>
          <w:color w:val="222222"/>
          <w:sz w:val="21"/>
        </w:rPr>
        <w:t>Yala Sub-County Hospital is a Level 4 primary referral hospital situated in Gem Sub-County, Siaya County. It serves a catchment population exceeding 100,000 residents.</w:t>
      </w:r>
    </w:p>
    <w:p>
      <w:pPr>
        <w:pStyle w:val="ListBullet"/>
        <w:spacing w:before="20" w:after="60" w:line="276" w:lineRule="auto"/>
      </w:pPr>
      <w:r>
        <w:rPr>
          <w:rFonts w:ascii="Calibri" w:hAnsi="Calibri"/>
          <w:b/>
          <w:color w:val="222222"/>
          <w:sz w:val="21"/>
        </w:rPr>
        <w:t xml:space="preserve">• 70% Clinical Dependency: </w:t>
      </w:r>
      <w:r>
        <w:rPr>
          <w:rFonts w:ascii="Calibri" w:hAnsi="Calibri"/>
          <w:color w:val="222222"/>
          <w:sz w:val="21"/>
        </w:rPr>
        <w:t>According to international clinical standards (CDC and WHO), over 70% of all physician clinical decisions—diagnosis, medication choice, admission, and discharge—depend directly on accurate laboratory diagnostic results.</w:t>
      </w:r>
    </w:p>
    <w:p>
      <w:pPr>
        <w:pStyle w:val="ListBullet"/>
        <w:spacing w:before="20" w:after="60" w:line="276" w:lineRule="auto"/>
      </w:pPr>
      <w:r>
        <w:rPr>
          <w:rFonts w:ascii="Calibri" w:hAnsi="Calibri"/>
          <w:b/>
          <w:color w:val="222222"/>
          <w:sz w:val="21"/>
        </w:rPr>
        <w:t xml:space="preserve">• The Pre-System Reality: </w:t>
      </w:r>
      <w:r>
        <w:rPr>
          <w:rFonts w:ascii="Calibri" w:hAnsi="Calibri"/>
          <w:color w:val="222222"/>
          <w:sz w:val="21"/>
        </w:rPr>
        <w:t>The hospital's laboratory was operating on manual paper ledgers, causing severe delays, lost slips, and revenue discrepancies.</w:t>
      </w:r>
    </w:p>
    <w:p>
      <w:pPr>
        <w:pStyle w:val="ListBullet"/>
        <w:spacing w:before="20" w:after="60" w:line="276" w:lineRule="auto"/>
      </w:pPr>
      <w:r>
        <w:rPr>
          <w:rFonts w:ascii="Calibri" w:hAnsi="Calibri"/>
          <w:b/>
          <w:color w:val="222222"/>
          <w:sz w:val="21"/>
        </w:rPr>
        <w:t xml:space="preserve">• Delivered Solution: </w:t>
      </w:r>
      <w:r>
        <w:rPr>
          <w:rFonts w:ascii="Calibri" w:hAnsi="Calibri"/>
          <w:color w:val="222222"/>
          <w:sz w:val="21"/>
        </w:rPr>
        <w:t>A specialized, intranet-hosted web application that connects reception, doctors' rooms, cashier counters, and testing benches.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"To introduce our study, healthcare delivery in Kenya is rapidly aligning with the National Digital Health Strategy. Over 70% of all clinical medical decisions depend directly on laboratory investigations. At Yala Sub-County Hospital, a busy Level 4 facility in Gem Sub-County, laboratory workflows were entirely paper-dependent. By engineering a localized intranet-based LIMS, we automated the diagnostic lifecycle from patient triage to certified test results."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Examiners look for the 70% clinical dependency statistic—it proves that solving laboratory inefficiency has the highest clinical payoff.</w:t>
            </w:r>
          </w:p>
        </w:tc>
      </w:tr>
    </w:tbl>
    <w:p>
      <w:pPr>
        <w:spacing w:before="0" w:after="80"/>
      </w:pPr>
    </w:p>
    <w:p>
      <w:pPr>
        <w:spacing w:after="120"/>
      </w:pPr>
    </w:p>
    <w:p>
      <w:pPr>
        <w:keepNext/>
        <w:spacing w:before="240" w:after="80"/>
      </w:pPr>
      <w:r>
        <w:rPr>
          <w:rFonts w:ascii="Calibri" w:hAnsi="Calibri"/>
          <w:b/>
          <w:color w:val="0D9488"/>
          <w:sz w:val="26"/>
        </w:rPr>
        <w:t>Slide 3: Background Study: The Operational Reality</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Provide the real-world operational context of Yala Sub-County Hospital.</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Geographic Significance: </w:t>
      </w:r>
      <w:r>
        <w:rPr>
          <w:rFonts w:ascii="Calibri" w:hAnsi="Calibri"/>
          <w:color w:val="222222"/>
          <w:sz w:val="21"/>
        </w:rPr>
        <w:t>Located along the busy Kisumu–Busia highway corridor, handling routine rural patients, ANC mothers, and highway accident trauma emergencies.</w:t>
      </w:r>
    </w:p>
    <w:p>
      <w:pPr>
        <w:pStyle w:val="ListBullet"/>
        <w:spacing w:before="20" w:after="60" w:line="276" w:lineRule="auto"/>
      </w:pPr>
      <w:r>
        <w:rPr>
          <w:rFonts w:ascii="Calibri" w:hAnsi="Calibri"/>
          <w:b/>
          <w:color w:val="222222"/>
          <w:sz w:val="21"/>
        </w:rPr>
        <w:t xml:space="preserve">• Paper Register Reliance: </w:t>
      </w:r>
      <w:r>
        <w:rPr>
          <w:rFonts w:ascii="Calibri" w:hAnsi="Calibri"/>
          <w:color w:val="222222"/>
          <w:sz w:val="21"/>
        </w:rPr>
        <w:t>Doctors wrote test requests on manual paper MOH 204 request slips; technicians transcribed results into heavy hardcover MOH 240 laboratory registers.</w:t>
      </w:r>
    </w:p>
    <w:p>
      <w:pPr>
        <w:pStyle w:val="ListBullet"/>
        <w:spacing w:before="20" w:after="60" w:line="276" w:lineRule="auto"/>
      </w:pPr>
      <w:r>
        <w:rPr>
          <w:rFonts w:ascii="Calibri" w:hAnsi="Calibri"/>
          <w:b/>
          <w:color w:val="222222"/>
          <w:sz w:val="21"/>
        </w:rPr>
        <w:t xml:space="preserve">• Physical Specimen Routing: </w:t>
      </w:r>
      <w:r>
        <w:rPr>
          <w:rFonts w:ascii="Calibri" w:hAnsi="Calibri"/>
          <w:color w:val="222222"/>
          <w:sz w:val="21"/>
        </w:rPr>
        <w:t>Patients or ward runners physically carried paper slips from consultation rooms across open hospital corridors to the laboratory, risking loss or contamination.</w:t>
      </w:r>
    </w:p>
    <w:p>
      <w:pPr>
        <w:pStyle w:val="ListBullet"/>
        <w:spacing w:before="20" w:after="60" w:line="276" w:lineRule="auto"/>
      </w:pPr>
      <w:r>
        <w:rPr>
          <w:rFonts w:ascii="Calibri" w:hAnsi="Calibri"/>
          <w:b/>
          <w:color w:val="222222"/>
          <w:sz w:val="21"/>
        </w:rPr>
        <w:t xml:space="preserve">• Fragmented Communication: </w:t>
      </w:r>
      <w:r>
        <w:rPr>
          <w:rFonts w:ascii="Calibri" w:hAnsi="Calibri"/>
          <w:color w:val="222222"/>
          <w:sz w:val="21"/>
        </w:rPr>
        <w:t>Doctors had no visibility into whether a blood draw had happened or if results were ready until paper slips walked back.</w:t>
      </w:r>
    </w:p>
    <w:p>
      <w:pPr>
        <w:pStyle w:val="ListBullet"/>
        <w:spacing w:before="20" w:after="60" w:line="276" w:lineRule="auto"/>
      </w:pPr>
      <w:r>
        <w:rPr>
          <w:rFonts w:ascii="Calibri" w:hAnsi="Calibri"/>
          <w:b/>
          <w:color w:val="222222"/>
          <w:sz w:val="21"/>
        </w:rPr>
        <w:t xml:space="preserve">• Revenue Leakage: </w:t>
      </w:r>
      <w:r>
        <w:rPr>
          <w:rFonts w:ascii="Calibri" w:hAnsi="Calibri"/>
          <w:color w:val="222222"/>
          <w:sz w:val="21"/>
        </w:rPr>
        <w:t>Patients paid cash at various desks without a unified reconciliation system, leading to unrecorded payments.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"Yala Sub-County Hospital is strategically situated along the Kisumu-Busia transit corridor, experiencing high outpatient volumes, antenatal clinics, and urgent trauma admissions. Prior to this project, the hospital utilized manual Ministry of Health paper registers—MOH 204 slips for requests and MOH 240 books for results. Slips were manually carried across hospital corridors, resulting in misplaced records, zero doctor visibility into pending tests, and severe cash revenue leakages."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Why choose Yala Hospital? Answer: It represents typical Level 4 public facilities across Kenya that lack enterprise hospital budgets but desperately need digital workflows.</w:t>
            </w:r>
          </w:p>
        </w:tc>
      </w:tr>
    </w:tbl>
    <w:p>
      <w:pPr>
        <w:spacing w:before="0" w:after="80"/>
      </w:pPr>
    </w:p>
    <w:p>
      <w:pPr>
        <w:spacing w:after="120"/>
      </w:pPr>
    </w:p>
    <w:p>
      <w:pPr>
        <w:keepNext/>
        <w:spacing w:before="240" w:after="80"/>
      </w:pPr>
      <w:r>
        <w:rPr>
          <w:rFonts w:ascii="Calibri" w:hAnsi="Calibri"/>
          <w:b/>
          <w:color w:val="0D9488"/>
          <w:sz w:val="26"/>
        </w:rPr>
        <w:t>Slide 4: Problem Statement: The Pain Points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Detail the 6 specific, measurable failures of the manual paper system.</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Prolonged Turnaround Times (TAT): </w:t>
      </w:r>
      <w:r>
        <w:rPr>
          <w:rFonts w:ascii="Calibri" w:hAnsi="Calibri"/>
          <w:color w:val="222222"/>
          <w:sz w:val="21"/>
        </w:rPr>
        <w:t>Patients waited 3 to 5 hours for basic blood slides or urinalysis because of walking back and forth with paper slips.</w:t>
      </w:r>
    </w:p>
    <w:p>
      <w:pPr>
        <w:pStyle w:val="ListBullet"/>
        <w:spacing w:before="20" w:after="60" w:line="276" w:lineRule="auto"/>
      </w:pPr>
      <w:r>
        <w:rPr>
          <w:rFonts w:ascii="Calibri" w:hAnsi="Calibri"/>
          <w:b/>
          <w:color w:val="222222"/>
          <w:sz w:val="21"/>
        </w:rPr>
        <w:t xml:space="preserve">• Transcription &amp; Handwriting Errors: </w:t>
      </w:r>
      <w:r>
        <w:rPr>
          <w:rFonts w:ascii="Calibri" w:hAnsi="Calibri"/>
          <w:color w:val="222222"/>
          <w:sz w:val="21"/>
        </w:rPr>
        <w:t>Doctors' handwriting on paper MOH 204 slips was frequently illegible, causing technicians to misinterpret test names or patient names.</w:t>
      </w:r>
    </w:p>
    <w:p>
      <w:pPr>
        <w:pStyle w:val="ListBullet"/>
        <w:spacing w:before="20" w:after="60" w:line="276" w:lineRule="auto"/>
      </w:pPr>
      <w:r>
        <w:rPr>
          <w:rFonts w:ascii="Calibri" w:hAnsi="Calibri"/>
          <w:b/>
          <w:color w:val="222222"/>
          <w:sz w:val="21"/>
        </w:rPr>
        <w:t xml:space="preserve">• 12% Lost Patient Slips: </w:t>
      </w:r>
      <w:r>
        <w:rPr>
          <w:rFonts w:ascii="Calibri" w:hAnsi="Calibri"/>
          <w:color w:val="222222"/>
          <w:sz w:val="21"/>
        </w:rPr>
        <w:t>Our field study revealed that approximately 12% of paper result slips went missing monthly, forcing repeat blood draws and delaying critical care.</w:t>
      </w:r>
    </w:p>
    <w:p>
      <w:pPr>
        <w:pStyle w:val="ListBullet"/>
        <w:spacing w:before="20" w:after="60" w:line="276" w:lineRule="auto"/>
      </w:pPr>
      <w:r>
        <w:rPr>
          <w:rFonts w:ascii="Calibri" w:hAnsi="Calibri"/>
          <w:b/>
          <w:color w:val="222222"/>
          <w:sz w:val="21"/>
        </w:rPr>
        <w:t xml:space="preserve">• Absence of Panic Alerts: </w:t>
      </w:r>
      <w:r>
        <w:rPr>
          <w:rFonts w:ascii="Calibri" w:hAnsi="Calibri"/>
          <w:color w:val="222222"/>
          <w:sz w:val="21"/>
        </w:rPr>
        <w:t>When a test returned a life-threatening critical result (e.g. Haemoglobin &lt; 6.0 g/dL or Malaria +++), the paper slip sat on a desk with no immediate alert to the clinician.</w:t>
      </w:r>
    </w:p>
    <w:p>
      <w:pPr>
        <w:pStyle w:val="ListBullet"/>
        <w:spacing w:before="20" w:after="60" w:line="276" w:lineRule="auto"/>
      </w:pPr>
      <w:r>
        <w:rPr>
          <w:rFonts w:ascii="Calibri" w:hAnsi="Calibri"/>
          <w:b/>
          <w:color w:val="222222"/>
          <w:sz w:val="21"/>
        </w:rPr>
        <w:t xml:space="preserve">• MOH 706 Tallying Overhead: </w:t>
      </w:r>
      <w:r>
        <w:rPr>
          <w:rFonts w:ascii="Calibri" w:hAnsi="Calibri"/>
          <w:color w:val="222222"/>
          <w:sz w:val="21"/>
        </w:rPr>
        <w:t>At the end of every month, laboratory technologists had to spend 2 full working days manually counting tick marks in ledger books to produce the monthly MOH 706 report.</w:t>
      </w:r>
    </w:p>
    <w:p>
      <w:pPr>
        <w:pStyle w:val="ListBullet"/>
        <w:spacing w:before="20" w:after="60" w:line="276" w:lineRule="auto"/>
      </w:pPr>
      <w:r>
        <w:rPr>
          <w:rFonts w:ascii="Calibri" w:hAnsi="Calibri"/>
          <w:b/>
          <w:color w:val="222222"/>
          <w:sz w:val="21"/>
        </w:rPr>
        <w:t xml:space="preserve">• Public Cashless Directives Violation: </w:t>
      </w:r>
      <w:r>
        <w:rPr>
          <w:rFonts w:ascii="Calibri" w:hAnsi="Calibri"/>
          <w:color w:val="222222"/>
          <w:sz w:val="21"/>
        </w:rPr>
        <w:t>Handling physical cash at counters violated the Public Finance Management Act 2012 and Government eCitizen directives.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field investigation identified six critical bottlenecks: First, excessive turnaround times due to manual paper transport. Second, transcription mistakes caused by illegible clinician handwriting. Third, an estimated 12% of result slips were lost each month, subjecting patients to redundant, painful repeat blood draws. Fourth, there was no mechanism for urgent panic alerts when life-threatening values were detected. Fifth, compiling the monthly MOH 706 epidemiological report consumed two full working days of manual tallying. Finally, manual cash handling at hospital counters created revenue leakage and violated public cashless regulations."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Examiners will test you on the 12% lost slips and 2-day MOH tallying statistics. Emphasize that these numbers come directly from your field observations and staff interviews.</w:t>
            </w:r>
          </w:p>
        </w:tc>
      </w:tr>
    </w:tbl>
    <w:p>
      <w:pPr>
        <w:spacing w:before="0" w:after="80"/>
      </w:pPr>
    </w:p>
    <w:p>
      <w:pPr>
        <w:spacing w:after="120"/>
      </w:pPr>
    </w:p>
    <w:p>
      <w:pPr>
        <w:keepNext/>
        <w:spacing w:before="240" w:after="80"/>
      </w:pPr>
      <w:r>
        <w:rPr>
          <w:rFonts w:ascii="Calibri" w:hAnsi="Calibri"/>
          <w:b/>
          <w:color w:val="0D9488"/>
          <w:sz w:val="26"/>
        </w:rPr>
        <w:t>Slide 5: Project Objectives: What We Set Out to Achieve</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State the 1 General Objective and 4-5 Specific Objectives, mapped to Software Engineering phases.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General Objective: </w:t>
      </w:r>
      <w:r>
        <w:rPr>
          <w:rFonts w:ascii="Calibri" w:hAnsi="Calibri"/>
          <w:color w:val="222222"/>
          <w:sz w:val="21"/>
        </w:rPr>
        <w:t>To design, develop, and evaluate a web-based Laboratory Information Management System for Yala Sub-County Hospital.</w:t>
      </w:r>
    </w:p>
    <w:p>
      <w:pPr>
        <w:pStyle w:val="ListBullet"/>
        <w:spacing w:before="20" w:after="60" w:line="276" w:lineRule="auto"/>
      </w:pPr>
      <w:r>
        <w:rPr>
          <w:rFonts w:ascii="Calibri" w:hAnsi="Calibri"/>
          <w:b/>
          <w:color w:val="222222"/>
          <w:sz w:val="21"/>
        </w:rPr>
        <w:t xml:space="preserve">• Specific Objective 1 (Analyze): </w:t>
      </w:r>
      <w:r>
        <w:rPr>
          <w:rFonts w:ascii="Calibri" w:hAnsi="Calibri"/>
          <w:color w:val="222222"/>
          <w:sz w:val="21"/>
        </w:rPr>
        <w:t>Analyze manual laboratory and billing workflows to specify formal functional and non-functional requirements.</w:t>
      </w:r>
    </w:p>
    <w:p>
      <w:pPr>
        <w:pStyle w:val="ListBullet"/>
        <w:spacing w:before="20" w:after="60" w:line="276" w:lineRule="auto"/>
      </w:pPr>
      <w:r>
        <w:rPr>
          <w:rFonts w:ascii="Calibri" w:hAnsi="Calibri"/>
          <w:b/>
          <w:color w:val="222222"/>
          <w:sz w:val="21"/>
        </w:rPr>
        <w:t xml:space="preserve">• Specific Objective 2 (Design): </w:t>
      </w:r>
      <w:r>
        <w:rPr>
          <w:rFonts w:ascii="Calibri" w:hAnsi="Calibri"/>
          <w:color w:val="222222"/>
          <w:sz w:val="21"/>
        </w:rPr>
        <w:t>Design a secure 3-tier architecture, normalized relational database schema, and Role-Based Access Control (RBAC) model.</w:t>
      </w:r>
    </w:p>
    <w:p>
      <w:pPr>
        <w:pStyle w:val="ListBullet"/>
        <w:spacing w:before="20" w:after="60" w:line="276" w:lineRule="auto"/>
      </w:pPr>
      <w:r>
        <w:rPr>
          <w:rFonts w:ascii="Calibri" w:hAnsi="Calibri"/>
          <w:b/>
          <w:color w:val="222222"/>
          <w:sz w:val="21"/>
        </w:rPr>
        <w:t xml:space="preserve">• Specific Objective 3 (Develop): </w:t>
      </w:r>
      <w:r>
        <w:rPr>
          <w:rFonts w:ascii="Calibri" w:hAnsi="Calibri"/>
          <w:color w:val="222222"/>
          <w:sz w:val="21"/>
        </w:rPr>
        <w:t>Develop core software modules: patient triage, CPOE test ordering, laboratory testing bench, panic alerting, and eCitizen billing.</w:t>
      </w:r>
    </w:p>
    <w:p>
      <w:pPr>
        <w:pStyle w:val="ListBullet"/>
        <w:spacing w:before="20" w:after="60" w:line="276" w:lineRule="auto"/>
      </w:pPr>
      <w:r>
        <w:rPr>
          <w:rFonts w:ascii="Calibri" w:hAnsi="Calibri"/>
          <w:b/>
          <w:color w:val="222222"/>
          <w:sz w:val="21"/>
        </w:rPr>
        <w:t xml:space="preserve">• Specific Objective 4 (Evaluate): </w:t>
      </w:r>
      <w:r>
        <w:rPr>
          <w:rFonts w:ascii="Calibri" w:hAnsi="Calibri"/>
          <w:color w:val="222222"/>
          <w:sz w:val="21"/>
        </w:rPr>
        <w:t>Evaluate the system through 14 comprehensive test cases and User Acceptance Testing (UAT) with hospital personnel.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general objective was to design, develop, and evaluate a web-based LIMS for Yala Sub-County Hospital. To achieve this, we executed four specific objectives corresponding to our software engineering lifecycle: First, analyzing existing manual bottlenecks; second, designing a robust 3-tier architecture and relational schema; third, developing the core modules including CPOE ordering, bench testing, panic alerts, and eCitizen payment verification; and fourth, rigorously evaluating system performance through 14 functional test cases and hospital User Acceptance Testing."</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Notice that the specific objectives follow the exact software lifecycle: Analyze -&gt; Design -&gt; Develop -&gt; Evaluate. Examiners love this structured alignment.</w:t>
            </w:r>
          </w:p>
        </w:tc>
      </w:tr>
    </w:tbl>
    <w:p>
      <w:pPr>
        <w:spacing w:before="0" w:after="80"/>
      </w:pPr>
    </w:p>
    <w:p>
      <w:pPr>
        <w:spacing w:after="120"/>
      </w:pPr>
    </w:p>
    <w:p>
      <w:pPr>
        <w:keepNext/>
        <w:spacing w:before="240" w:after="80"/>
      </w:pPr>
      <w:r>
        <w:rPr>
          <w:rFonts w:ascii="Calibri" w:hAnsi="Calibri"/>
          <w:b/>
          <w:color w:val="0D9488"/>
          <w:sz w:val="26"/>
        </w:rPr>
        <w:t>Slide 6: Project Scope: Clear Boundaries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Define what was built (In-Scope) and justify deliberate technical boundaries (Out-of-Scope).</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In-Scope Deliverables: </w:t>
      </w:r>
      <w:r>
        <w:rPr>
          <w:rFonts w:ascii="Calibri" w:hAnsi="Calibri"/>
          <w:color w:val="222222"/>
          <w:sz w:val="21"/>
        </w:rPr>
        <w:t>Modular web stack (PHP 8.2, MySQL 8.0, Apache/XAMPP); 5 user roles (Receptionist, Doctor, Lab Tech, Cashier, Admin); OPD sequencing with Code128 barcodes; test bench with reference ranges; panic toasts; ISO 15189 specimen rejection; blood bank safety; and eCitizen Paybill 222222 integration.</w:t>
      </w:r>
    </w:p>
    <w:p>
      <w:pPr>
        <w:pStyle w:val="ListBullet"/>
        <w:spacing w:before="20" w:after="60" w:line="276" w:lineRule="auto"/>
      </w:pPr>
      <w:r>
        <w:rPr>
          <w:rFonts w:ascii="Calibri" w:hAnsi="Calibri"/>
          <w:b/>
          <w:color w:val="222222"/>
          <w:sz w:val="21"/>
        </w:rPr>
        <w:t xml:space="preserve">• Deliberate Boundary 1 (Direct Analyzer Serial Interfacing): </w:t>
      </w:r>
      <w:r>
        <w:rPr>
          <w:rFonts w:ascii="Calibri" w:hAnsi="Calibri"/>
          <w:color w:val="222222"/>
          <w:sz w:val="21"/>
        </w:rPr>
        <w:t>Direct RS-232 / HL7 serial cable interfacing with physical hematology machines was excluded from Phase 1 due to proprietary manufacturer protocols and hardware access restrictions in public facilities.</w:t>
      </w:r>
    </w:p>
    <w:p>
      <w:pPr>
        <w:pStyle w:val="ListBullet"/>
        <w:spacing w:before="20" w:after="60" w:line="276" w:lineRule="auto"/>
      </w:pPr>
      <w:r>
        <w:rPr>
          <w:rFonts w:ascii="Calibri" w:hAnsi="Calibri"/>
          <w:b/>
          <w:color w:val="222222"/>
          <w:sz w:val="21"/>
        </w:rPr>
        <w:t xml:space="preserve">• Deliberate Boundary 2 (National DHIS2 Cloud Push): </w:t>
      </w:r>
      <w:r>
        <w:rPr>
          <w:rFonts w:ascii="Calibri" w:hAnsi="Calibri"/>
          <w:color w:val="222222"/>
          <w:sz w:val="21"/>
        </w:rPr>
        <w:t>Automated live cloud synchronization with national DHIS2 servers was left for Phase 2 to prevent dependency on third-party cloud downtime.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"To maintain engineering feasibility, we established precise boundaries. In-scope deliverables include our 3-tier web stack, role-based access control across five hospital roles, barcode-enabled routing slips, panic alerts, blood bank safety, and cashless eCitizen settlement. We deliberately scoped out direct RS-232 serial machine interfacing and national DHIS2 cloud push for Phase 2, ensuring that our core system is fully self-reliant and immune to external hardware and internet dependencies."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Examiners often ask: 'Did you connect to the actual analyzer machine?' Your answer is: 'Direct serial interfacing was bounded to Phase 2 due to proprietary manufacturer driver locks; Phase 1 automates all clinical and bench workflows with technician validation.'</w:t>
            </w:r>
          </w:p>
        </w:tc>
      </w:tr>
    </w:tbl>
    <w:p>
      <w:pPr>
        <w:spacing w:before="0" w:after="80"/>
      </w:pPr>
    </w:p>
    <w:p>
      <w:pPr>
        <w:spacing w:after="120"/>
      </w:pPr>
    </w:p>
    <w:p>
      <w:pPr>
        <w:keepNext/>
        <w:spacing w:before="240" w:after="80"/>
      </w:pPr>
      <w:r>
        <w:rPr>
          <w:rFonts w:ascii="Calibri" w:hAnsi="Calibri"/>
          <w:b/>
          <w:color w:val="0D9488"/>
          <w:sz w:val="26"/>
        </w:rPr>
        <w:t>Slide 7: Justification &amp; Significance: Multi-Stakeholder Value</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Demonstrate the real-world impact across every level of the hospital ecosystem.</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Hospital Administration: </w:t>
      </w:r>
      <w:r>
        <w:rPr>
          <w:rFonts w:ascii="Calibri" w:hAnsi="Calibri"/>
          <w:color w:val="222222"/>
          <w:sz w:val="21"/>
        </w:rPr>
        <w:t>Elimination of paper stationery costs, total financial transparency, and automated daily database backups.</w:t>
      </w:r>
    </w:p>
    <w:p>
      <w:pPr>
        <w:pStyle w:val="ListBullet"/>
        <w:spacing w:before="20" w:after="60" w:line="276" w:lineRule="auto"/>
      </w:pPr>
      <w:r>
        <w:rPr>
          <w:rFonts w:ascii="Calibri" w:hAnsi="Calibri"/>
          <w:b/>
          <w:color w:val="222222"/>
          <w:sz w:val="21"/>
        </w:rPr>
        <w:t xml:space="preserve">• Medical Clinicians: </w:t>
      </w:r>
      <w:r>
        <w:rPr>
          <w:rFonts w:ascii="Calibri" w:hAnsi="Calibri"/>
          <w:color w:val="222222"/>
          <w:sz w:val="21"/>
        </w:rPr>
        <w:t>Instant desktop access to patient diagnostic history, clinical allergy warning banners, and zero lost results.</w:t>
      </w:r>
    </w:p>
    <w:p>
      <w:pPr>
        <w:pStyle w:val="ListBullet"/>
        <w:spacing w:before="20" w:after="60" w:line="276" w:lineRule="auto"/>
      </w:pPr>
      <w:r>
        <w:rPr>
          <w:rFonts w:ascii="Calibri" w:hAnsi="Calibri"/>
          <w:b/>
          <w:color w:val="222222"/>
          <w:sz w:val="21"/>
        </w:rPr>
        <w:t xml:space="preserve">• Laboratory Technologists: </w:t>
      </w:r>
      <w:r>
        <w:rPr>
          <w:rFonts w:ascii="Calibri" w:hAnsi="Calibri"/>
          <w:color w:val="222222"/>
          <w:sz w:val="21"/>
        </w:rPr>
        <w:t>Structured electronic bench worklists, automated normal reference ranges, and 1-click MOH 706 report compilation.</w:t>
      </w:r>
    </w:p>
    <w:p>
      <w:pPr>
        <w:pStyle w:val="ListBullet"/>
        <w:spacing w:before="20" w:after="60" w:line="276" w:lineRule="auto"/>
      </w:pPr>
      <w:r>
        <w:rPr>
          <w:rFonts w:ascii="Calibri" w:hAnsi="Calibri"/>
          <w:b/>
          <w:color w:val="222222"/>
          <w:sz w:val="21"/>
        </w:rPr>
        <w:t xml:space="preserve">• Patients &amp; Community: </w:t>
      </w:r>
      <w:r>
        <w:rPr>
          <w:rFonts w:ascii="Calibri" w:hAnsi="Calibri"/>
          <w:color w:val="222222"/>
          <w:sz w:val="21"/>
        </w:rPr>
        <w:t>Reduction in total hospital turnaround time from hours to minutes, and zero repeat blood draws due to lost slips.</w:t>
      </w:r>
    </w:p>
    <w:p>
      <w:pPr>
        <w:pStyle w:val="ListBullet"/>
        <w:spacing w:before="20" w:after="60" w:line="276" w:lineRule="auto"/>
      </w:pPr>
      <w:r>
        <w:rPr>
          <w:rFonts w:ascii="Calibri" w:hAnsi="Calibri"/>
          <w:b/>
          <w:color w:val="222222"/>
          <w:sz w:val="21"/>
        </w:rPr>
        <w:t xml:space="preserve">• Public Health Authorities: </w:t>
      </w:r>
      <w:r>
        <w:rPr>
          <w:rFonts w:ascii="Calibri" w:hAnsi="Calibri"/>
          <w:color w:val="222222"/>
          <w:sz w:val="21"/>
        </w:rPr>
        <w:t>Clean, aggregated disease surveillance data ready for Siaya County epidemiological tracking.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"This system delivers multi-stakeholder value. For hospital management, it eliminates stationery costs and stops revenue leakage. For clinicians, it provides instant access to diagnostic histories and clinical allergy alerts. For laboratory staff, it replaces tedious ledger writing with automated reference ranges and 1-click reports. For patients, it eliminates lost results and unnecessary delays. Finally, for county health authorities, it provides reliable disease surveillance metrics."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Highlight the patient benefit: healthcare technology must ultimately improve patient care and safety, not just administrative ease.</w:t>
            </w:r>
          </w:p>
        </w:tc>
      </w:tr>
    </w:tbl>
    <w:p>
      <w:pPr>
        <w:spacing w:before="0" w:after="80"/>
      </w:pPr>
    </w:p>
    <w:p>
      <w:pPr>
        <w:spacing w:after="120"/>
      </w:pPr>
    </w:p>
    <w:p>
      <w:pPr>
        <w:keepNext/>
        <w:spacing w:before="240" w:after="80"/>
      </w:pPr>
      <w:r>
        <w:rPr>
          <w:rFonts w:ascii="Calibri" w:hAnsi="Calibri"/>
          <w:b/>
          <w:color w:val="0D9488"/>
          <w:sz w:val="26"/>
        </w:rPr>
        <w:t>Slide 8: Resource Requirements &amp; Budget</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Prove economic feasibility and show cost justification.</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Hardware Platform: </w:t>
      </w:r>
      <w:r>
        <w:rPr>
          <w:rFonts w:ascii="Calibri" w:hAnsi="Calibri"/>
          <w:color w:val="222222"/>
          <w:sz w:val="21"/>
        </w:rPr>
        <w:t>Hospital desktop PCs, thermal barcode label printer, and 650VA Uninterruptible Power Supply (UPS) units.</w:t>
      </w:r>
    </w:p>
    <w:p>
      <w:pPr>
        <w:pStyle w:val="ListBullet"/>
        <w:spacing w:before="20" w:after="60" w:line="276" w:lineRule="auto"/>
      </w:pPr>
      <w:r>
        <w:rPr>
          <w:rFonts w:ascii="Calibri" w:hAnsi="Calibri"/>
          <w:b/>
          <w:color w:val="222222"/>
          <w:sz w:val="21"/>
        </w:rPr>
        <w:t xml:space="preserve">• Networking Infrastructure: </w:t>
      </w:r>
      <w:r>
        <w:rPr>
          <w:rFonts w:ascii="Calibri" w:hAnsi="Calibri"/>
          <w:color w:val="222222"/>
          <w:sz w:val="21"/>
        </w:rPr>
        <w:t>Existing Local Area Network (LAN) switches, Ethernet cabling, and local Wi-Fi router.</w:t>
      </w:r>
    </w:p>
    <w:p>
      <w:pPr>
        <w:pStyle w:val="ListBullet"/>
        <w:spacing w:before="20" w:after="60" w:line="276" w:lineRule="auto"/>
      </w:pPr>
      <w:r>
        <w:rPr>
          <w:rFonts w:ascii="Calibri" w:hAnsi="Calibri"/>
          <w:b/>
          <w:color w:val="222222"/>
          <w:sz w:val="21"/>
        </w:rPr>
        <w:t xml:space="preserve">• Software Platform: </w:t>
      </w:r>
      <w:r>
        <w:rPr>
          <w:rFonts w:ascii="Calibri" w:hAnsi="Calibri"/>
          <w:color w:val="222222"/>
          <w:sz w:val="21"/>
        </w:rPr>
        <w:t>PHP 8.2, MySQL 8.0, Apache/XAMPP, Windows OS—delivering zero recurring software license fees.</w:t>
      </w:r>
    </w:p>
    <w:p>
      <w:pPr>
        <w:pStyle w:val="ListBullet"/>
        <w:spacing w:before="20" w:after="60" w:line="276" w:lineRule="auto"/>
      </w:pPr>
      <w:r>
        <w:rPr>
          <w:rFonts w:ascii="Calibri" w:hAnsi="Calibri"/>
          <w:b/>
          <w:color w:val="222222"/>
          <w:sz w:val="21"/>
        </w:rPr>
        <w:t xml:space="preserve">• Direct Capital Investment: </w:t>
      </w:r>
      <w:r>
        <w:rPr>
          <w:rFonts w:ascii="Calibri" w:hAnsi="Calibri"/>
          <w:color w:val="222222"/>
          <w:sz w:val="21"/>
        </w:rPr>
        <w:t>KES 120,000 for dedicated host PC, UPS battery units, and barcode scanner hardware.</w:t>
      </w:r>
    </w:p>
    <w:p>
      <w:pPr>
        <w:pStyle w:val="ListBullet"/>
        <w:spacing w:before="20" w:after="60" w:line="276" w:lineRule="auto"/>
      </w:pPr>
      <w:r>
        <w:rPr>
          <w:rFonts w:ascii="Calibri" w:hAnsi="Calibri"/>
          <w:b/>
          <w:color w:val="222222"/>
          <w:sz w:val="21"/>
        </w:rPr>
        <w:t xml:space="preserve">• Indirect &amp; Training Costs: </w:t>
      </w:r>
      <w:r>
        <w:rPr>
          <w:rFonts w:ascii="Calibri" w:hAnsi="Calibri"/>
          <w:color w:val="222222"/>
          <w:sz w:val="21"/>
        </w:rPr>
        <w:t>KES 50,000 for staff onboarding, user manuals, and maintenance reserve.</w:t>
      </w:r>
    </w:p>
    <w:p>
      <w:pPr>
        <w:pStyle w:val="ListBullet"/>
        <w:spacing w:before="20" w:after="60" w:line="276" w:lineRule="auto"/>
      </w:pPr>
      <w:r>
        <w:rPr>
          <w:rFonts w:ascii="Calibri" w:hAnsi="Calibri"/>
          <w:b/>
          <w:color w:val="222222"/>
          <w:sz w:val="21"/>
        </w:rPr>
        <w:t xml:space="preserve">• Return on Investment (ROI): </w:t>
      </w:r>
      <w:r>
        <w:rPr>
          <w:rFonts w:ascii="Calibri" w:hAnsi="Calibri"/>
          <w:color w:val="222222"/>
          <w:sz w:val="21"/>
        </w:rPr>
        <w:t>Total investment of ~KES 170,000 is fully recovered within months through sealed billing leakage and eliminated paper books.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"From an economic standpoint, the system leverages open-source technologies—PHP 8.2, MySQL, and Apache—incurring zero annual software licensing costs. Direct capital expenditures were limited to approximately KES 120,000 for server hardware and backup UPS units, with KES 50,000 allocated for user training. This modest investment is rapidly recovered through eliminated paper stationery and the prevention of un-receipted fee leakages."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Emphasize zero licensing fees. Proprietary commercial LIMS cost millions annually, making Yala LIMS remarkably cost-effective.</w:t>
            </w:r>
          </w:p>
        </w:tc>
      </w:tr>
    </w:tbl>
    <w:p>
      <w:pPr>
        <w:spacing w:before="0" w:after="80"/>
      </w:pPr>
    </w:p>
    <w:p>
      <w:pPr>
        <w:spacing w:after="120"/>
      </w:pPr>
    </w:p>
    <w:p>
      <w:pPr>
        <w:keepNext/>
        <w:spacing w:before="240" w:after="80"/>
      </w:pPr>
      <w:r>
        <w:rPr>
          <w:rFonts w:ascii="Calibri" w:hAnsi="Calibri"/>
          <w:b/>
          <w:color w:val="0D9488"/>
          <w:sz w:val="26"/>
        </w:rPr>
        <w:t>Slide 9: Project Schedule &amp; Agile Sprints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Explain the 4-sprint Agile development methodology.</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Sprint 1 (Inception &amp; Analysis): </w:t>
      </w:r>
      <w:r>
        <w:rPr>
          <w:rFonts w:ascii="Calibri" w:hAnsi="Calibri"/>
          <w:color w:val="222222"/>
          <w:sz w:val="21"/>
        </w:rPr>
        <w:t>Conducted staff interviews, manual workflow observation, and signed off the Software Requirements Specification (SRS).</w:t>
      </w:r>
    </w:p>
    <w:p>
      <w:pPr>
        <w:pStyle w:val="ListBullet"/>
        <w:spacing w:before="20" w:after="60" w:line="276" w:lineRule="auto"/>
      </w:pPr>
      <w:r>
        <w:rPr>
          <w:rFonts w:ascii="Calibri" w:hAnsi="Calibri"/>
          <w:b/>
          <w:color w:val="222222"/>
          <w:sz w:val="21"/>
        </w:rPr>
        <w:t xml:space="preserve">• Sprint 2 (Architecture &amp; UI): </w:t>
      </w:r>
      <w:r>
        <w:rPr>
          <w:rFonts w:ascii="Calibri" w:hAnsi="Calibri"/>
          <w:color w:val="222222"/>
          <w:sz w:val="21"/>
        </w:rPr>
        <w:t>Modeled database schema, created UI wireframes matching MOH registers, and built secure authentication with RBAC.</w:t>
      </w:r>
    </w:p>
    <w:p>
      <w:pPr>
        <w:pStyle w:val="ListBullet"/>
        <w:spacing w:before="20" w:after="60" w:line="276" w:lineRule="auto"/>
      </w:pPr>
      <w:r>
        <w:rPr>
          <w:rFonts w:ascii="Calibri" w:hAnsi="Calibri"/>
          <w:b/>
          <w:color w:val="222222"/>
          <w:sz w:val="21"/>
        </w:rPr>
        <w:t xml:space="preserve">• Sprint 3 (Module Implementation): </w:t>
      </w:r>
      <w:r>
        <w:rPr>
          <w:rFonts w:ascii="Calibri" w:hAnsi="Calibri"/>
          <w:color w:val="222222"/>
          <w:sz w:val="21"/>
        </w:rPr>
        <w:t>Engineered CPOE ordering, laboratory bench, panic alerts, blood bank safety, and eCitizen billing.</w:t>
      </w:r>
    </w:p>
    <w:p>
      <w:pPr>
        <w:pStyle w:val="ListBullet"/>
        <w:spacing w:before="20" w:after="60" w:line="276" w:lineRule="auto"/>
      </w:pPr>
      <w:r>
        <w:rPr>
          <w:rFonts w:ascii="Calibri" w:hAnsi="Calibri"/>
          <w:b/>
          <w:color w:val="222222"/>
          <w:sz w:val="21"/>
        </w:rPr>
        <w:t xml:space="preserve">• Sprint 4 (Testing &amp; Verification): </w:t>
      </w:r>
      <w:r>
        <w:rPr>
          <w:rFonts w:ascii="Calibri" w:hAnsi="Calibri"/>
          <w:color w:val="222222"/>
          <w:sz w:val="21"/>
        </w:rPr>
        <w:t>Executed 14 test cases, conducted User Acceptance Testing (UAT 4.6/5.0), and finalized documentation.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"We adopted the Agile methodology across four iterative two-week sprint cycles. Sprint 1 focused on requirements gathering and workflow observation. Sprint 2 established our 3-tier architecture, database schema, and RBAC authentication. Sprint 3 implemented core clinical modules—CPOE ordering, laboratory testing, and eCitizen billing. Sprint 4 was dedicated to comprehensive functional testing, staff UAT evaluation, and deployment."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Why Agile instead of Waterfall? Answer: Hospital requirements evolve as medical staff interact with working prototypes; Agile enabled continuous feedback.</w:t>
            </w:r>
          </w:p>
        </w:tc>
      </w:tr>
    </w:tbl>
    <w:p>
      <w:pPr>
        <w:spacing w:before="0" w:after="80"/>
      </w:pPr>
    </w:p>
    <w:p>
      <w:pPr>
        <w:spacing w:after="120"/>
      </w:pPr>
    </w:p>
    <w:p>
      <w:pPr>
        <w:keepNext/>
        <w:spacing w:before="240" w:after="80"/>
      </w:pPr>
      <w:r>
        <w:rPr>
          <w:rFonts w:ascii="Calibri" w:hAnsi="Calibri"/>
          <w:b/>
          <w:color w:val="0D9488"/>
          <w:sz w:val="26"/>
        </w:rPr>
        <w:t>Slide 10: Literature Review: Existing Systems Analysis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Compare existing systems (MOH Paper, OpenMRS, KenyaEMR, Commercial LIMS) to Yala LIMS.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Manual MOH Paper: </w:t>
      </w:r>
      <w:r>
        <w:rPr>
          <w:rFonts w:ascii="Calibri" w:hAnsi="Calibri"/>
          <w:color w:val="222222"/>
          <w:sz w:val="21"/>
        </w:rPr>
        <w:t>Zero technology cost, but devastatingly inefficient, error-prone, and vulnerable to fire, water, and slip loss.</w:t>
      </w:r>
    </w:p>
    <w:p>
      <w:pPr>
        <w:pStyle w:val="ListBullet"/>
        <w:spacing w:before="20" w:after="60" w:line="276" w:lineRule="auto"/>
      </w:pPr>
      <w:r>
        <w:rPr>
          <w:rFonts w:ascii="Calibri" w:hAnsi="Calibri"/>
          <w:b/>
          <w:color w:val="222222"/>
          <w:sz w:val="21"/>
        </w:rPr>
        <w:t xml:space="preserve">• OpenMRS / KenyaEMR: </w:t>
      </w:r>
      <w:r>
        <w:rPr>
          <w:rFonts w:ascii="Calibri" w:hAnsi="Calibri"/>
          <w:color w:val="222222"/>
          <w:sz w:val="21"/>
        </w:rPr>
        <w:t>Excellent for national HIV/TB programs, but heavy, complex Java server requirements, and lacks dedicated laboratory bench accessioning tools.</w:t>
      </w:r>
    </w:p>
    <w:p>
      <w:pPr>
        <w:pStyle w:val="ListBullet"/>
        <w:spacing w:before="20" w:after="60" w:line="276" w:lineRule="auto"/>
      </w:pPr>
      <w:r>
        <w:rPr>
          <w:rFonts w:ascii="Calibri" w:hAnsi="Calibri"/>
          <w:b/>
          <w:color w:val="222222"/>
          <w:sz w:val="21"/>
        </w:rPr>
        <w:t xml:space="preserve">• Commercial Enterprise LIMS (e.g. LabWare, STARLIMS): </w:t>
      </w:r>
      <w:r>
        <w:rPr>
          <w:rFonts w:ascii="Calibri" w:hAnsi="Calibri"/>
          <w:color w:val="222222"/>
          <w:sz w:val="21"/>
        </w:rPr>
        <w:t>Comprehensive, but costs millions of shillings in annual licensing and requires dedicated vendor support.</w:t>
      </w:r>
    </w:p>
    <w:p>
      <w:pPr>
        <w:pStyle w:val="ListBullet"/>
        <w:spacing w:before="20" w:after="60" w:line="276" w:lineRule="auto"/>
      </w:pPr>
      <w:r>
        <w:rPr>
          <w:rFonts w:ascii="Calibri" w:hAnsi="Calibri"/>
          <w:b/>
          <w:color w:val="222222"/>
          <w:sz w:val="21"/>
        </w:rPr>
        <w:t xml:space="preserve">• Cloud SaaS Systems: </w:t>
      </w:r>
      <w:r>
        <w:rPr>
          <w:rFonts w:ascii="Calibri" w:hAnsi="Calibri"/>
          <w:color w:val="222222"/>
          <w:sz w:val="21"/>
        </w:rPr>
        <w:t>Vulnerable to frequent rural fiber cuts and power grid disruptions in Western Kenya.</w:t>
      </w:r>
    </w:p>
    <w:p>
      <w:pPr>
        <w:pStyle w:val="ListBullet"/>
        <w:spacing w:before="20" w:after="60" w:line="276" w:lineRule="auto"/>
      </w:pPr>
      <w:r>
        <w:rPr>
          <w:rFonts w:ascii="Calibri" w:hAnsi="Calibri"/>
          <w:b/>
          <w:color w:val="222222"/>
          <w:sz w:val="21"/>
        </w:rPr>
        <w:t xml:space="preserve">• Yala LIMS Positioning: </w:t>
      </w:r>
      <w:r>
        <w:rPr>
          <w:rFonts w:ascii="Calibri" w:hAnsi="Calibri"/>
          <w:color w:val="222222"/>
          <w:sz w:val="21"/>
        </w:rPr>
        <w:t>Lightweight, zero-license, intranet-hosted web application customized to Kenyan public health reporting.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literature review evaluated existing paradigms against public hospital realities. Manual paper is cheap but clinically dangerous. OpenMRS and KenyaEMR are robust for HIV clinics but heavy and lack full laboratory workbench workflows. Commercial solutions like LabWare cost millions in recurring licensing. Cloud SaaS systems fail when rural internet goes down. Yala LIMS fills this exact niche: lightweight, zero-license, and 100% operational over the local intranet."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Examiners will appreciate that you know KenyaEMR and OpenMRS and can articulate why they aren't optimal for sub-county lab benches.</w:t>
            </w:r>
          </w:p>
        </w:tc>
      </w:tr>
    </w:tbl>
    <w:p>
      <w:pPr>
        <w:spacing w:before="0" w:after="80"/>
      </w:pPr>
    </w:p>
    <w:p>
      <w:pPr>
        <w:spacing w:after="120"/>
      </w:pPr>
    </w:p>
    <w:p>
      <w:pPr>
        <w:keepNext/>
        <w:spacing w:before="240" w:after="80"/>
      </w:pPr>
      <w:r>
        <w:rPr>
          <w:rFonts w:ascii="Calibri" w:hAnsi="Calibri"/>
          <w:b/>
          <w:color w:val="0D9488"/>
          <w:sz w:val="26"/>
        </w:rPr>
        <w:t>Slide 11: Literature Review: Identified Gaps &amp; Delivered Solution</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Highlight the 4 specific operational gaps and how Yala LIMS solves each.</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Gap 1: Inter-Departmental Data Silos: </w:t>
      </w:r>
      <w:r>
        <w:rPr>
          <w:rFonts w:ascii="Calibri" w:hAnsi="Calibri"/>
          <w:color w:val="222222"/>
          <w:sz w:val="21"/>
        </w:rPr>
        <w:t>Solved by shared relational database linking Reception, Consultation, Lab, and Cashier.</w:t>
      </w:r>
    </w:p>
    <w:p>
      <w:pPr>
        <w:pStyle w:val="ListBullet"/>
        <w:spacing w:before="20" w:after="60" w:line="276" w:lineRule="auto"/>
      </w:pPr>
      <w:r>
        <w:rPr>
          <w:rFonts w:ascii="Calibri" w:hAnsi="Calibri"/>
          <w:b/>
          <w:color w:val="222222"/>
          <w:sz w:val="21"/>
        </w:rPr>
        <w:t xml:space="preserve">• Gap 2: Lack of Pre-Analytical QA: </w:t>
      </w:r>
      <w:r>
        <w:rPr>
          <w:rFonts w:ascii="Calibri" w:hAnsi="Calibri"/>
          <w:color w:val="222222"/>
          <w:sz w:val="21"/>
        </w:rPr>
        <w:t>Solved by ISO 15189 specimen rejection logging and redraw notifications.</w:t>
      </w:r>
    </w:p>
    <w:p>
      <w:pPr>
        <w:pStyle w:val="ListBullet"/>
        <w:spacing w:before="20" w:after="60" w:line="276" w:lineRule="auto"/>
      </w:pPr>
      <w:r>
        <w:rPr>
          <w:rFonts w:ascii="Calibri" w:hAnsi="Calibri"/>
          <w:b/>
          <w:color w:val="222222"/>
          <w:sz w:val="21"/>
        </w:rPr>
        <w:t xml:space="preserve">• Gap 3: Fragile Internet Dependency: </w:t>
      </w:r>
      <w:r>
        <w:rPr>
          <w:rFonts w:ascii="Calibri" w:hAnsi="Calibri"/>
          <w:color w:val="222222"/>
          <w:sz w:val="21"/>
        </w:rPr>
        <w:t>Solved by local intranet deployment on Apache/XAMPP—zero external internet needed for clinical care.</w:t>
      </w:r>
    </w:p>
    <w:p>
      <w:pPr>
        <w:pStyle w:val="ListBullet"/>
        <w:spacing w:before="20" w:after="60" w:line="276" w:lineRule="auto"/>
      </w:pPr>
      <w:r>
        <w:rPr>
          <w:rFonts w:ascii="Calibri" w:hAnsi="Calibri"/>
          <w:b/>
          <w:color w:val="222222"/>
          <w:sz w:val="21"/>
        </w:rPr>
        <w:t xml:space="preserve">• Gap 4: Cash Compliance: </w:t>
      </w:r>
      <w:r>
        <w:rPr>
          <w:rFonts w:ascii="Calibri" w:hAnsi="Calibri"/>
          <w:color w:val="222222"/>
          <w:sz w:val="21"/>
        </w:rPr>
        <w:t>Solved by integrating Government eCitizen Paybill 222222 reference numbers directly into patient billing.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"We synthesized four critical gaps from literature: fragmented communication silos, lack of specimen quality assurance, vulnerability to internet downtime, and non-compliance with public cashless mandates. Yala LIMS directly addresses all four by unifying hospital stations on an offline-capable LAN with integrated ISO 15189 specimen rejection controls and official eCitizen payment reconciliation."</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Point out ISO 15189—it is the international gold standard for medical laboratory quality and competence.</w:t>
            </w:r>
          </w:p>
        </w:tc>
      </w:tr>
    </w:tbl>
    <w:p>
      <w:pPr>
        <w:spacing w:before="0" w:after="80"/>
      </w:pPr>
    </w:p>
    <w:p>
      <w:pPr>
        <w:spacing w:after="120"/>
      </w:pPr>
    </w:p>
    <w:p>
      <w:pPr>
        <w:keepNext/>
        <w:spacing w:before="240" w:after="80"/>
      </w:pPr>
      <w:r>
        <w:rPr>
          <w:rFonts w:ascii="Calibri" w:hAnsi="Calibri"/>
          <w:b/>
          <w:color w:val="0D9488"/>
          <w:sz w:val="26"/>
        </w:rPr>
        <w:t>Slide 12: Methodology &amp; Development Tools Stack</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Detail the engineering stack, development environment, and QA tools.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Backend Architecture: </w:t>
      </w:r>
      <w:r>
        <w:rPr>
          <w:rFonts w:ascii="Calibri" w:hAnsi="Calibri"/>
          <w:color w:val="222222"/>
          <w:sz w:val="21"/>
        </w:rPr>
        <w:t>PHP 8.2 procedural architecture chosen for simplicity, speed, low memory footprint, and ease of maintenance by hospital IT.</w:t>
      </w:r>
    </w:p>
    <w:p>
      <w:pPr>
        <w:pStyle w:val="ListBullet"/>
        <w:spacing w:before="20" w:after="60" w:line="276" w:lineRule="auto"/>
      </w:pPr>
      <w:r>
        <w:rPr>
          <w:rFonts w:ascii="Calibri" w:hAnsi="Calibri"/>
          <w:b/>
          <w:color w:val="222222"/>
          <w:sz w:val="21"/>
        </w:rPr>
        <w:t xml:space="preserve">• Database Engine: </w:t>
      </w:r>
      <w:r>
        <w:rPr>
          <w:rFonts w:ascii="Calibri" w:hAnsi="Calibri"/>
          <w:color w:val="222222"/>
          <w:sz w:val="21"/>
        </w:rPr>
        <w:t>MySQL 8.0 relational database with InnoDB engine, enforcing foreign key integrity and ACID transactions.</w:t>
      </w:r>
    </w:p>
    <w:p>
      <w:pPr>
        <w:pStyle w:val="ListBullet"/>
        <w:spacing w:before="20" w:after="60" w:line="276" w:lineRule="auto"/>
      </w:pPr>
      <w:r>
        <w:rPr>
          <w:rFonts w:ascii="Calibri" w:hAnsi="Calibri"/>
          <w:b/>
          <w:color w:val="222222"/>
          <w:sz w:val="21"/>
        </w:rPr>
        <w:t xml:space="preserve">• Frontend Interface: </w:t>
      </w:r>
      <w:r>
        <w:rPr>
          <w:rFonts w:ascii="Calibri" w:hAnsi="Calibri"/>
          <w:color w:val="222222"/>
          <w:sz w:val="21"/>
        </w:rPr>
        <w:t>Responsive HTML5, Bootstrap 5, FontAwesome 6 icons, and Chart.js for managerial KPI charts.</w:t>
      </w:r>
    </w:p>
    <w:p>
      <w:pPr>
        <w:pStyle w:val="ListBullet"/>
        <w:spacing w:before="20" w:after="60" w:line="276" w:lineRule="auto"/>
      </w:pPr>
      <w:r>
        <w:rPr>
          <w:rFonts w:ascii="Calibri" w:hAnsi="Calibri"/>
          <w:b/>
          <w:color w:val="222222"/>
          <w:sz w:val="21"/>
        </w:rPr>
        <w:t xml:space="preserve">• Reporting &amp; Document Generation: </w:t>
      </w:r>
      <w:r>
        <w:rPr>
          <w:rFonts w:ascii="Calibri" w:hAnsi="Calibri"/>
          <w:color w:val="222222"/>
          <w:sz w:val="21"/>
        </w:rPr>
        <w:t>FPDF library for generating tamper-resistant, certified A4 laboratory reports and A5 routing slips.</w:t>
      </w:r>
    </w:p>
    <w:p>
      <w:pPr>
        <w:pStyle w:val="ListBullet"/>
        <w:spacing w:before="20" w:after="60" w:line="276" w:lineRule="auto"/>
      </w:pPr>
      <w:r>
        <w:rPr>
          <w:rFonts w:ascii="Calibri" w:hAnsi="Calibri"/>
          <w:b/>
          <w:color w:val="222222"/>
          <w:sz w:val="21"/>
        </w:rPr>
        <w:t xml:space="preserve">• Tooling &amp; Version Control: </w:t>
      </w:r>
      <w:r>
        <w:rPr>
          <w:rFonts w:ascii="Calibri" w:hAnsi="Calibri"/>
          <w:color w:val="222222"/>
          <w:sz w:val="21"/>
        </w:rPr>
        <w:t>Visual Studio Code IDE, Git and GitHub repository version control.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engineering stack was selected for reliability and low resource consumption. We utilized PHP 8.2 for backend business logic, MySQL 8.0 with InnoDB for relational persistence, Bootstrap 5 for a responsive medical UI, and FPDF for compiling digitally certified PDF reports. Code was managed using Git version control and developed within Visual Studio Code."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Why procedural PHP instead of Laravel? (See Defense Q&amp;A Section for full bulletproof response).</w:t>
            </w:r>
          </w:p>
        </w:tc>
      </w:tr>
    </w:tbl>
    <w:p>
      <w:pPr>
        <w:spacing w:before="0" w:after="80"/>
      </w:pPr>
    </w:p>
    <w:p>
      <w:pPr>
        <w:spacing w:after="120"/>
      </w:pPr>
    </w:p>
    <w:p>
      <w:pPr>
        <w:keepNext/>
        <w:spacing w:before="240" w:after="80"/>
      </w:pPr>
      <w:r>
        <w:rPr>
          <w:rFonts w:ascii="Calibri" w:hAnsi="Calibri"/>
          <w:b/>
          <w:color w:val="0D9488"/>
          <w:sz w:val="26"/>
        </w:rPr>
        <w:t>Slide 13: System Analysis &amp; Feasibility Study</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Demonstrate Technical, Operational, and Economic feasibility alongside the 4 User Roles.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Technical Feasibility: </w:t>
      </w:r>
      <w:r>
        <w:rPr>
          <w:rFonts w:ascii="Calibri" w:hAnsi="Calibri"/>
          <w:color w:val="222222"/>
          <w:sz w:val="21"/>
        </w:rPr>
        <w:t>Confirmed: system runs effortlessly on standard hospital core-i3/core-i5 workstation PCs without specialized server hardware.</w:t>
      </w:r>
    </w:p>
    <w:p>
      <w:pPr>
        <w:pStyle w:val="ListBullet"/>
        <w:spacing w:before="20" w:after="60" w:line="276" w:lineRule="auto"/>
      </w:pPr>
      <w:r>
        <w:rPr>
          <w:rFonts w:ascii="Calibri" w:hAnsi="Calibri"/>
          <w:b/>
          <w:color w:val="222222"/>
          <w:sz w:val="21"/>
        </w:rPr>
        <w:t xml:space="preserve">• Operational Feasibility: </w:t>
      </w:r>
      <w:r>
        <w:rPr>
          <w:rFonts w:ascii="Calibri" w:hAnsi="Calibri"/>
          <w:color w:val="222222"/>
          <w:sz w:val="21"/>
        </w:rPr>
        <w:t>Confirmed: screens strictly mirror the layout of physical MOH 204 slips and MOH 240 books, eliminating cognitive retraining.</w:t>
      </w:r>
    </w:p>
    <w:p>
      <w:pPr>
        <w:pStyle w:val="ListBullet"/>
        <w:spacing w:before="20" w:after="60" w:line="276" w:lineRule="auto"/>
      </w:pPr>
      <w:r>
        <w:rPr>
          <w:rFonts w:ascii="Calibri" w:hAnsi="Calibri"/>
          <w:b/>
          <w:color w:val="222222"/>
          <w:sz w:val="21"/>
        </w:rPr>
        <w:t xml:space="preserve">• Economic Feasibility: </w:t>
      </w:r>
      <w:r>
        <w:rPr>
          <w:rFonts w:ascii="Calibri" w:hAnsi="Calibri"/>
          <w:color w:val="222222"/>
          <w:sz w:val="21"/>
        </w:rPr>
        <w:t>Confirmed: positive financial return through recovered unbilled tests and zero paper printing overhead.</w:t>
      </w:r>
    </w:p>
    <w:p>
      <w:pPr>
        <w:pStyle w:val="ListBullet"/>
        <w:spacing w:before="20" w:after="60" w:line="276" w:lineRule="auto"/>
      </w:pPr>
      <w:r>
        <w:rPr>
          <w:rFonts w:ascii="Calibri" w:hAnsi="Calibri"/>
          <w:b/>
          <w:color w:val="222222"/>
          <w:sz w:val="21"/>
        </w:rPr>
        <w:t xml:space="preserve">• User Role Profiles: </w:t>
      </w:r>
      <w:r>
        <w:rPr>
          <w:rFonts w:ascii="Calibri" w:hAnsi="Calibri"/>
          <w:color w:val="222222"/>
          <w:sz w:val="21"/>
        </w:rPr>
        <w:t>Receptionist (triage, OPD sequence, eCitizen); Doctor (CPOE ordering, allergy alerts); Lab Tech (accessioning, testing bench, QA, blood bank); Admin (pricing catalogue, audit trail, SQL backups).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feasibility evaluation validated technical, operational, and economic viability. Technically, the stack operates smoothly on existing hospital hardware. Operationally, staff achieved rapid adoption because our interfaces mirror familiar MOH paper layouts. Economically, the cost savings and revenue recovery justify deployment. We established four distinct user profiles enforcing strict least-privilege access control."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Operational feasibility is key: if nurses and doctors find it too complex, they won't use it. You solved this by designing the UI like familiar paper registers.</w:t>
            </w:r>
          </w:p>
        </w:tc>
      </w:tr>
    </w:tbl>
    <w:p>
      <w:pPr>
        <w:spacing w:before="0" w:after="80"/>
      </w:pPr>
    </w:p>
    <w:p>
      <w:pPr>
        <w:spacing w:after="120"/>
      </w:pPr>
    </w:p>
    <w:p>
      <w:pPr>
        <w:keepNext/>
        <w:spacing w:before="240" w:after="80"/>
      </w:pPr>
      <w:r>
        <w:rPr>
          <w:rFonts w:ascii="Calibri" w:hAnsi="Calibri"/>
          <w:b/>
          <w:color w:val="0D9488"/>
          <w:sz w:val="26"/>
        </w:rPr>
        <w:t>Slide 14: System Requirements Modeling: Functional &amp; Non-Functional</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Enumerate the functional capabilities and security/performance constraints.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Functional Requirements: </w:t>
      </w:r>
      <w:r>
        <w:rPr>
          <w:rFonts w:ascii="Calibri" w:hAnsi="Calibri"/>
          <w:color w:val="222222"/>
          <w:sz w:val="21"/>
        </w:rPr>
        <w:t>OPD sequence generation with Code128 barcodes; CPOE test ordering with categorized catalogue; test bench with normal reference ranges; automated panic value alerts; certified PDF printing; eCitizen Paybill 222222 reconciliation.</w:t>
      </w:r>
    </w:p>
    <w:p>
      <w:pPr>
        <w:pStyle w:val="ListBullet"/>
        <w:spacing w:before="20" w:after="60" w:line="276" w:lineRule="auto"/>
      </w:pPr>
      <w:r>
        <w:rPr>
          <w:rFonts w:ascii="Calibri" w:hAnsi="Calibri"/>
          <w:b/>
          <w:color w:val="222222"/>
          <w:sz w:val="21"/>
        </w:rPr>
        <w:t xml:space="preserve">• Non-Functional Requirements: </w:t>
      </w:r>
      <w:r>
        <w:rPr>
          <w:rFonts w:ascii="Calibri" w:hAnsi="Calibri"/>
          <w:color w:val="222222"/>
          <w:sz w:val="21"/>
        </w:rPr>
        <w:t>Security (Bcrypt hashing, prepared statements, CSRF tokens); Performance (&lt;1.5 second page load times across LAN); Reliability (automated daily SQL backups with manual admin override).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"System requirements modeling captured both functional and non-functional specifications. Functionally, the system manages barcode patient registration, CPOE test ordering, automated panic alerts, and cashless eCitizen settlement. Non-functionally, we enforced enterprise-grade security via Bcrypt hashing, parameterized prepared statements, and CSRF protection, maintaining sub-1.5 second response times over the hospital intranet."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Non-functional requirements: examiners love asking about security and performance. Emphasize parameterized queries and CSRF tokens.</w:t>
            </w:r>
          </w:p>
        </w:tc>
      </w:tr>
    </w:tbl>
    <w:p>
      <w:pPr>
        <w:spacing w:before="0" w:after="80"/>
      </w:pPr>
    </w:p>
    <w:p>
      <w:pPr>
        <w:spacing w:after="120"/>
      </w:pPr>
    </w:p>
    <w:p>
      <w:pPr>
        <w:keepNext/>
        <w:spacing w:before="240" w:after="80"/>
      </w:pPr>
      <w:r>
        <w:rPr>
          <w:rFonts w:ascii="Calibri" w:hAnsi="Calibri"/>
          <w:b/>
          <w:color w:val="0D9488"/>
          <w:sz w:val="26"/>
        </w:rPr>
        <w:t>Slide 15: System Design &amp; Architecture: The 3-Tier Blueprint</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Explain the architectural layers, Data Flow Diagrams (DFDs), and ERD.</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Presentation Tier: </w:t>
      </w:r>
      <w:r>
        <w:rPr>
          <w:rFonts w:ascii="Calibri" w:hAnsi="Calibri"/>
          <w:color w:val="222222"/>
          <w:sz w:val="21"/>
        </w:rPr>
        <w:t>Bootstrap 5 client interface rendering on desktop browser workstations across hospital consultation rooms.</w:t>
      </w:r>
    </w:p>
    <w:p>
      <w:pPr>
        <w:pStyle w:val="ListBullet"/>
        <w:spacing w:before="20" w:after="60" w:line="276" w:lineRule="auto"/>
      </w:pPr>
      <w:r>
        <w:rPr>
          <w:rFonts w:ascii="Calibri" w:hAnsi="Calibri"/>
          <w:b/>
          <w:color w:val="222222"/>
          <w:sz w:val="21"/>
        </w:rPr>
        <w:t xml:space="preserve">• Application Tier: </w:t>
      </w:r>
      <w:r>
        <w:rPr>
          <w:rFonts w:ascii="Calibri" w:hAnsi="Calibri"/>
          <w:color w:val="222222"/>
          <w:sz w:val="21"/>
        </w:rPr>
        <w:t>PHP 8.2 business logic layer processing order validation, panic thresholds, billing verification, and PDF compilation.</w:t>
      </w:r>
    </w:p>
    <w:p>
      <w:pPr>
        <w:pStyle w:val="ListBullet"/>
        <w:spacing w:before="20" w:after="60" w:line="276" w:lineRule="auto"/>
      </w:pPr>
      <w:r>
        <w:rPr>
          <w:rFonts w:ascii="Calibri" w:hAnsi="Calibri"/>
          <w:b/>
          <w:color w:val="222222"/>
          <w:sz w:val="21"/>
        </w:rPr>
        <w:t xml:space="preserve">• Data Persistence Tier: </w:t>
      </w:r>
      <w:r>
        <w:rPr>
          <w:rFonts w:ascii="Calibri" w:hAnsi="Calibri"/>
          <w:color w:val="222222"/>
          <w:sz w:val="21"/>
        </w:rPr>
        <w:t>MySQL 8.0 relational database with normalized schema across 12 relational tables.</w:t>
      </w:r>
    </w:p>
    <w:p>
      <w:pPr>
        <w:pStyle w:val="ListBullet"/>
        <w:spacing w:before="20" w:after="60" w:line="276" w:lineRule="auto"/>
      </w:pPr>
      <w:r>
        <w:rPr>
          <w:rFonts w:ascii="Calibri" w:hAnsi="Calibri"/>
          <w:b/>
          <w:color w:val="222222"/>
          <w:sz w:val="21"/>
        </w:rPr>
        <w:t xml:space="preserve">• DFD Modeling: </w:t>
      </w:r>
      <w:r>
        <w:rPr>
          <w:rFonts w:ascii="Calibri" w:hAnsi="Calibri"/>
          <w:color w:val="222222"/>
          <w:sz w:val="21"/>
        </w:rPr>
        <w:t>Context Level 0 diagram defining external entities; Level 1 DFD decomposing into 6 core sub-processes (Patients, Orders, Results, Billing, Alerts, Analytics).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architectural blueprint implements the classic 3-tier client-server architecture: a responsive Bootstrap 5 presentation layer, a modular PHP 8.2 application layer, and a normalized MySQL 8.0 data layer. Data flow modeling was decomposed through Level 0 and Level 1 DFDs, ensuring clean data separation between triage, clinical ordering, laboratory accessioning, and administrative auditing."</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Explain that the 3 tiers provide separation of concerns—if you want to redesign the UI, the business logic and database remain untouched.</w:t>
            </w:r>
          </w:p>
        </w:tc>
      </w:tr>
    </w:tbl>
    <w:p>
      <w:pPr>
        <w:spacing w:before="0" w:after="80"/>
      </w:pPr>
    </w:p>
    <w:p>
      <w:pPr>
        <w:spacing w:after="120"/>
      </w:pPr>
    </w:p>
    <w:p>
      <w:pPr>
        <w:keepNext/>
        <w:spacing w:before="240" w:after="80"/>
      </w:pPr>
      <w:r>
        <w:rPr>
          <w:rFonts w:ascii="Calibri" w:hAnsi="Calibri"/>
          <w:b/>
          <w:color w:val="0D9488"/>
          <w:sz w:val="26"/>
        </w:rPr>
        <w:t>Slide 16: Database Schema &amp; Security Controls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Walk through the 12 normalized relational tables and security mechanisms.</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patients table: </w:t>
      </w:r>
      <w:r>
        <w:rPr>
          <w:rFonts w:ascii="Calibri" w:hAnsi="Calibri"/>
          <w:color w:val="222222"/>
          <w:sz w:val="21"/>
        </w:rPr>
        <w:t>Stores unique OPD numbers, demographics, and insurance policy references.</w:t>
      </w:r>
    </w:p>
    <w:p>
      <w:pPr>
        <w:pStyle w:val="ListBullet"/>
        <w:spacing w:before="20" w:after="60" w:line="276" w:lineRule="auto"/>
      </w:pPr>
      <w:r>
        <w:rPr>
          <w:rFonts w:ascii="Calibri" w:hAnsi="Calibri"/>
          <w:b/>
          <w:color w:val="222222"/>
          <w:sz w:val="21"/>
        </w:rPr>
        <w:t xml:space="preserve">• lab_requests &amp; test_results tables: </w:t>
      </w:r>
      <w:r>
        <w:rPr>
          <w:rFonts w:ascii="Calibri" w:hAnsi="Calibri"/>
          <w:color w:val="222222"/>
          <w:sz w:val="21"/>
        </w:rPr>
        <w:t>Manages test orders, turnaround tracking, technician entries, and panic alert flags.</w:t>
      </w:r>
    </w:p>
    <w:p>
      <w:pPr>
        <w:pStyle w:val="ListBullet"/>
        <w:spacing w:before="20" w:after="60" w:line="276" w:lineRule="auto"/>
      </w:pPr>
      <w:r>
        <w:rPr>
          <w:rFonts w:ascii="Calibri" w:hAnsi="Calibri"/>
          <w:b/>
          <w:color w:val="222222"/>
          <w:sz w:val="21"/>
        </w:rPr>
        <w:t xml:space="preserve">• payments table: </w:t>
      </w:r>
      <w:r>
        <w:rPr>
          <w:rFonts w:ascii="Calibri" w:hAnsi="Calibri"/>
          <w:color w:val="222222"/>
          <w:sz w:val="21"/>
        </w:rPr>
        <w:t>Stores eCitizen PRN references, M-Pesa transaction IDs, amounts, and cashier timestamps.</w:t>
      </w:r>
    </w:p>
    <w:p>
      <w:pPr>
        <w:pStyle w:val="ListBullet"/>
        <w:spacing w:before="20" w:after="60" w:line="276" w:lineRule="auto"/>
      </w:pPr>
      <w:r>
        <w:rPr>
          <w:rFonts w:ascii="Calibri" w:hAnsi="Calibri"/>
          <w:b/>
          <w:color w:val="222222"/>
          <w:sz w:val="21"/>
        </w:rPr>
        <w:t xml:space="preserve">• blood_bank &amp; sample_rejections tables: </w:t>
      </w:r>
      <w:r>
        <w:rPr>
          <w:rFonts w:ascii="Calibri" w:hAnsi="Calibri"/>
          <w:color w:val="222222"/>
          <w:sz w:val="21"/>
        </w:rPr>
        <w:t>Tracks blood donor units, crossmatch compatibility, and ISO 15189 pre-analytical sample rejections.</w:t>
      </w:r>
    </w:p>
    <w:p>
      <w:pPr>
        <w:pStyle w:val="ListBullet"/>
        <w:spacing w:before="20" w:after="60" w:line="276" w:lineRule="auto"/>
      </w:pPr>
      <w:r>
        <w:rPr>
          <w:rFonts w:ascii="Calibri" w:hAnsi="Calibri"/>
          <w:b/>
          <w:color w:val="222222"/>
          <w:sz w:val="21"/>
        </w:rPr>
        <w:t xml:space="preserve">• Security Controls: </w:t>
      </w:r>
      <w:r>
        <w:rPr>
          <w:rFonts w:ascii="Calibri" w:hAnsi="Calibri"/>
          <w:color w:val="222222"/>
          <w:sz w:val="21"/>
        </w:rPr>
        <w:t>100% prepared SQL statements to eliminate SQL Injection; session-level CSRF token validation; immutable audit logging recording user, role, IP address, and timestamp.</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"The relational database comprises 12 normalized tables with foreign key constraints. Core entities include patients, lab requests, test results, payments, blood bank inventory, and sample rejections. To guarantee data privacy and compliance with Kenya's Data Protection Act 2019, all database operations utilize parameterized prepared statements, while an immutable audit log captures user actions, IP addresses, and exact timestamps."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Data Protection Act 2019: mention this! It shows you understand Kenyan legal compliance for patient medical data.</w:t>
            </w:r>
          </w:p>
        </w:tc>
      </w:tr>
    </w:tbl>
    <w:p>
      <w:pPr>
        <w:spacing w:before="0" w:after="80"/>
      </w:pPr>
    </w:p>
    <w:p>
      <w:pPr>
        <w:spacing w:after="120"/>
      </w:pPr>
    </w:p>
    <w:p>
      <w:pPr>
        <w:keepNext/>
        <w:spacing w:before="240" w:after="80"/>
      </w:pPr>
      <w:r>
        <w:rPr>
          <w:rFonts w:ascii="Calibri" w:hAnsi="Calibri"/>
          <w:b/>
          <w:color w:val="0D9488"/>
          <w:sz w:val="26"/>
        </w:rPr>
        <w:t>Slide 17: Core Modules Implemented: The 7 Operational Pillars</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Present the actual working modules developed in the project.</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Module 1: Authentication &amp; RBAC: </w:t>
      </w:r>
      <w:r>
        <w:rPr>
          <w:rFonts w:ascii="Calibri" w:hAnsi="Calibri"/>
          <w:color w:val="222222"/>
          <w:sz w:val="21"/>
        </w:rPr>
        <w:t>Secure login with Bcrypt encryption and automated role routing to specialized dashboards.</w:t>
      </w:r>
    </w:p>
    <w:p>
      <w:pPr>
        <w:pStyle w:val="ListBullet"/>
        <w:spacing w:before="20" w:after="60" w:line="276" w:lineRule="auto"/>
      </w:pPr>
      <w:r>
        <w:rPr>
          <w:rFonts w:ascii="Calibri" w:hAnsi="Calibri"/>
          <w:b/>
          <w:color w:val="222222"/>
          <w:sz w:val="21"/>
        </w:rPr>
        <w:t xml:space="preserve">• Module 2: Outpatient Reception: </w:t>
      </w:r>
      <w:r>
        <w:rPr>
          <w:rFonts w:ascii="Calibri" w:hAnsi="Calibri"/>
          <w:color w:val="222222"/>
          <w:sz w:val="21"/>
        </w:rPr>
        <w:t>Captures patient triage, issues OPD file numbers, and prints A5 routing slips with Code128 barcodes.</w:t>
      </w:r>
    </w:p>
    <w:p>
      <w:pPr>
        <w:pStyle w:val="ListBullet"/>
        <w:spacing w:before="20" w:after="60" w:line="276" w:lineRule="auto"/>
      </w:pPr>
      <w:r>
        <w:rPr>
          <w:rFonts w:ascii="Calibri" w:hAnsi="Calibri"/>
          <w:b/>
          <w:color w:val="222222"/>
          <w:sz w:val="21"/>
        </w:rPr>
        <w:t xml:space="preserve">• Module 3: Doctor CPOE Console: </w:t>
      </w:r>
      <w:r>
        <w:rPr>
          <w:rFonts w:ascii="Calibri" w:hAnsi="Calibri"/>
          <w:color w:val="222222"/>
          <w:sz w:val="21"/>
        </w:rPr>
        <w:t>Enables instant test ordering with clinical safety banners (e.g. penicillin allergy alerts).</w:t>
      </w:r>
    </w:p>
    <w:p>
      <w:pPr>
        <w:pStyle w:val="ListBullet"/>
        <w:spacing w:before="20" w:after="60" w:line="276" w:lineRule="auto"/>
      </w:pPr>
      <w:r>
        <w:rPr>
          <w:rFonts w:ascii="Calibri" w:hAnsi="Calibri"/>
          <w:b/>
          <w:color w:val="222222"/>
          <w:sz w:val="21"/>
        </w:rPr>
        <w:t xml:space="preserve">• Module 4: Laboratory Testing Bench: </w:t>
      </w:r>
      <w:r>
        <w:rPr>
          <w:rFonts w:ascii="Calibri" w:hAnsi="Calibri"/>
          <w:color w:val="222222"/>
          <w:sz w:val="21"/>
        </w:rPr>
        <w:t>Accessions samples, displays normal reference ranges, triggers panic alerts, and outputs certified PDFs.</w:t>
      </w:r>
    </w:p>
    <w:p>
      <w:pPr>
        <w:pStyle w:val="ListBullet"/>
        <w:spacing w:before="20" w:after="60" w:line="276" w:lineRule="auto"/>
      </w:pPr>
      <w:r>
        <w:rPr>
          <w:rFonts w:ascii="Calibri" w:hAnsi="Calibri"/>
          <w:b/>
          <w:color w:val="222222"/>
          <w:sz w:val="21"/>
        </w:rPr>
        <w:t xml:space="preserve">• Module 5: eCitizen Cashless Billing: </w:t>
      </w:r>
      <w:r>
        <w:rPr>
          <w:rFonts w:ascii="Calibri" w:hAnsi="Calibri"/>
          <w:color w:val="222222"/>
          <w:sz w:val="21"/>
        </w:rPr>
        <w:t>Reconciles Paybill 222222 payments, generates official receipts, and unlocks paid lab tests.</w:t>
      </w:r>
    </w:p>
    <w:p>
      <w:pPr>
        <w:pStyle w:val="ListBullet"/>
        <w:spacing w:before="20" w:after="60" w:line="276" w:lineRule="auto"/>
      </w:pPr>
      <w:r>
        <w:rPr>
          <w:rFonts w:ascii="Calibri" w:hAnsi="Calibri"/>
          <w:b/>
          <w:color w:val="222222"/>
          <w:sz w:val="21"/>
        </w:rPr>
        <w:t xml:space="preserve">• Module 6: Blood Bank &amp; Quality Assurance: </w:t>
      </w:r>
      <w:r>
        <w:rPr>
          <w:rFonts w:ascii="Calibri" w:hAnsi="Calibri"/>
          <w:color w:val="222222"/>
          <w:sz w:val="21"/>
        </w:rPr>
        <w:t>Tracks ABO/Rh transfusion units and logs ISO 15189 pre-analytical sample rejections.</w:t>
      </w:r>
    </w:p>
    <w:p>
      <w:pPr>
        <w:pStyle w:val="ListBullet"/>
        <w:spacing w:before="20" w:after="60" w:line="276" w:lineRule="auto"/>
      </w:pPr>
      <w:r>
        <w:rPr>
          <w:rFonts w:ascii="Calibri" w:hAnsi="Calibri"/>
          <w:b/>
          <w:color w:val="222222"/>
          <w:sz w:val="21"/>
        </w:rPr>
        <w:t xml:space="preserve">• Module 7: MOH 706 &amp; Workload Reports: </w:t>
      </w:r>
      <w:r>
        <w:rPr>
          <w:rFonts w:ascii="Calibri" w:hAnsi="Calibri"/>
          <w:color w:val="222222"/>
          <w:sz w:val="21"/>
        </w:rPr>
        <w:t>Generates instant monthly epidemiological reports and visual turnaround time analytics.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"We successfully engineered seven operational modules: First, RBAC authentication. Second, outpatient reception with barcode slip printing. Third, doctor CPOE ordering with clinical allergy alerts. Fourth, the laboratory bench with panic toasts and certified PDF generation. Fifth, cashless billing reconciling Government eCitizen Paybill 222222 payments. Sixth, blood bank crossmatching and ISO 15189 sample rejection QA. Finally, 1-click MOH 706 monthly reporting and managerial KPI analytics."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This is the heart of your project defense. Speak proudly about the 7 modules because they represent the complete working system.</w:t>
            </w:r>
          </w:p>
        </w:tc>
      </w:tr>
    </w:tbl>
    <w:p>
      <w:pPr>
        <w:spacing w:before="0" w:after="80"/>
      </w:pPr>
    </w:p>
    <w:p>
      <w:pPr>
        <w:spacing w:after="120"/>
      </w:pPr>
    </w:p>
    <w:p>
      <w:pPr>
        <w:keepNext/>
        <w:spacing w:before="240" w:after="80"/>
      </w:pPr>
      <w:r>
        <w:rPr>
          <w:rFonts w:ascii="Calibri" w:hAnsi="Calibri"/>
          <w:b/>
          <w:color w:val="0D9488"/>
          <w:sz w:val="26"/>
        </w:rPr>
        <w:t>Slide 18: Testing &amp; Operational Impact: Empirical Verification</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Present empirical proof that the system works and makes a measurable difference.</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14 Functional Test Cases: </w:t>
      </w:r>
      <w:r>
        <w:rPr>
          <w:rFonts w:ascii="Calibri" w:hAnsi="Calibri"/>
          <w:color w:val="222222"/>
          <w:sz w:val="21"/>
        </w:rPr>
        <w:t>100% Pass Rate across user authentication, duplicate OPD prevention, CPOE ordering, payment gatekeeping, CSRF defense, and database backup routines.</w:t>
      </w:r>
    </w:p>
    <w:p>
      <w:pPr>
        <w:pStyle w:val="ListBullet"/>
        <w:spacing w:before="20" w:after="60" w:line="276" w:lineRule="auto"/>
      </w:pPr>
      <w:r>
        <w:rPr>
          <w:rFonts w:ascii="Calibri" w:hAnsi="Calibri"/>
          <w:b/>
          <w:color w:val="222222"/>
          <w:sz w:val="21"/>
        </w:rPr>
        <w:t xml:space="preserve">• User Acceptance Testing (UAT): </w:t>
      </w:r>
      <w:r>
        <w:rPr>
          <w:rFonts w:ascii="Calibri" w:hAnsi="Calibri"/>
          <w:color w:val="222222"/>
          <w:sz w:val="21"/>
        </w:rPr>
        <w:t>Conducted with 8 hospital staff members representing all four roles; achieved an overall satisfaction rating of 4.6 out of 5.0.</w:t>
      </w:r>
    </w:p>
    <w:p>
      <w:pPr>
        <w:pStyle w:val="ListBullet"/>
        <w:spacing w:before="20" w:after="60" w:line="276" w:lineRule="auto"/>
      </w:pPr>
      <w:r>
        <w:rPr>
          <w:rFonts w:ascii="Calibri" w:hAnsi="Calibri"/>
          <w:b/>
          <w:color w:val="222222"/>
          <w:sz w:val="21"/>
        </w:rPr>
        <w:t xml:space="preserve">• Lost Slips Eliminated: </w:t>
      </w:r>
      <w:r>
        <w:rPr>
          <w:rFonts w:ascii="Calibri" w:hAnsi="Calibri"/>
          <w:color w:val="222222"/>
          <w:sz w:val="21"/>
        </w:rPr>
        <w:t>Reduced from ~12% lost slips per month to 0% through centralized electronic storage.</w:t>
      </w:r>
    </w:p>
    <w:p>
      <w:pPr>
        <w:pStyle w:val="ListBullet"/>
        <w:spacing w:before="20" w:after="60" w:line="276" w:lineRule="auto"/>
      </w:pPr>
      <w:r>
        <w:rPr>
          <w:rFonts w:ascii="Calibri" w:hAnsi="Calibri"/>
          <w:b/>
          <w:color w:val="222222"/>
          <w:sz w:val="21"/>
        </w:rPr>
        <w:t xml:space="preserve">• Transcription Errors Eliminated: </w:t>
      </w:r>
      <w:r>
        <w:rPr>
          <w:rFonts w:ascii="Calibri" w:hAnsi="Calibri"/>
          <w:color w:val="222222"/>
          <w:sz w:val="21"/>
        </w:rPr>
        <w:t>Completely eliminated due to computerized physician orders and validated reference inputs.</w:t>
      </w:r>
    </w:p>
    <w:p>
      <w:pPr>
        <w:pStyle w:val="ListBullet"/>
        <w:spacing w:before="20" w:after="60" w:line="276" w:lineRule="auto"/>
      </w:pPr>
      <w:r>
        <w:rPr>
          <w:rFonts w:ascii="Calibri" w:hAnsi="Calibri"/>
          <w:b/>
          <w:color w:val="222222"/>
          <w:sz w:val="21"/>
        </w:rPr>
        <w:t xml:space="preserve">• Reporting Overhead: </w:t>
      </w:r>
      <w:r>
        <w:rPr>
          <w:rFonts w:ascii="Calibri" w:hAnsi="Calibri"/>
          <w:color w:val="222222"/>
          <w:sz w:val="21"/>
        </w:rPr>
        <w:t>Monthly MOH 706 report compilation slashed from 2 full working days to a single instant click.</w:t>
      </w:r>
    </w:p>
    <w:p>
      <w:pPr>
        <w:pStyle w:val="ListBullet"/>
        <w:spacing w:before="20" w:after="60" w:line="276" w:lineRule="auto"/>
      </w:pPr>
      <w:r>
        <w:rPr>
          <w:rFonts w:ascii="Calibri" w:hAnsi="Calibri"/>
          <w:b/>
          <w:color w:val="222222"/>
          <w:sz w:val="21"/>
        </w:rPr>
        <w:t xml:space="preserve">• 100% Staff Endorsement: </w:t>
      </w:r>
      <w:r>
        <w:rPr>
          <w:rFonts w:ascii="Calibri" w:hAnsi="Calibri"/>
          <w:color w:val="222222"/>
          <w:sz w:val="21"/>
        </w:rPr>
        <w:t>Every single staff participant preferred the digital LIMS over manual paper registers.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"System validation combined functional verification and real-world evaluation. All 14 functional test cases achieved a 100% pass rate. User Acceptance Testing with eight active hospital staff yielded an overall satisfaction score of 4.6 out of 5.0. Empirically, lost result slips dropped from 12% to zero, transcription errors were eliminated, and compiling the monthly MOH report was reduced from two full working days to a single click. Most importantly, 100% of staff preferred the digital system."</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The 4.6/5.0 UAT rating and the drop from 2 days to 1 click are your strongest academic proof points. Emphasize them clearly.</w:t>
            </w:r>
          </w:p>
        </w:tc>
      </w:tr>
    </w:tbl>
    <w:p>
      <w:pPr>
        <w:spacing w:before="0" w:after="80"/>
      </w:pPr>
    </w:p>
    <w:p>
      <w:pPr>
        <w:spacing w:after="120"/>
      </w:pPr>
    </w:p>
    <w:p>
      <w:pPr>
        <w:keepNext/>
        <w:spacing w:before="240" w:after="80"/>
      </w:pPr>
      <w:r>
        <w:rPr>
          <w:rFonts w:ascii="Calibri" w:hAnsi="Calibri"/>
          <w:b/>
          <w:color w:val="0D9488"/>
          <w:sz w:val="26"/>
        </w:rPr>
        <w:t>Slide 19: Conclusions &amp; Recommendations: The Future Roadmap</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Summarize success, confirm operational status, and provide a clear future development roadmap.</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Project Success: </w:t>
      </w:r>
      <w:r>
        <w:rPr>
          <w:rFonts w:ascii="Calibri" w:hAnsi="Calibri"/>
          <w:color w:val="222222"/>
          <w:sz w:val="21"/>
        </w:rPr>
        <w:t>100% of general and specific objectives were fully designed, engineered, and evaluated.</w:t>
      </w:r>
    </w:p>
    <w:p>
      <w:pPr>
        <w:pStyle w:val="ListBullet"/>
        <w:spacing w:before="20" w:after="60" w:line="276" w:lineRule="auto"/>
      </w:pPr>
      <w:r>
        <w:rPr>
          <w:rFonts w:ascii="Calibri" w:hAnsi="Calibri"/>
          <w:b/>
          <w:color w:val="222222"/>
          <w:sz w:val="21"/>
        </w:rPr>
        <w:t xml:space="preserve">• Current Status: </w:t>
      </w:r>
      <w:r>
        <w:rPr>
          <w:rFonts w:ascii="Calibri" w:hAnsi="Calibri"/>
          <w:color w:val="222222"/>
          <w:sz w:val="21"/>
        </w:rPr>
        <w:t>System is fully operational and deployed on the host computer at Yala Sub-County Hospital.</w:t>
      </w:r>
    </w:p>
    <w:p>
      <w:pPr>
        <w:pStyle w:val="ListBullet"/>
        <w:spacing w:before="20" w:after="60" w:line="276" w:lineRule="auto"/>
      </w:pPr>
      <w:r>
        <w:rPr>
          <w:rFonts w:ascii="Calibri" w:hAnsi="Calibri"/>
          <w:b/>
          <w:color w:val="222222"/>
          <w:sz w:val="21"/>
        </w:rPr>
        <w:t xml:space="preserve">• Recommendation 1 (Phase 2): </w:t>
      </w:r>
      <w:r>
        <w:rPr>
          <w:rFonts w:ascii="Calibri" w:hAnsi="Calibri"/>
          <w:color w:val="222222"/>
          <w:sz w:val="21"/>
        </w:rPr>
        <w:t>Direct RS-232 / HL7 serial driver interfacing with clinical chemistry and hematology analyzers.</w:t>
      </w:r>
    </w:p>
    <w:p>
      <w:pPr>
        <w:pStyle w:val="ListBullet"/>
        <w:spacing w:before="20" w:after="60" w:line="276" w:lineRule="auto"/>
      </w:pPr>
      <w:r>
        <w:rPr>
          <w:rFonts w:ascii="Calibri" w:hAnsi="Calibri"/>
          <w:b/>
          <w:color w:val="222222"/>
          <w:sz w:val="21"/>
        </w:rPr>
        <w:t xml:space="preserve">• Recommendation 2 (Phase 3): </w:t>
      </w:r>
      <w:r>
        <w:rPr>
          <w:rFonts w:ascii="Calibri" w:hAnsi="Calibri"/>
          <w:color w:val="222222"/>
          <w:sz w:val="21"/>
        </w:rPr>
        <w:t>Automated REST API push into Kenya's national DHIS2 / KHIS epidemiological cloud.</w:t>
      </w:r>
    </w:p>
    <w:p>
      <w:pPr>
        <w:pStyle w:val="ListBullet"/>
        <w:spacing w:before="20" w:after="60" w:line="276" w:lineRule="auto"/>
      </w:pPr>
      <w:r>
        <w:rPr>
          <w:rFonts w:ascii="Calibri" w:hAnsi="Calibri"/>
          <w:b/>
          <w:color w:val="222222"/>
          <w:sz w:val="21"/>
        </w:rPr>
        <w:t xml:space="preserve">• Recommendation 3 (County Scale-Up): </w:t>
      </w:r>
      <w:r>
        <w:rPr>
          <w:rFonts w:ascii="Calibri" w:hAnsi="Calibri"/>
          <w:color w:val="222222"/>
          <w:sz w:val="21"/>
        </w:rPr>
        <w:t>Replicating the Yala LIMS codebase across all Level 4 sub-county facilities in Siaya County.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"In conclusion, 100% of our project objectives were successfully achieved. The system is operational and deployed at Yala Sub-County Hospital. For future work, we recommend Phase 2 direct serial machine interfacing, Phase 3 automated cloud integration with Kenya's national DHIS2 platform, and scaling this open-source architecture across neighboring sub-county hospitals in Siaya County."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Examiners always want to know: 'What next?' Having a clear 3-phase roadmap shows maturity and vision.</w:t>
            </w:r>
          </w:p>
        </w:tc>
      </w:tr>
    </w:tbl>
    <w:p>
      <w:pPr>
        <w:spacing w:before="0" w:after="80"/>
      </w:pPr>
    </w:p>
    <w:p>
      <w:pPr>
        <w:spacing w:after="120"/>
      </w:pPr>
    </w:p>
    <w:p>
      <w:pPr>
        <w:keepNext/>
        <w:spacing w:before="240" w:after="80"/>
      </w:pPr>
      <w:r>
        <w:rPr>
          <w:rFonts w:ascii="Calibri" w:hAnsi="Calibri"/>
          <w:b/>
          <w:color w:val="0D9488"/>
          <w:sz w:val="26"/>
        </w:rPr>
        <w:t>Slide 20: References: Academic Grounding</w:t>
      </w:r>
    </w:p>
    <w:p>
      <w:pPr>
        <w:spacing w:before="0" w:after="80" w:line="276" w:lineRule="auto"/>
      </w:pPr>
      <w:r>
        <w:rPr>
          <w:rFonts w:ascii="Calibri" w:hAnsi="Calibri"/>
          <w:b/>
          <w:color w:val="003366"/>
          <w:sz w:val="21"/>
        </w:rPr>
        <w:t xml:space="preserve">Purpose of this Slide: </w:t>
      </w:r>
      <w:r>
        <w:rPr>
          <w:rFonts w:ascii="Calibri" w:hAnsi="Calibri"/>
          <w:color w:val="222222"/>
          <w:sz w:val="21"/>
        </w:rPr>
        <w:t>Show academic grounding in Kenyan policy, WHO standards, and software engineering literature.</w:t>
      </w:r>
    </w:p>
    <w:p>
      <w:pPr>
        <w:keepNext/>
        <w:spacing w:before="160" w:after="40"/>
      </w:pPr>
      <w:r>
        <w:rPr>
          <w:rFonts w:ascii="Calibri" w:hAnsi="Calibri"/>
          <w:b/>
          <w:color w:val="222222"/>
          <w:sz w:val="22"/>
        </w:rPr>
        <w:t>Detailed Content Breakdown &amp; Rationale:</w:t>
      </w:r>
    </w:p>
    <w:p>
      <w:pPr>
        <w:pStyle w:val="ListBullet"/>
        <w:spacing w:before="20" w:after="60" w:line="276" w:lineRule="auto"/>
      </w:pPr>
      <w:r>
        <w:rPr>
          <w:rFonts w:ascii="Calibri" w:hAnsi="Calibri"/>
          <w:b/>
          <w:color w:val="222222"/>
          <w:sz w:val="21"/>
        </w:rPr>
        <w:t xml:space="preserve">• Kenya eHealth Policy (2016-2030) &amp; Data Protection Act 2019: </w:t>
      </w:r>
      <w:r>
        <w:rPr>
          <w:rFonts w:ascii="Calibri" w:hAnsi="Calibri"/>
          <w:color w:val="222222"/>
          <w:sz w:val="21"/>
        </w:rPr>
        <w:t>National legal and regulatory framework.</w:t>
      </w:r>
    </w:p>
    <w:p>
      <w:pPr>
        <w:pStyle w:val="ListBullet"/>
        <w:spacing w:before="20" w:after="60" w:line="276" w:lineRule="auto"/>
      </w:pPr>
      <w:r>
        <w:rPr>
          <w:rFonts w:ascii="Calibri" w:hAnsi="Calibri"/>
          <w:b/>
          <w:color w:val="222222"/>
          <w:sz w:val="21"/>
        </w:rPr>
        <w:t xml:space="preserve">• Ministry of Health Kenya SOPs for Laboratory Services: </w:t>
      </w:r>
      <w:r>
        <w:rPr>
          <w:rFonts w:ascii="Calibri" w:hAnsi="Calibri"/>
          <w:color w:val="222222"/>
          <w:sz w:val="21"/>
        </w:rPr>
        <w:t>Standard operating procedures governing clinical laboratory workflows.</w:t>
      </w:r>
    </w:p>
    <w:p>
      <w:pPr>
        <w:pStyle w:val="ListBullet"/>
        <w:spacing w:before="20" w:after="60" w:line="276" w:lineRule="auto"/>
      </w:pPr>
      <w:r>
        <w:rPr>
          <w:rFonts w:ascii="Calibri" w:hAnsi="Calibri"/>
          <w:b/>
          <w:color w:val="222222"/>
          <w:sz w:val="21"/>
        </w:rPr>
        <w:t xml:space="preserve">• WHO Digital Health Intervention Frameworks (2021): </w:t>
      </w:r>
      <w:r>
        <w:rPr>
          <w:rFonts w:ascii="Calibri" w:hAnsi="Calibri"/>
          <w:color w:val="222222"/>
          <w:sz w:val="21"/>
        </w:rPr>
        <w:t>International guidelines for digital health systems.</w:t>
      </w:r>
    </w:p>
    <w:p>
      <w:pPr>
        <w:pStyle w:val="ListBullet"/>
        <w:spacing w:before="20" w:after="60" w:line="276" w:lineRule="auto"/>
      </w:pPr>
      <w:r>
        <w:rPr>
          <w:rFonts w:ascii="Calibri" w:hAnsi="Calibri"/>
          <w:b/>
          <w:color w:val="222222"/>
          <w:sz w:val="21"/>
        </w:rPr>
        <w:t xml:space="preserve">• ISO 15189:2022 Medical Laboratories: </w:t>
      </w:r>
      <w:r>
        <w:rPr>
          <w:rFonts w:ascii="Calibri" w:hAnsi="Calibri"/>
          <w:color w:val="222222"/>
          <w:sz w:val="21"/>
        </w:rPr>
        <w:t>International standard for quality and competence in medical laboratories.</w:t>
      </w:r>
    </w:p>
    <w:p>
      <w:pPr>
        <w:pStyle w:val="ListBullet"/>
        <w:spacing w:before="20" w:after="60" w:line="276" w:lineRule="auto"/>
      </w:pPr>
      <w:r>
        <w:rPr>
          <w:rFonts w:ascii="Calibri" w:hAnsi="Calibri"/>
          <w:b/>
          <w:color w:val="222222"/>
          <w:sz w:val="21"/>
        </w:rPr>
        <w:t xml:space="preserve">• Pressman &amp; Sommerville Software Engineering: </w:t>
      </w:r>
      <w:r>
        <w:rPr>
          <w:rFonts w:ascii="Calibri" w:hAnsi="Calibri"/>
          <w:color w:val="222222"/>
          <w:sz w:val="21"/>
        </w:rPr>
        <w:t>Standard textbook authorities on software engineering methodologies.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What to Say to the Panel (Word-for-Word Script):</w:t>
              <w:br/>
            </w:r>
            <w:r>
              <w:rPr>
                <w:rFonts w:ascii="Calibri" w:hAnsi="Calibri"/>
                <w:i/>
                <w:color w:val="222222"/>
                <w:sz w:val="21"/>
              </w:rPr>
              <w:t>"Our research is grounded in recognized academic literature, Ministry of Health laboratory operating procedures, Kenya's Data Protection Act 2019, and ISO 15189 standards for medical laboratory quality. Thank you for your time and attention. I now welcome questions, comments, and critique from the examining panel."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Calibri" w:hAnsi="Calibri"/>
                <w:b/>
                <w:color w:val="003366"/>
                <w:sz w:val="22"/>
              </w:rPr>
              <w:t>Examiner Insight (What Panel Looks For):</w:t>
              <w:br/>
            </w:r>
            <w:r>
              <w:rPr>
                <w:rFonts w:ascii="Calibri" w:hAnsi="Calibri"/>
                <w:i/>
                <w:color w:val="222222"/>
                <w:sz w:val="21"/>
              </w:rPr>
              <w:t>Close with confidence and humility: 'I now welcome questions, comments, and critique from the examining panel.'</w:t>
            </w:r>
          </w:p>
        </w:tc>
      </w:tr>
    </w:tbl>
    <w:p>
      <w:pPr>
        <w:spacing w:before="0" w:after="80"/>
      </w:pPr>
    </w:p>
    <w:p>
      <w:pPr>
        <w:spacing w:after="120"/>
      </w:pPr>
    </w:p>
    <w:p>
      <w:r>
        <w:br w:type="page"/>
      </w:r>
    </w:p>
    <w:p>
      <w:pPr>
        <w:keepNext/>
        <w:spacing w:before="360" w:after="160"/>
      </w:pPr>
      <w:r>
        <w:rPr>
          <w:rFonts w:ascii="Calibri" w:hAnsi="Calibri"/>
          <w:b/>
          <w:color w:val="003366"/>
          <w:sz w:val="32"/>
        </w:rPr>
        <w:t>3. PROJECT A (PROPOSAL) VS. PROJECT B (FINAL DEFENSE) MAPPING</w:t>
      </w:r>
    </w:p>
    <w:p>
      <w:pPr>
        <w:spacing w:before="0" w:after="80" w:line="276" w:lineRule="auto"/>
      </w:pPr>
      <w:r>
        <w:rPr>
          <w:rFonts w:ascii="Calibri" w:hAnsi="Calibri"/>
          <w:color w:val="222222"/>
          <w:sz w:val="21"/>
        </w:rPr>
        <w:t>Understanding how the two presentation decks relate to each other will keep you calm regardless of which defense session you are preparing for:</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100" w:type="dxa"/>
              <w:bottom w:w="100" w:type="dxa"/>
              <w:left w:w="100" w:type="dxa"/>
              <w:right w:w="100" w:type="dxa"/>
            </w:tcMar>
          </w:tcPr>
          <w:p>
            <w:r>
              <w:rPr>
                <w:rFonts w:ascii="Calibri" w:hAnsi="Calibri"/>
                <w:b/>
                <w:color w:val="FFFFFF"/>
                <w:sz w:val="20"/>
              </w:rPr>
              <w:t>Dimension / Aspect</w:t>
            </w:r>
          </w:p>
        </w:tc>
        <w:tc>
          <w:tcPr>
            <w:tcW w:type="dxa" w:w="3120"/>
            <w:shd w:fill="003366"/>
            <w:tcMar>
              <w:top w:w="100" w:type="dxa"/>
              <w:bottom w:w="100" w:type="dxa"/>
              <w:left w:w="100" w:type="dxa"/>
              <w:right w:w="100" w:type="dxa"/>
            </w:tcMar>
          </w:tcPr>
          <w:p>
            <w:r>
              <w:rPr>
                <w:rFonts w:ascii="Calibri" w:hAnsi="Calibri"/>
                <w:b/>
                <w:color w:val="FFFFFF"/>
                <w:sz w:val="20"/>
              </w:rPr>
              <w:t>Project A Presentation (16 Slides)</w:t>
            </w:r>
          </w:p>
        </w:tc>
        <w:tc>
          <w:tcPr>
            <w:tcW w:type="dxa" w:w="3120"/>
            <w:shd w:fill="003366"/>
            <w:tcMar>
              <w:top w:w="100" w:type="dxa"/>
              <w:bottom w:w="100" w:type="dxa"/>
              <w:left w:w="100" w:type="dxa"/>
              <w:right w:w="100" w:type="dxa"/>
            </w:tcMar>
          </w:tcPr>
          <w:p>
            <w:r>
              <w:rPr>
                <w:rFonts w:ascii="Calibri" w:hAnsi="Calibri"/>
                <w:b/>
                <w:color w:val="FFFFFF"/>
                <w:sz w:val="20"/>
              </w:rPr>
              <w:t>Project B Final Defense (20 Slides)</w:t>
            </w:r>
          </w:p>
        </w:tc>
      </w:tr>
      <w:tr>
        <w:tc>
          <w:tcPr>
            <w:tcW w:type="dxa" w:w="3120"/>
            <w:shd w:fill="F1F5F9"/>
            <w:tcMar>
              <w:top w:w="80" w:type="dxa"/>
              <w:bottom w:w="80" w:type="dxa"/>
              <w:left w:w="100" w:type="dxa"/>
              <w:right w:w="100" w:type="dxa"/>
            </w:tcMar>
          </w:tcPr>
          <w:p>
            <w:r>
              <w:rPr>
                <w:rFonts w:ascii="Calibri" w:hAnsi="Calibri"/>
                <w:color w:val="222222"/>
                <w:sz w:val="19"/>
              </w:rPr>
              <w:t>Primary Academic Purpose</w:t>
            </w:r>
          </w:p>
        </w:tc>
        <w:tc>
          <w:tcPr>
            <w:tcW w:type="dxa" w:w="3120"/>
            <w:shd w:fill="F1F5F9"/>
            <w:tcMar>
              <w:top w:w="80" w:type="dxa"/>
              <w:bottom w:w="80" w:type="dxa"/>
              <w:left w:w="100" w:type="dxa"/>
              <w:right w:w="100" w:type="dxa"/>
            </w:tcMar>
          </w:tcPr>
          <w:p>
            <w:r>
              <w:rPr>
                <w:rFonts w:ascii="Calibri" w:hAnsi="Calibri"/>
                <w:color w:val="222222"/>
                <w:sz w:val="19"/>
              </w:rPr>
              <w:t>Preliminary Proposal defense: proving the problem is real, the project is feasible, and the plan is sound.</w:t>
            </w:r>
          </w:p>
        </w:tc>
        <w:tc>
          <w:tcPr>
            <w:tcW w:type="dxa" w:w="3120"/>
            <w:shd w:fill="F1F5F9"/>
            <w:tcMar>
              <w:top w:w="80" w:type="dxa"/>
              <w:bottom w:w="80" w:type="dxa"/>
              <w:left w:w="100" w:type="dxa"/>
              <w:right w:w="100" w:type="dxa"/>
            </w:tcMar>
          </w:tcPr>
          <w:p>
            <w:r>
              <w:rPr>
                <w:rFonts w:ascii="Calibri" w:hAnsi="Calibri"/>
                <w:color w:val="222222"/>
                <w:sz w:val="19"/>
              </w:rPr>
              <w:t>Final Project defense: proving the system was successfully engineered, tested, and evaluated in the real hospital.</w:t>
            </w:r>
          </w:p>
        </w:tc>
      </w:tr>
      <w:tr>
        <w:tc>
          <w:tcPr>
            <w:tcW w:type="dxa" w:w="3120"/>
            <w:shd w:fill="FFFFFF"/>
            <w:tcMar>
              <w:top w:w="80" w:type="dxa"/>
              <w:bottom w:w="80" w:type="dxa"/>
              <w:left w:w="100" w:type="dxa"/>
              <w:right w:w="100" w:type="dxa"/>
            </w:tcMar>
          </w:tcPr>
          <w:p>
            <w:r>
              <w:rPr>
                <w:rFonts w:ascii="Calibri" w:hAnsi="Calibri"/>
                <w:color w:val="222222"/>
                <w:sz w:val="19"/>
              </w:rPr>
              <w:t>Core Focus Areas</w:t>
            </w:r>
          </w:p>
        </w:tc>
        <w:tc>
          <w:tcPr>
            <w:tcW w:type="dxa" w:w="3120"/>
            <w:shd w:fill="FFFFFF"/>
            <w:tcMar>
              <w:top w:w="80" w:type="dxa"/>
              <w:bottom w:w="80" w:type="dxa"/>
              <w:left w:w="100" w:type="dxa"/>
              <w:right w:w="100" w:type="dxa"/>
            </w:tcMar>
          </w:tcPr>
          <w:p>
            <w:r>
              <w:rPr>
                <w:rFonts w:ascii="Calibri" w:hAnsi="Calibri"/>
                <w:color w:val="222222"/>
                <w:sz w:val="19"/>
              </w:rPr>
              <w:t>Problem statement, objectives, schedule, budget, feasibility study, and requirements modeling.</w:t>
            </w:r>
          </w:p>
        </w:tc>
        <w:tc>
          <w:tcPr>
            <w:tcW w:type="dxa" w:w="3120"/>
            <w:shd w:fill="FFFFFF"/>
            <w:tcMar>
              <w:top w:w="80" w:type="dxa"/>
              <w:bottom w:w="80" w:type="dxa"/>
              <w:left w:w="100" w:type="dxa"/>
              <w:right w:w="100" w:type="dxa"/>
            </w:tcMar>
          </w:tcPr>
          <w:p>
            <w:r>
              <w:rPr>
                <w:rFonts w:ascii="Calibri" w:hAnsi="Calibri"/>
                <w:color w:val="222222"/>
                <w:sz w:val="19"/>
              </w:rPr>
              <w:t>All of Project A PLUS system architecture, 12-table database schema, 7 core modules, 14 test cases, UAT results, and live demo.</w:t>
            </w:r>
          </w:p>
        </w:tc>
      </w:tr>
      <w:tr>
        <w:tc>
          <w:tcPr>
            <w:tcW w:type="dxa" w:w="3120"/>
            <w:shd w:fill="F1F5F9"/>
            <w:tcMar>
              <w:top w:w="80" w:type="dxa"/>
              <w:bottom w:w="80" w:type="dxa"/>
              <w:left w:w="100" w:type="dxa"/>
              <w:right w:w="100" w:type="dxa"/>
            </w:tcMar>
          </w:tcPr>
          <w:p>
            <w:r>
              <w:rPr>
                <w:rFonts w:ascii="Calibri" w:hAnsi="Calibri"/>
                <w:color w:val="222222"/>
                <w:sz w:val="19"/>
              </w:rPr>
              <w:t>Tense / Framing</w:t>
            </w:r>
          </w:p>
        </w:tc>
        <w:tc>
          <w:tcPr>
            <w:tcW w:type="dxa" w:w="3120"/>
            <w:shd w:fill="F1F5F9"/>
            <w:tcMar>
              <w:top w:w="80" w:type="dxa"/>
              <w:bottom w:w="80" w:type="dxa"/>
              <w:left w:w="100" w:type="dxa"/>
              <w:right w:w="100" w:type="dxa"/>
            </w:tcMar>
          </w:tcPr>
          <w:p>
            <w:r>
              <w:rPr>
                <w:rFonts w:ascii="Calibri" w:hAnsi="Calibri"/>
                <w:color w:val="222222"/>
                <w:sz w:val="19"/>
              </w:rPr>
              <w:t>Future &amp; Intentional ('We will investigate', 'The proposed system will implement...')</w:t>
            </w:r>
          </w:p>
        </w:tc>
        <w:tc>
          <w:tcPr>
            <w:tcW w:type="dxa" w:w="3120"/>
            <w:shd w:fill="F1F5F9"/>
            <w:tcMar>
              <w:top w:w="80" w:type="dxa"/>
              <w:bottom w:w="80" w:type="dxa"/>
              <w:left w:w="100" w:type="dxa"/>
              <w:right w:w="100" w:type="dxa"/>
            </w:tcMar>
          </w:tcPr>
          <w:p>
            <w:r>
              <w:rPr>
                <w:rFonts w:ascii="Calibri" w:hAnsi="Calibri"/>
                <w:color w:val="222222"/>
                <w:sz w:val="19"/>
              </w:rPr>
              <w:t>Past &amp; Accomplished ('We investigated', 'The system successfully implemented and verified...')</w:t>
            </w:r>
          </w:p>
        </w:tc>
      </w:tr>
      <w:tr>
        <w:tc>
          <w:tcPr>
            <w:tcW w:type="dxa" w:w="3120"/>
            <w:shd w:fill="FFFFFF"/>
            <w:tcMar>
              <w:top w:w="80" w:type="dxa"/>
              <w:bottom w:w="80" w:type="dxa"/>
              <w:left w:w="100" w:type="dxa"/>
              <w:right w:w="100" w:type="dxa"/>
            </w:tcMar>
          </w:tcPr>
          <w:p>
            <w:r>
              <w:rPr>
                <w:rFonts w:ascii="Calibri" w:hAnsi="Calibri"/>
                <w:color w:val="222222"/>
                <w:sz w:val="19"/>
              </w:rPr>
              <w:t>Slide Count</w:t>
            </w:r>
          </w:p>
        </w:tc>
        <w:tc>
          <w:tcPr>
            <w:tcW w:type="dxa" w:w="3120"/>
            <w:shd w:fill="FFFFFF"/>
            <w:tcMar>
              <w:top w:w="80" w:type="dxa"/>
              <w:bottom w:w="80" w:type="dxa"/>
              <w:left w:w="100" w:type="dxa"/>
              <w:right w:w="100" w:type="dxa"/>
            </w:tcMar>
          </w:tcPr>
          <w:p>
            <w:r>
              <w:rPr>
                <w:rFonts w:ascii="Calibri" w:hAnsi="Calibri"/>
                <w:color w:val="222222"/>
                <w:sz w:val="19"/>
              </w:rPr>
              <w:t>16 Slides (Ending at Requirements Modeling &amp; References).</w:t>
            </w:r>
          </w:p>
        </w:tc>
        <w:tc>
          <w:tcPr>
            <w:tcW w:type="dxa" w:w="3120"/>
            <w:shd w:fill="FFFFFF"/>
            <w:tcMar>
              <w:top w:w="80" w:type="dxa"/>
              <w:bottom w:w="80" w:type="dxa"/>
              <w:left w:w="100" w:type="dxa"/>
              <w:right w:w="100" w:type="dxa"/>
            </w:tcMar>
          </w:tcPr>
          <w:p>
            <w:r>
              <w:rPr>
                <w:rFonts w:ascii="Calibri" w:hAnsi="Calibri"/>
                <w:color w:val="222222"/>
                <w:sz w:val="19"/>
              </w:rPr>
              <w:t>20 Slides (Adding Architecture, Schema, Modules, Testing/Impact, Conclusions).</w:t>
            </w:r>
          </w:p>
        </w:tc>
      </w:tr>
      <w:tr>
        <w:tc>
          <w:tcPr>
            <w:tcW w:type="dxa" w:w="3120"/>
            <w:shd w:fill="F1F5F9"/>
            <w:tcMar>
              <w:top w:w="80" w:type="dxa"/>
              <w:bottom w:w="80" w:type="dxa"/>
              <w:left w:w="100" w:type="dxa"/>
              <w:right w:w="100" w:type="dxa"/>
            </w:tcMar>
          </w:tcPr>
          <w:p>
            <w:r>
              <w:rPr>
                <w:rFonts w:ascii="Calibri" w:hAnsi="Calibri"/>
                <w:color w:val="222222"/>
                <w:sz w:val="19"/>
              </w:rPr>
              <w:t>System Demonstration</w:t>
            </w:r>
          </w:p>
        </w:tc>
        <w:tc>
          <w:tcPr>
            <w:tcW w:type="dxa" w:w="3120"/>
            <w:shd w:fill="F1F5F9"/>
            <w:tcMar>
              <w:top w:w="80" w:type="dxa"/>
              <w:bottom w:w="80" w:type="dxa"/>
              <w:left w:w="100" w:type="dxa"/>
              <w:right w:w="100" w:type="dxa"/>
            </w:tcMar>
          </w:tcPr>
          <w:p>
            <w:r>
              <w:rPr>
                <w:rFonts w:ascii="Calibri" w:hAnsi="Calibri"/>
                <w:color w:val="222222"/>
                <w:sz w:val="19"/>
              </w:rPr>
              <w:t>Wireframes, UI mockups, or conceptual diagrams.</w:t>
            </w:r>
          </w:p>
        </w:tc>
        <w:tc>
          <w:tcPr>
            <w:tcW w:type="dxa" w:w="3120"/>
            <w:shd w:fill="F1F5F9"/>
            <w:tcMar>
              <w:top w:w="80" w:type="dxa"/>
              <w:bottom w:w="80" w:type="dxa"/>
              <w:left w:w="100" w:type="dxa"/>
              <w:right w:w="100" w:type="dxa"/>
            </w:tcMar>
          </w:tcPr>
          <w:p>
            <w:r>
              <w:rPr>
                <w:rFonts w:ascii="Calibri" w:hAnsi="Calibri"/>
                <w:color w:val="222222"/>
                <w:sz w:val="19"/>
              </w:rPr>
              <w:t>Full, live, 5-role clinical workflow execution on working software.</w:t>
            </w:r>
          </w:p>
        </w:tc>
      </w:tr>
    </w:tbl>
    <w:p>
      <w:r>
        <w:br w:type="page"/>
      </w:r>
    </w:p>
    <w:p>
      <w:pPr>
        <w:keepNext/>
        <w:spacing w:before="360" w:after="160"/>
      </w:pPr>
      <w:r>
        <w:rPr>
          <w:rFonts w:ascii="Calibri" w:hAnsi="Calibri"/>
          <w:b/>
          <w:color w:val="003366"/>
          <w:sz w:val="32"/>
        </w:rPr>
        <w:t>4. LIVE DEMONSTRATION SCRIPT: 'THE 5-STEP GOLDEN THREAD'</w:t>
      </w:r>
    </w:p>
    <w:p>
      <w:pPr>
        <w:spacing w:before="0" w:after="80" w:line="276" w:lineRule="auto"/>
      </w:pPr>
      <w:r>
        <w:rPr>
          <w:rFonts w:ascii="Calibri" w:hAnsi="Calibri"/>
          <w:color w:val="222222"/>
          <w:sz w:val="21"/>
        </w:rPr>
        <w:t>When the examiners say: 'Collins, can you show us the working system?', do NOT click around randomly. Follow this exact 5-step role sequence to demonstrate the complete clinical and financial lifecycle smoothly:</w:t>
      </w:r>
    </w:p>
    <w:p>
      <w:pPr>
        <w:keepNext/>
        <w:spacing w:before="240" w:after="80"/>
      </w:pPr>
      <w:r>
        <w:rPr>
          <w:rFonts w:ascii="Calibri" w:hAnsi="Calibri"/>
          <w:b/>
          <w:color w:val="0D9488"/>
          <w:sz w:val="26"/>
        </w:rPr>
        <w:t>Step 1: Reception Desk (add_patient.php)</w:t>
      </w:r>
    </w:p>
    <w:p>
      <w:pPr>
        <w:spacing w:before="0" w:after="80" w:line="276" w:lineRule="auto"/>
      </w:pPr>
      <w:r>
        <w:rPr>
          <w:rFonts w:ascii="Calibri" w:hAnsi="Calibri"/>
          <w:color w:val="222222"/>
          <w:sz w:val="21"/>
        </w:rPr>
        <w:t>Login as Receptionist (e.g., tyrese / Gilbert). Register patient Peter Onyango. Show generation of OPD-2026-003 and print the A5 routing slip with Code128 barcode. Point out bulk CSV import capability for digitizing legacy paper records.</w:t>
      </w:r>
    </w:p>
    <w:p>
      <w:pPr>
        <w:keepNext/>
        <w:spacing w:before="240" w:after="80"/>
      </w:pPr>
      <w:r>
        <w:rPr>
          <w:rFonts w:ascii="Calibri" w:hAnsi="Calibri"/>
          <w:b/>
          <w:color w:val="0D9488"/>
          <w:sz w:val="26"/>
        </w:rPr>
        <w:t>Step 2: Doctor's Consultation (request_test.php)</w:t>
      </w:r>
    </w:p>
    <w:p>
      <w:pPr>
        <w:spacing w:before="0" w:after="80" w:line="276" w:lineRule="auto"/>
      </w:pPr>
      <w:r>
        <w:rPr>
          <w:rFonts w:ascii="Calibri" w:hAnsi="Calibri"/>
          <w:color w:val="222222"/>
          <w:sz w:val="21"/>
        </w:rPr>
        <w:t>Login as Doctor (Dr. Vincent). Search patient OPD-2026-003. Point out the red Clinical Allergy Alert Banner: 'Severe Penicillin Allergy'. Order two tests: Malaria BS and Urinalysis. Show real-time cost calculation ticker and submit the order.</w:t>
      </w:r>
    </w:p>
    <w:p>
      <w:pPr>
        <w:keepNext/>
        <w:spacing w:before="240" w:after="80"/>
      </w:pPr>
      <w:r>
        <w:rPr>
          <w:rFonts w:ascii="Calibri" w:hAnsi="Calibri"/>
          <w:b/>
          <w:color w:val="0D9488"/>
          <w:sz w:val="26"/>
        </w:rPr>
        <w:t>Step 3: Cashier / eCitizen Billing (billing.php)</w:t>
      </w:r>
    </w:p>
    <w:p>
      <w:pPr>
        <w:spacing w:before="0" w:after="80" w:line="276" w:lineRule="auto"/>
      </w:pPr>
      <w:r>
        <w:rPr>
          <w:rFonts w:ascii="Calibri" w:hAnsi="Calibri"/>
          <w:color w:val="222222"/>
          <w:sz w:val="21"/>
        </w:rPr>
        <w:t>Login as Cashier. Locate pending bill for Peter Onyango. Settle bill via Government eCitizen Paybill 222222 with transaction ref (e.g., QG82X991A1). Print the A5 revenue receipt. Point out that paid tests are automatically unlocked for the lab.</w:t>
      </w:r>
    </w:p>
    <w:p>
      <w:pPr>
        <w:keepNext/>
        <w:spacing w:before="240" w:after="80"/>
      </w:pPr>
      <w:r>
        <w:rPr>
          <w:rFonts w:ascii="Calibri" w:hAnsi="Calibri"/>
          <w:b/>
          <w:color w:val="0D9488"/>
          <w:sz w:val="26"/>
        </w:rPr>
        <w:t>Step 4: Laboratory Testing Bench (enter_results.php)</w:t>
      </w:r>
    </w:p>
    <w:p>
      <w:pPr>
        <w:spacing w:before="0" w:after="80" w:line="276" w:lineRule="auto"/>
      </w:pPr>
      <w:r>
        <w:rPr>
          <w:rFonts w:ascii="Calibri" w:hAnsi="Calibri"/>
          <w:color w:val="222222"/>
          <w:sz w:val="21"/>
        </w:rPr>
        <w:t>Login as Lab Tech (Jawino / Halima). Show the accessioning queue. Notice the unlocked test request. Enter diagnostic findings (Malaria: Negative, Urinalysis: Normal). Point out automatic reference ranges and panic thresholds. Click Save and generate the certified FPDF laboratory report with signature block.</w:t>
      </w:r>
    </w:p>
    <w:p>
      <w:pPr>
        <w:keepNext/>
        <w:spacing w:before="240" w:after="80"/>
      </w:pPr>
      <w:r>
        <w:rPr>
          <w:rFonts w:ascii="Calibri" w:hAnsi="Calibri"/>
          <w:b/>
          <w:color w:val="0D9488"/>
          <w:sz w:val="26"/>
        </w:rPr>
        <w:t>Step 5: Admin Console &amp; Audit Log (dashboard.php &amp; audit_view.php)</w:t>
      </w:r>
    </w:p>
    <w:p>
      <w:pPr>
        <w:spacing w:before="0" w:after="80" w:line="276" w:lineRule="auto"/>
      </w:pPr>
      <w:r>
        <w:rPr>
          <w:rFonts w:ascii="Calibri" w:hAnsi="Calibri"/>
          <w:color w:val="222222"/>
          <w:sz w:val="21"/>
        </w:rPr>
        <w:t>Login as Admin. Show the real-time managerial dashboard with Chart.js workload trends and revenue metrics. Navigate to the Audit Log to show that every single click across all 4 previous steps was recorded with user ID, role, client IP, and exact timestamp.</w:t>
      </w:r>
    </w:p>
    <w:p>
      <w:r>
        <w:br w:type="page"/>
      </w:r>
    </w:p>
    <w:p>
      <w:pPr>
        <w:keepNext/>
        <w:spacing w:before="360" w:after="160"/>
      </w:pPr>
      <w:r>
        <w:rPr>
          <w:rFonts w:ascii="Calibri" w:hAnsi="Calibri"/>
          <w:b/>
          <w:color w:val="003366"/>
          <w:sz w:val="32"/>
        </w:rPr>
        <w:t>5. DEFENSE ARMOR: 10 TOUGH EXAMINER QUESTIONS &amp; WINNING ANSWERS</w:t>
      </w:r>
    </w:p>
    <w:p>
      <w:pPr>
        <w:keepNext/>
        <w:spacing w:before="240" w:after="80"/>
      </w:pPr>
      <w:r>
        <w:rPr>
          <w:rFonts w:ascii="Calibri" w:hAnsi="Calibri"/>
          <w:b/>
          <w:color w:val="0D9488"/>
          <w:sz w:val="26"/>
        </w:rPr>
        <w:t>Q1: Why did you choose procedural PHP instead of a modern framework like Laravel or Django?</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We evaluated Laravel and Django against the operational constraints of a rural Level 4 public hospital. Laravel has heavier server memory requirements, complex composer dependencies, and requires specialized developer skills to maintain. In public healthcare facilities across Kenya, hospital health records and IT personnel typically possess foundational PHP and MySQL skills. By writing clean, modular procedural PHP 8.2 using parameterized MySQLi prepared statements, we achieved sub-second page loads on standard hardware, zero framework overhead, and ensured that local hospital personnel can maintain the codebase long-term without expensive software consultants.</w:t>
            </w:r>
          </w:p>
        </w:tc>
      </w:tr>
    </w:tbl>
    <w:p>
      <w:pPr>
        <w:spacing w:before="0" w:after="80"/>
      </w:pPr>
    </w:p>
    <w:p>
      <w:pPr>
        <w:spacing w:after="80"/>
      </w:pPr>
    </w:p>
    <w:p>
      <w:pPr>
        <w:keepNext/>
        <w:spacing w:before="240" w:after="80"/>
      </w:pPr>
      <w:r>
        <w:rPr>
          <w:rFonts w:ascii="Calibri" w:hAnsi="Calibri"/>
          <w:b/>
          <w:color w:val="0D9488"/>
          <w:sz w:val="26"/>
        </w:rPr>
        <w:t>Q2: How does the system defend against SQL Injection and Cross-Site Request Forgery (CSRF)?</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Security was built in at every layer. For SQL injection, 100% of database queries handling user parameters utilize parameterized MySQLi prepared statements with explicit data-type binding (strings, integers, doubles), ensuring input is never concatenated into raw SQL strings. For CSRF protection, we built a security helper (includes/csrf.php) that generates a cryptographically secure 32-byte session token, embedded as a hidden field in all POST forms and validated server-side using hash_equals(). In addition, passwords are encrypted with Bcrypt (PASSWORD_BCRYPT), and role-based session guards protect every single page.</w:t>
            </w:r>
          </w:p>
        </w:tc>
      </w:tr>
    </w:tbl>
    <w:p>
      <w:pPr>
        <w:spacing w:before="0" w:after="80"/>
      </w:pPr>
    </w:p>
    <w:p>
      <w:pPr>
        <w:spacing w:after="80"/>
      </w:pPr>
    </w:p>
    <w:p>
      <w:pPr>
        <w:keepNext/>
        <w:spacing w:before="240" w:after="80"/>
      </w:pPr>
      <w:r>
        <w:rPr>
          <w:rFonts w:ascii="Calibri" w:hAnsi="Calibri"/>
          <w:b/>
          <w:color w:val="0D9488"/>
          <w:sz w:val="26"/>
        </w:rPr>
        <w:t>Q3: Why host locally on the hospital Local Area Network (LAN) instead of the Cloud (AWS / Azure)?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While cloud hosting is popular in SaaS, rural public facilities in Gem Sub-County and Siaya County frequently experience fiber-optic internet cable cuts and intermittent connectivity. If a hospital laboratory system relies on AWS, an internet disruption halts outpatient care and emergency admissions. By deploying on the hospital's internal LAN using Apache/XAMPP, the system guarantees 100% operational uptime without depending on public internet, while still enabling seamless inter-departmental communication over local Ethernet and Wi-Fi.</w:t>
            </w:r>
          </w:p>
        </w:tc>
      </w:tr>
    </w:tbl>
    <w:p>
      <w:pPr>
        <w:spacing w:before="0" w:after="80"/>
      </w:pPr>
    </w:p>
    <w:p>
      <w:pPr>
        <w:spacing w:after="80"/>
      </w:pPr>
    </w:p>
    <w:p>
      <w:pPr>
        <w:keepNext/>
        <w:spacing w:before="240" w:after="80"/>
      </w:pPr>
      <w:r>
        <w:rPr>
          <w:rFonts w:ascii="Calibri" w:hAnsi="Calibri"/>
          <w:b/>
          <w:color w:val="0D9488"/>
          <w:sz w:val="26"/>
        </w:rPr>
        <w:t>Q4: What happens if there is a power outage or server crash?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We addressed disaster recovery at both hardware and software levels. For hardware, we recommended a 650VA Uninterruptible Power Supply (UPS) for the host machine to handle grid fluctuations. For software, we built an automated daily database backup script running via background cron (cron/backup.php), supplemented by an on-demand manual backup button on the Administrator console. This generates full SQL dumps into a protected /backups/ directory, enabling complete system recovery in under three minutes.</w:t>
            </w:r>
          </w:p>
        </w:tc>
      </w:tr>
    </w:tbl>
    <w:p>
      <w:pPr>
        <w:spacing w:before="0" w:after="80"/>
      </w:pPr>
    </w:p>
    <w:p>
      <w:pPr>
        <w:spacing w:after="80"/>
      </w:pPr>
    </w:p>
    <w:p>
      <w:pPr>
        <w:keepNext/>
        <w:spacing w:before="240" w:after="80"/>
      </w:pPr>
      <w:r>
        <w:rPr>
          <w:rFonts w:ascii="Calibri" w:hAnsi="Calibri"/>
          <w:b/>
          <w:color w:val="0D9488"/>
          <w:sz w:val="26"/>
        </w:rPr>
        <w:t>Q5: How does your billing module comply with Kenya's cashless public payment laws?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Under Kenya's Public Finance Management Act 2012 and presidential executive directives, all public hospital revenues must be collected digitally via the Government eCitizen platform. Our billing module directly supports eCitizen Paybill 222222, logging Payment Reference Numbers (PRNs) alongside M-Pesa transaction codes and SHA/NHIF insurance claim numbers. This eliminates cash handling at hospital desks, closes revenue leakage, and ensures full accounting reconciliation.</w:t>
            </w:r>
          </w:p>
        </w:tc>
      </w:tr>
    </w:tbl>
    <w:p>
      <w:pPr>
        <w:spacing w:before="0" w:after="80"/>
      </w:pPr>
    </w:p>
    <w:p>
      <w:pPr>
        <w:spacing w:after="80"/>
      </w:pPr>
    </w:p>
    <w:p>
      <w:pPr>
        <w:keepNext/>
        <w:spacing w:before="240" w:after="80"/>
      </w:pPr>
      <w:r>
        <w:rPr>
          <w:rFonts w:ascii="Calibri" w:hAnsi="Calibri"/>
          <w:b/>
          <w:color w:val="0D9488"/>
          <w:sz w:val="26"/>
        </w:rPr>
        <w:t>Q6: How did you handle Kenya's transition from NHIF to the Social Health Authority (SHA)?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Our relational schema includes a dedicated insurance_claims table. When registering a patient, the system captures their insurance provider (SHA/NHIF or private) and member number. In the Doctor's console, tests can be ordered under an Insurance billing type. In our dedicated Insurance Claims Manager, the hospital team tracks pre-authorization codes, approved claim amounts, and patient copayments with clear status indicators (Submitted, Approved, Partial, Rejected).</w:t>
            </w:r>
          </w:p>
        </w:tc>
      </w:tr>
    </w:tbl>
    <w:p>
      <w:pPr>
        <w:spacing w:before="0" w:after="80"/>
      </w:pPr>
    </w:p>
    <w:p>
      <w:pPr>
        <w:spacing w:after="80"/>
      </w:pPr>
    </w:p>
    <w:p>
      <w:pPr>
        <w:keepNext/>
        <w:spacing w:before="240" w:after="80"/>
      </w:pPr>
      <w:r>
        <w:rPr>
          <w:rFonts w:ascii="Calibri" w:hAnsi="Calibri"/>
          <w:b/>
          <w:color w:val="0D9488"/>
          <w:sz w:val="26"/>
        </w:rPr>
        <w:t>Q7: How did you implement ISO 15189 pre-analytical quality assurance?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ISO 15189 requires medical laboratories to monitor sample integrity before testing. In our sample_rejections module, laboratory technologists can formally reject compromised specimens (e.g. hemolyzed blood, clotted samples, insufficient volume, or mismatched labels). The system logs the rejection reason, technician ID, and timestamp, while instantly triggering a redraw alert to the ordering clinician so patient care is not delayed.</w:t>
            </w:r>
          </w:p>
        </w:tc>
      </w:tr>
    </w:tbl>
    <w:p>
      <w:pPr>
        <w:spacing w:before="0" w:after="80"/>
      </w:pPr>
    </w:p>
    <w:p>
      <w:pPr>
        <w:spacing w:after="80"/>
      </w:pPr>
    </w:p>
    <w:p>
      <w:pPr>
        <w:keepNext/>
        <w:spacing w:before="240" w:after="80"/>
      </w:pPr>
      <w:r>
        <w:rPr>
          <w:rFonts w:ascii="Calibri" w:hAnsi="Calibri"/>
          <w:b/>
          <w:color w:val="0D9488"/>
          <w:sz w:val="26"/>
        </w:rPr>
        <w:t>Q8: What is your Blood Bank module doing in a laboratory information system?</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In Level 4 hospitals, transfusion medicine is managed directly within the laboratory. Our blood_bank module tracks donor units by blood group (A, B, AB, O) and Rh factor (+/-), monitors expiry dates, and records patient crossmatch compatibility tests. This prevents accidental transfusion of mismatched or expired blood, ensuring strict clinical safety for emergency surgeries and maternity cases.</w:t>
            </w:r>
          </w:p>
        </w:tc>
      </w:tr>
    </w:tbl>
    <w:p>
      <w:pPr>
        <w:spacing w:before="0" w:after="80"/>
      </w:pPr>
    </w:p>
    <w:p>
      <w:pPr>
        <w:spacing w:after="80"/>
      </w:pPr>
    </w:p>
    <w:p>
      <w:pPr>
        <w:keepNext/>
        <w:spacing w:before="240" w:after="80"/>
      </w:pPr>
      <w:r>
        <w:rPr>
          <w:rFonts w:ascii="Calibri" w:hAnsi="Calibri"/>
          <w:b/>
          <w:color w:val="0D9488"/>
          <w:sz w:val="26"/>
        </w:rPr>
        <w:t>Q9: How did you measure your User Acceptance Testing (UAT) score of 4.6 out of 5.0?</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We administered a structured 5-point Likert scale questionnaire to eight hospital staff members representing all four operational roles (Medical Superintendent, 2 Clinicians, 3 Lab Technologists, 2 Receptionists/Cashiers). They evaluated five dimensions: ease of use, turnaround time improvement, billing accuracy, report clarity, and overall satisfaction. Averaging responses across all 8 participants yielded an overall satisfaction score of 4.6 out of 5.0, with 100% endorsing digital adoption.</w:t>
            </w:r>
          </w:p>
        </w:tc>
      </w:tr>
    </w:tbl>
    <w:p>
      <w:pPr>
        <w:spacing w:before="0" w:after="80"/>
      </w:pPr>
    </w:p>
    <w:p>
      <w:pPr>
        <w:spacing w:after="80"/>
      </w:pPr>
    </w:p>
    <w:p>
      <w:pPr>
        <w:keepNext/>
        <w:spacing w:before="240" w:after="80"/>
      </w:pPr>
      <w:r>
        <w:rPr>
          <w:rFonts w:ascii="Calibri" w:hAnsi="Calibri"/>
          <w:b/>
          <w:color w:val="0D9488"/>
          <w:sz w:val="26"/>
        </w:rPr>
        <w:t>Q10: Did you interface directly with the laboratory analyzer machines?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High-Scoring Model Answer:</w:t>
              <w:br/>
            </w:r>
            <w:r>
              <w:rPr>
                <w:rFonts w:ascii="Calibri" w:hAnsi="Calibri"/>
                <w:i/>
                <w:color w:val="222222"/>
                <w:sz w:val="21"/>
              </w:rPr>
              <w:t>In Phase 1, analyzer interfacing was deliberately scoped to manual technician entry. Physical clinical chemistry and hematology analyzers utilize proprietary manufacturer serial communication protocols (RS-232 / ASTM / HL7) that require proprietary vendor interface licenses not available during academic research. Phase 1 automates all workflow stages from requisition to report, and direct serial interfacing is clearly documented as our Phase 2 development milestone.</w:t>
            </w:r>
          </w:p>
        </w:tc>
      </w:tr>
    </w:tbl>
    <w:p>
      <w:pPr>
        <w:spacing w:before="0" w:after="80"/>
      </w:pP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