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pt-BR"/>
        </w:rPr>
        <w:t xml:space="preserve">PREFEITURA MUNICIPAL DE {municipioNomeUpper}/{municipioUF} </w:t>
      </w:r>
      <w:r>
        <w:rPr>
          <w:rFonts w:cs="Times New Roman" w:ascii="Times New Roman" w:hAnsi="Times New Roman"/>
          <w:b/>
          <w:bCs/>
          <w:sz w:val="24"/>
          <w:szCs w:val="24"/>
        </w:rPr>
      </w:r>
      <w:r>
        <w:rPr>
          <w:rFonts w:cs="Times New Roman" w:ascii="Times New Roman" w:hAnsi="Times New Roman"/>
          <w:b/>
          <w:bCs/>
          <w:color w:val="000000"/>
          <w:sz w:val="24"/>
          <w:szCs w:val="24"/>
        </w:rPr>
      </w:r>
      <w:r>
        <w:rPr>
          <w:rFonts w:cs="Times New Roman" w:ascii="Times New Roman" w:hAnsi="Times New Roman"/>
          <w:b/>
          <w:bCs/>
          <w:color w:val="000000"/>
          <w:sz w:val="24"/>
          <w:szCs w:val="24"/>
          <w:shd w:fill="FFFFFF" w:val="clear"/>
        </w:rPr>
      </w:r>
      <w:r>
        <w:rPr>
          <w:rFonts w:cs="Times New Roman" w:ascii="Times New Roman" w:hAnsi="Times New Roman"/>
          <w:b/>
          <w:bCs/>
          <w:color w:val="000000"/>
          <w:sz w:val="24"/>
          <w:szCs w:val="24"/>
        </w:rPr>
      </w:r>
      <w:r>
        <w:rPr>
          <w:rFonts w:cs="Times New Roman" w:ascii="Times New Roman" w:hAnsi="Times New Roman"/>
          <w:b/>
          <w:bCs/>
          <w:color w:val="000000"/>
          <w:sz w:val="24"/>
          <w:szCs w:val="24"/>
          <w:lang w:val="pt-BR"/>
        </w:rPr>
      </w:r>
      <w:r>
        <w:rPr>
          <w:rFonts w:cs="Times New Roman" w:ascii="Times New Roman" w:hAnsi="Times New Roman"/>
          <w:b/>
          <w:bCs/>
          <w:color w:val="000000"/>
          <w:sz w:val="24"/>
          <w:szCs w:val="24"/>
        </w:rPr>
      </w:r>
    </w:p>
    <w:p>
      <w:pPr>
        <w:pStyle w:val="BodyText"/>
        <w:jc w:val="center"/>
        <w:rPr/>
      </w:pPr>
      <w:r>
        <w:rPr>
          <w:rFonts w:cs="Times New Roman" w:ascii="Times New Roman" w:hAnsi="Times New Roman"/>
          <w:b/>
          <w:bCs/>
          <w:color w:val="000000"/>
          <w:sz w:val="24"/>
          <w:szCs w:val="24"/>
        </w:rPr>
        <w:t>DOCUMENTO</w:t>
      </w:r>
      <w:r>
        <w:rPr>
          <w:rFonts w:cs="Times New Roman" w:ascii="Times New Roman" w:hAnsi="Times New Roman"/>
          <w:b/>
          <w:bCs/>
          <w:color w:val="000000"/>
          <w:spacing w:val="-9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bCs/>
          <w:color w:val="000000"/>
          <w:sz w:val="24"/>
          <w:szCs w:val="24"/>
        </w:rPr>
        <w:t>DE</w:t>
      </w:r>
      <w:r>
        <w:rPr>
          <w:rFonts w:cs="Times New Roman" w:ascii="Times New Roman" w:hAnsi="Times New Roman"/>
          <w:b/>
          <w:bCs/>
          <w:color w:val="000000"/>
          <w:spacing w:val="-10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bCs/>
          <w:color w:val="000000"/>
          <w:sz w:val="24"/>
          <w:szCs w:val="24"/>
        </w:rPr>
        <w:t>FORMALIZAÇÃO</w:t>
      </w:r>
      <w:r>
        <w:rPr>
          <w:rFonts w:cs="Times New Roman" w:ascii="Times New Roman" w:hAnsi="Times New Roman"/>
          <w:b/>
          <w:bCs/>
          <w:color w:val="000000"/>
          <w:spacing w:val="-8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bCs/>
          <w:color w:val="000000"/>
          <w:sz w:val="24"/>
          <w:szCs w:val="24"/>
        </w:rPr>
        <w:t>DE</w:t>
      </w:r>
      <w:r>
        <w:rPr>
          <w:rFonts w:cs="Times New Roman" w:ascii="Times New Roman" w:hAnsi="Times New Roman"/>
          <w:b/>
          <w:bCs/>
          <w:color w:val="000000"/>
          <w:spacing w:val="-8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bCs/>
          <w:color w:val="000000"/>
          <w:sz w:val="24"/>
          <w:szCs w:val="24"/>
        </w:rPr>
        <w:t>DEMANDA</w:t>
      </w:r>
      <w:r>
        <w:rPr>
          <w:rFonts w:cs="Times New Roman" w:ascii="Times New Roman" w:hAnsi="Times New Roman"/>
          <w:b/>
          <w:bCs/>
          <w:spacing w:val="-8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bCs/>
          <w:sz w:val="24"/>
          <w:szCs w:val="24"/>
        </w:rPr>
        <w:t>(DFD)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</w:r>
    </w:p>
    <w:p>
      <w:pPr>
        <w:pStyle w:val="BodyText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cs="Times New Roman" w:ascii="Times New Roman" w:hAnsi="Times New Roman"/>
          <w:b/>
          <w:sz w:val="24"/>
          <w:szCs w:val="24"/>
        </w:rPr>
        <w:t>Órgão:</w:t>
      </w:r>
      <w:r>
        <w:rPr>
          <w:rFonts w:cs="Times New Roman" w:ascii="Times New Roman" w:hAnsi="Times New Roman"/>
          <w:b/>
          <w:spacing w:val="-8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Secretaria</w:t>
      </w:r>
      <w:r>
        <w:rPr>
          <w:rFonts w:cs="Times New Roman" w:ascii="Times New Roman" w:hAnsi="Times New Roman"/>
          <w:spacing w:val="-8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Municipal</w:t>
      </w:r>
      <w:r>
        <w:rPr>
          <w:rFonts w:cs="Times New Roman" w:ascii="Times New Roman" w:hAnsi="Times New Roman"/>
          <w:spacing w:val="-10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de</w:t>
      </w:r>
      <w:r>
        <w:rPr>
          <w:rFonts w:cs="Times New Roman" w:ascii="Times New Roman" w:hAnsi="Times New Roman"/>
          <w:spacing w:val="-8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  <w:lang w:val="pt-BR"/>
        </w:rPr>
        <w:t>Educação</w:t>
      </w:r>
    </w:p>
    <w:p>
      <w:pPr>
        <w:pStyle w:val="BodyText"/>
        <w:rPr>
          <w:rFonts w:ascii="Times New Roman" w:hAnsi="Times New Roman" w:cs="Times New Roman"/>
          <w:spacing w:val="-4"/>
          <w:sz w:val="24"/>
          <w:szCs w:val="24"/>
          <w:lang w:val="pt-BR"/>
        </w:rPr>
      </w:pPr>
      <w:r>
        <w:rPr>
          <w:rFonts w:cs="Times New Roman" w:ascii="Times New Roman" w:hAnsi="Times New Roman"/>
          <w:spacing w:val="-4"/>
          <w:sz w:val="24"/>
          <w:szCs w:val="24"/>
          <w:lang w:val="pt-BR"/>
        </w:rPr>
      </w:r>
    </w:p>
    <w:p>
      <w:pPr>
        <w:pStyle w:val="TableParagraph"/>
        <w:spacing w:before="116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I.</w:t>
      </w:r>
      <w:r>
        <w:rPr>
          <w:rFonts w:cs="Times New Roman" w:ascii="Times New Roman" w:hAnsi="Times New Roman"/>
          <w:b/>
          <w:spacing w:val="-7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Justificativa</w:t>
      </w:r>
      <w:r>
        <w:rPr>
          <w:rFonts w:cs="Times New Roman" w:ascii="Times New Roman" w:hAnsi="Times New Roman"/>
          <w:b/>
          <w:spacing w:val="-7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da</w:t>
      </w:r>
      <w:r>
        <w:rPr>
          <w:rFonts w:cs="Times New Roman" w:ascii="Times New Roman" w:hAnsi="Times New Roman"/>
          <w:b/>
          <w:spacing w:val="-7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necessidade</w:t>
      </w:r>
      <w:r>
        <w:rPr>
          <w:rFonts w:cs="Times New Roman" w:ascii="Times New Roman" w:hAnsi="Times New Roman"/>
          <w:b/>
          <w:spacing w:val="-6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da</w:t>
      </w:r>
      <w:r>
        <w:rPr>
          <w:rFonts w:cs="Times New Roman" w:ascii="Times New Roman" w:hAnsi="Times New Roman"/>
          <w:b/>
          <w:spacing w:val="-7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contratação</w:t>
      </w:r>
      <w:r>
        <w:rPr>
          <w:rFonts w:cs="Times New Roman" w:ascii="Times New Roman" w:hAnsi="Times New Roman"/>
          <w:b/>
          <w:spacing w:val="-3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(Art.</w:t>
      </w:r>
      <w:r>
        <w:rPr>
          <w:rFonts w:cs="Times New Roman" w:ascii="Times New Roman" w:hAnsi="Times New Roman"/>
          <w:b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8º,</w:t>
      </w:r>
      <w:r>
        <w:rPr>
          <w:rFonts w:cs="Times New Roman" w:ascii="Times New Roman" w:hAnsi="Times New Roman"/>
          <w:b/>
          <w:spacing w:val="-7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I</w:t>
      </w:r>
      <w:r>
        <w:rPr>
          <w:rFonts w:cs="Times New Roman" w:ascii="Times New Roman" w:hAnsi="Times New Roman"/>
          <w:b/>
          <w:spacing w:val="-5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do</w:t>
      </w:r>
      <w:r>
        <w:rPr>
          <w:rFonts w:cs="Times New Roman" w:ascii="Times New Roman" w:hAnsi="Times New Roman"/>
          <w:b/>
          <w:spacing w:val="-5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Decreto</w:t>
      </w:r>
      <w:r>
        <w:rPr>
          <w:rFonts w:cs="Times New Roman" w:ascii="Times New Roman" w:hAnsi="Times New Roman"/>
          <w:b/>
          <w:spacing w:val="-6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nº</w:t>
      </w:r>
      <w:r>
        <w:rPr>
          <w:rFonts w:cs="Times New Roman" w:ascii="Times New Roman" w:hAnsi="Times New Roman"/>
          <w:b/>
          <w:spacing w:val="-5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pacing w:val="-2"/>
          <w:sz w:val="24"/>
          <w:szCs w:val="24"/>
        </w:rPr>
        <w:t>10.947/22):</w:t>
      </w:r>
    </w:p>
    <w:p>
      <w:pPr>
        <w:pStyle w:val="TableParagraph"/>
        <w:spacing w:lineRule="auto" w:line="360"/>
        <w:ind w:end="108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Web"/>
        <w:spacing w:lineRule="auto" w:line="360" w:before="0" w:after="0"/>
        <w:jc w:val="both"/>
        <w:rPr/>
      </w:pPr>
      <w:r>
        <w:rPr>
          <w:rStyle w:val="bzpyqfadein"/>
        </w:rPr>
        <w:t>A Secretaria Municipal de Educação do Município de {municipioNome} – {municipioUF}, no exercício de suas competências institucionais e em observância aos princípios da eficiência, legalidade e boa governança da Administração Pública, identificou a necessidade de aperfeiçoamento dos mecanismos de gestão, monitoramento e regularização das informações educacionais registradas nos sistemas e programas vinculados ao Ministério da Educação – MEC e ao Fundo Nacional de Desenvolvimento da Educação – FNDE. A gestão educacional contemporânea exige a correta alimentação, acompanhamento e atualização permanente de diversos sistemas informatizados utilizados pela União para o planejamento, controle, monitoramento e avaliação das políticas públicas educacionais. Tais sistemas concentram informações estratégicas que impactam diretamente na habilitação do Município em programas educacionais federais, na regularidade institucional perante os órgãos repassadores e na manutenção dos repasses financeiros vinculados às políticas públicas da educação básica.</w:t>
      </w:r>
    </w:p>
    <w:p>
      <w:pPr>
        <w:pStyle w:val="NormalWeb"/>
        <w:spacing w:lineRule="auto" w:line="360" w:before="0" w:after="0"/>
        <w:jc w:val="both"/>
        <w:rPr/>
      </w:pPr>
      <w:r>
        <w:rPr>
          <w:rStyle w:val="bzpyqfadein"/>
        </w:rPr>
        <w:t>Entre esses sistemas destacam-se, dentre outros, o Sistema Integrado de Monitoramento, Execução e Controle do Ministério da Educação – SIMEC, o Sistema de Gestão de Prestação de Contas – SIGPC/FNDE, o Sistema de Informações sobre Orçamentos Públicos em Educação – SIOPE, bem como os instrumentos de planejamento educacional vinculados ao Plano de Ações Articuladas – PAR e demais plataformas correlatas utilizadas para acompanhamento da execução das políticas educacionais. A correta operação desses sistemas envolve elevado grau de complexidade técnica, exigindo conhecimento especializado das normas federais aplicáveis, domínio das rotinas administrativas e compreensão detalhada dos critérios técnicos utilizados pelos órgãos federais para análise das informações prestadas pelos entes federativos.</w:t>
      </w:r>
    </w:p>
    <w:p>
      <w:pPr>
        <w:pStyle w:val="NormalWeb"/>
        <w:spacing w:lineRule="auto" w:line="360" w:before="0" w:after="0"/>
        <w:jc w:val="both"/>
        <w:rPr/>
      </w:pPr>
      <w:r>
        <w:rPr>
          <w:rStyle w:val="bzpyqfadein"/>
        </w:rPr>
        <w:t>Nesse contexto, diagnóstico técnico preliminar realizado a partir da análise das bases de dados educacionais e dos registros sistêmicos do Município evidenciou a necessidade de avaliação técnica especializada voltada à identificação de inconsistências, pendências administrativas ou oportunidades de regularização das informações educacionais registradas nos sistemas federais, de modo a assegurar a regularidade institucional do Município perante os órgãos responsáveis pela gestão das políticas educacionais.</w:t>
      </w:r>
    </w:p>
    <w:p>
      <w:pPr>
        <w:pStyle w:val="NormalWeb"/>
        <w:spacing w:lineRule="auto" w:line="360" w:before="0" w:after="0"/>
        <w:jc w:val="both"/>
        <w:rPr/>
      </w:pPr>
      <w:r>
        <w:rPr>
          <w:rStyle w:val="bzpyqfadein"/>
        </w:rPr>
        <w:t>A eventual existência de inconsistências ou pendências nesses sistemas pode acarretar restrições administrativas, bloqueio de transferências voluntárias, dificuldades de habilitação em programas federais e prejuízos à adequada execução das políticas educacionais no âmbito municipal, o que torna imprescindível a realização de diagnóstico técnico aprofundado e a adoção de medidas administrativas voltadas à regularização das informações educacionais.</w:t>
      </w:r>
    </w:p>
    <w:p>
      <w:pPr>
        <w:pStyle w:val="NormalWeb"/>
        <w:spacing w:lineRule="auto" w:line="360" w:before="0" w:after="0"/>
        <w:jc w:val="both"/>
        <w:rPr/>
      </w:pPr>
      <w:r>
        <w:rPr>
          <w:rStyle w:val="bzpyqfadein"/>
        </w:rPr>
        <w:t>Diante desse cenário, a Secretaria Municipal de Educação identificou a necessidade de contratação de empresa especializada para prestação de serviços técnicos de consultoria estratégica, administrativa e sistêmica em gestão educacional, com a finalidade de realizar diagnóstico técnico especializado, análise de conformidade das informações registradas nos sistemas educacionais federais e apoio técnico na implementação de medidas voltadas à regularização das bases de dados e sistemas utilizados pelo MEC e pelo FNDE. O serviço a ser contratado envolve atividades técnicas especializadas de elevada complexidade, que demandam metodologia própria de análise, conhecimento específico da legislação educacional e experiência na interpretação e tratamento de dados educacionais utilizados pelos sistemas federais de gestão da educação.</w:t>
      </w:r>
    </w:p>
    <w:p>
      <w:pPr>
        <w:pStyle w:val="NormalWeb"/>
        <w:spacing w:lineRule="auto" w:line="360" w:before="0" w:after="0"/>
        <w:jc w:val="both"/>
        <w:rPr/>
      </w:pPr>
      <w:r>
        <w:rPr>
          <w:rStyle w:val="bzpyqfadein"/>
        </w:rPr>
        <w:t xml:space="preserve">Dessa forma, a contratação pretendida enquadra-se na hipótese prevista no </w:t>
      </w:r>
      <w:r>
        <w:rPr>
          <w:rStyle w:val="bzpyqfadein"/>
          <w:bCs/>
        </w:rPr>
        <w:t>{baseLegal}</w:t>
      </w:r>
      <w:r>
        <w:rPr>
          <w:rStyle w:val="bzpyqfadein"/>
        </w:rPr>
        <w:t>, que autoriza a contratação direta por {modalidadeCurta} de licitação, observadas as formalidades do processo de contratação direta previstas no art. 72 da Lei nº 14.133/2021. A medida visa fortalecer a governança da gestão educacional municipal, assegurar maior eficiência administrativa, garantir a regularidade institucional do Município perante os sistemas educacionais federais e contribuir para a adequada execução das políticas públicas de educação, em consonância com as diretrizes estabelecidas pelo Ministério da Educação e pelo Fundo Nacional de Desenvolvimento da Educação.</w:t>
      </w:r>
    </w:p>
    <w:p>
      <w:pPr>
        <w:pStyle w:val="NormalWeb"/>
        <w:spacing w:lineRule="auto" w:line="360" w:before="0" w:after="0"/>
        <w:jc w:val="both"/>
        <w:rPr/>
      </w:pPr>
      <w:r>
        <w:rPr>
          <w:rStyle w:val="bzpyqfadein"/>
        </w:rPr>
        <w:t>Assim, a contratação ora pretendida revela-se necessária e compatível com o interesse público, contribuindo para o aprimoramento da gestão educacional, para a segurança administrativa da Secretaria Municipal de Educação e para a correta manutenção dos repasses e programas educacionais vinculados às políticas públicas federais de educação básica.</w:t>
      </w:r>
    </w:p>
    <w:p>
      <w:pPr>
        <w:pStyle w:val="NormalWeb"/>
        <w:spacing w:lineRule="auto" w:line="360" w:before="0" w:after="0"/>
        <w:jc w:val="both"/>
        <w:rPr/>
      </w:pPr>
      <w:r>
        <w:rPr/>
      </w:r>
    </w:p>
    <w:p>
      <w:pPr>
        <w:pStyle w:val="TableParagraph"/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II.</w:t>
      </w:r>
      <w:r>
        <w:rPr>
          <w:rFonts w:cs="Times New Roman" w:ascii="Times New Roman" w:hAnsi="Times New Roman"/>
          <w:b/>
          <w:spacing w:val="-5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Descrição</w:t>
      </w:r>
      <w:r>
        <w:rPr>
          <w:rFonts w:cs="Times New Roman" w:ascii="Times New Roman" w:hAnsi="Times New Roman"/>
          <w:b/>
          <w:spacing w:val="-2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sucinta</w:t>
      </w:r>
      <w:r>
        <w:rPr>
          <w:rFonts w:cs="Times New Roman" w:ascii="Times New Roman" w:hAnsi="Times New Roman"/>
          <w:b/>
          <w:spacing w:val="-5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do</w:t>
      </w:r>
      <w:r>
        <w:rPr>
          <w:rFonts w:cs="Times New Roman" w:ascii="Times New Roman" w:hAnsi="Times New Roman"/>
          <w:b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objeto</w:t>
      </w:r>
      <w:r>
        <w:rPr>
          <w:rFonts w:cs="Times New Roman" w:ascii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(Art.</w:t>
      </w:r>
      <w:r>
        <w:rPr>
          <w:rFonts w:cs="Times New Roman" w:ascii="Times New Roman" w:hAnsi="Times New Roman"/>
          <w:b/>
          <w:spacing w:val="-5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8º,</w:t>
      </w:r>
      <w:r>
        <w:rPr>
          <w:rFonts w:cs="Times New Roman" w:ascii="Times New Roman" w:hAnsi="Times New Roman"/>
          <w:b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II</w:t>
      </w:r>
      <w:r>
        <w:rPr>
          <w:rFonts w:cs="Times New Roman" w:ascii="Times New Roman" w:hAnsi="Times New Roman"/>
          <w:b/>
          <w:spacing w:val="-5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do</w:t>
      </w:r>
      <w:r>
        <w:rPr>
          <w:rFonts w:cs="Times New Roman" w:ascii="Times New Roman" w:hAnsi="Times New Roman"/>
          <w:b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Decreto</w:t>
      </w:r>
      <w:r>
        <w:rPr>
          <w:rFonts w:cs="Times New Roman" w:ascii="Times New Roman" w:hAnsi="Times New Roman"/>
          <w:b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nº</w:t>
      </w:r>
      <w:r>
        <w:rPr>
          <w:rFonts w:cs="Times New Roman" w:ascii="Times New Roman" w:hAnsi="Times New Roman"/>
          <w:b/>
          <w:spacing w:val="-5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pacing w:val="-2"/>
          <w:sz w:val="24"/>
          <w:szCs w:val="24"/>
        </w:rPr>
        <w:t>10.947/22):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  <w:t>ESTA NECESSIDADE PODERÁ SER ATENDIDA ATRAVÉS DE SOLUÇÕES COMO: Contratação de empresa especializada para prestação de serviços técnicos de consultoria estratégica em gestão educacional, visando à realização de diagnóstico, análise de conformidade e regularização de informações e sistemas educacionais vinculados ao MEC, FNDE e FUNDEB, no âmbito da Secretaria Municipal de Educação de {municipioNome} – {municipioUF}.</w:t>
      </w:r>
      <w:r>
        <w:rPr>
          <w:rStyle w:val="bzpyqfadein"/>
          <w:sz w:val="24"/>
          <w:szCs w:val="24"/>
        </w:rPr>
      </w:r>
      <w:r>
        <w:rPr>
          <w:sz w:val="24"/>
          <w:szCs w:val="24"/>
        </w:rPr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jc w:val="both"/>
        <w:rPr/>
      </w:pPr>
      <w:r>
        <w:rPr>
          <w:b/>
          <w:sz w:val="24"/>
          <w:szCs w:val="24"/>
        </w:rPr>
        <w:t>III.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z w:val="24"/>
          <w:szCs w:val="24"/>
        </w:rPr>
        <w:t>Descrição dos serviços a serem contratados,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z w:val="24"/>
          <w:szCs w:val="24"/>
        </w:rPr>
        <w:t>quando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couber,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considerada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a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expectativa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de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z w:val="24"/>
          <w:szCs w:val="24"/>
        </w:rPr>
        <w:t>consumo</w:t>
      </w:r>
      <w:r>
        <w:rPr>
          <w:b/>
          <w:spacing w:val="-2"/>
          <w:sz w:val="24"/>
          <w:szCs w:val="24"/>
        </w:rPr>
        <w:t xml:space="preserve"> </w:t>
      </w:r>
      <w:r>
        <w:rPr/>
        <w:t>anual (Art. 8º, III do Decreto nº 10.947/22):</w:t>
      </w:r>
    </w:p>
    <w:tbl>
      <w:tblPr>
        <w:tblW w:w="9450" w:type="dxa"/>
        <w:jc w:val="start"/>
        <w:tblInd w:w="75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781"/>
        <w:gridCol w:w="6869"/>
        <w:gridCol w:w="940"/>
        <w:gridCol w:w="860"/>
      </w:tblGrid>
      <w:tr>
        <w:trPr>
          <w:trHeight w:val="288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ITEM</w:t>
            </w:r>
          </w:p>
        </w:tc>
        <w:tc>
          <w:tcPr>
            <w:tcW w:w="68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DISCRIÇÃO DO PRODUTO</w:t>
            </w:r>
          </w:p>
        </w:tc>
        <w:tc>
          <w:tcPr>
            <w:tcW w:w="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UNID.</w:t>
            </w:r>
          </w:p>
        </w:tc>
        <w:tc>
          <w:tcPr>
            <w:tcW w:w="8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QTD.</w:t>
            </w:r>
          </w:p>
        </w:tc>
      </w:tr>
      <w:tr>
        <w:trPr>
          <w:trHeight w:val="9520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68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Web"/>
              <w:spacing w:before="0" w:after="280"/>
              <w:jc w:val="both"/>
              <w:rPr/>
            </w:pPr>
            <w:r>
              <w:rPr>
                <w:rStyle w:val="bzpyqfadein"/>
              </w:rPr>
              <w:t>A contratação refere-se à prestação de serviços técnicos especializados de consultoria estratégica, administrativa e sistêmica em gestão educacional, destinados à realização de diagnóstico técnico, análise de conformidade e apoio à regularização das informações e sistemas educacionais vinculados ao Ministério da Educação – MEC, ao Fundo Nacional de Desenvolvimento da Educação – FNDE e ao Fundo de Manutenção e Desenvolvimento da Educação Básica – FUNDEB.</w:t>
            </w:r>
          </w:p>
          <w:p>
            <w:pPr>
              <w:pStyle w:val="NormalWeb"/>
              <w:jc w:val="both"/>
              <w:rPr/>
            </w:pPr>
            <w:r>
              <w:rPr>
                <w:rStyle w:val="bzpyqfadein"/>
              </w:rPr>
              <w:t>Os serviços compreenderão, dentre outras atividades técnicas:</w:t>
            </w:r>
          </w:p>
          <w:p>
            <w:pPr>
              <w:pStyle w:val="NormalWeb"/>
              <w:numPr>
                <w:ilvl w:val="0"/>
                <w:numId w:val="2"/>
              </w:numPr>
              <w:spacing w:before="280" w:after="0"/>
              <w:jc w:val="both"/>
              <w:rPr/>
            </w:pPr>
            <w:r>
              <w:rPr>
                <w:rStyle w:val="bzpyqfadein"/>
              </w:rPr>
              <w:t>Realização de diagnóstico técnico especializado das informações educacionais registradas nos sistemas federais utilizados pelo MEC e FNDE;</w:t>
            </w:r>
          </w:p>
          <w:p>
            <w:pPr>
              <w:pStyle w:val="NormalWeb"/>
              <w:numPr>
                <w:ilvl w:val="0"/>
                <w:numId w:val="2"/>
              </w:numPr>
              <w:spacing w:before="0" w:after="280"/>
              <w:jc w:val="both"/>
              <w:rPr/>
            </w:pPr>
            <w:r>
              <w:rPr>
                <w:rStyle w:val="bzpyqfadein"/>
              </w:rPr>
              <w:t>Análise de conformidade e identificação de eventuais inconsistências ou pendências nos sistemas educacionais, tais como SIMEC, SIGPC, SIOPE, PAR e demais plataformas correlatas;</w:t>
            </w:r>
          </w:p>
          <w:p>
            <w:pPr>
              <w:pStyle w:val="NormalWeb"/>
              <w:numPr>
                <w:ilvl w:val="0"/>
                <w:numId w:val="2"/>
              </w:numPr>
              <w:spacing w:before="0" w:after="280"/>
              <w:jc w:val="both"/>
              <w:rPr/>
            </w:pPr>
            <w:r>
              <w:rPr>
                <w:rStyle w:val="bzpyqfadein"/>
              </w:rPr>
              <w:t>Apoio técnico à Secretaria Municipal de Educação na regularização de registros e informações que impactam na habilitação do Município em programas educacionais federais;</w:t>
            </w:r>
          </w:p>
          <w:p>
            <w:pPr>
              <w:pStyle w:val="NormalWeb"/>
              <w:numPr>
                <w:ilvl w:val="0"/>
                <w:numId w:val="2"/>
              </w:numPr>
              <w:spacing w:before="0" w:after="280"/>
              <w:jc w:val="both"/>
              <w:rPr/>
            </w:pPr>
            <w:r>
              <w:rPr>
                <w:rStyle w:val="bzpyqfadein"/>
              </w:rPr>
              <w:t>Elaboração de relatórios técnicos de diagnóstico e recomendações administrativas voltadas ao aprimoramento da gestão educacional;</w:t>
            </w:r>
          </w:p>
          <w:p>
            <w:pPr>
              <w:pStyle w:val="NormalWeb"/>
              <w:numPr>
                <w:ilvl w:val="0"/>
                <w:numId w:val="2"/>
              </w:numPr>
              <w:spacing w:before="0" w:after="280"/>
              <w:jc w:val="both"/>
              <w:rPr/>
            </w:pPr>
            <w:r>
              <w:rPr>
                <w:rStyle w:val="bzpyqfadein"/>
              </w:rPr>
              <w:t>Orientação técnica à equipe da Secretaria Municipal de Educação quanto às rotinas administrativas relacionadas à alimentação e monitoramento dos sistemas educacionais federais.</w:t>
            </w:r>
          </w:p>
          <w:p>
            <w:pPr>
              <w:pStyle w:val="NormalWeb"/>
              <w:spacing w:before="280" w:after="0"/>
              <w:jc w:val="both"/>
              <w:rPr>
                <w:color w:val="000000"/>
              </w:rPr>
            </w:pPr>
            <w:r>
              <w:rPr>
                <w:rStyle w:val="bzpyqfadein"/>
              </w:rPr>
              <w:t>A expectativa de consumo anual corresponde à prestação continuada dos serviços durante o período contratual estimado, compreendendo acompanhamento técnico, análises especializadas, emissão de relatórios técnicos e suporte consultivo à gestão educacional do Município.</w:t>
            </w:r>
          </w:p>
        </w:tc>
        <w:tc>
          <w:tcPr>
            <w:tcW w:w="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Serv/</w:t>
            </w:r>
          </w:p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meses.</w:t>
            </w:r>
          </w:p>
        </w:tc>
        <w:tc>
          <w:tcPr>
            <w:tcW w:w="8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{quantidadeMeses}</w:t>
            </w:r>
          </w:p>
        </w:tc>
      </w:tr>
    </w:tbl>
    <w:p>
      <w:pPr>
        <w:pStyle w:val="TableParagraph"/>
        <w:spacing w:before="116" w:after="0"/>
        <w:rPr>
          <w:rFonts w:ascii="Times New Roman" w:hAnsi="Times New Roman" w:cs="Times New Roman"/>
          <w:b/>
          <w:spacing w:val="-2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IV.</w:t>
      </w:r>
      <w:r>
        <w:rPr>
          <w:rFonts w:cs="Times New Roman" w:ascii="Times New Roman" w:hAnsi="Times New Roman"/>
          <w:b/>
          <w:spacing w:val="-5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Dotação</w:t>
      </w:r>
      <w:r>
        <w:rPr>
          <w:rFonts w:cs="Times New Roman" w:ascii="Times New Roman" w:hAnsi="Times New Roman"/>
          <w:b/>
          <w:spacing w:val="-7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orçamentária para a devida contratação</w:t>
      </w:r>
      <w:r>
        <w:rPr>
          <w:rFonts w:cs="Times New Roman" w:ascii="Times New Roman" w:hAnsi="Times New Roman"/>
          <w:b/>
          <w:spacing w:val="-3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(Art.</w:t>
      </w:r>
      <w:r>
        <w:rPr>
          <w:rFonts w:cs="Times New Roman" w:ascii="Times New Roman" w:hAnsi="Times New Roman"/>
          <w:b/>
          <w:spacing w:val="-6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8º,</w:t>
      </w:r>
      <w:r>
        <w:rPr>
          <w:rFonts w:cs="Times New Roman" w:ascii="Times New Roman" w:hAnsi="Times New Roman"/>
          <w:b/>
          <w:spacing w:val="-6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IV</w:t>
      </w:r>
      <w:r>
        <w:rPr>
          <w:rFonts w:cs="Times New Roman" w:ascii="Times New Roman" w:hAnsi="Times New Roman"/>
          <w:b/>
          <w:spacing w:val="-7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do</w:t>
      </w:r>
      <w:r>
        <w:rPr>
          <w:rFonts w:cs="Times New Roman" w:ascii="Times New Roman" w:hAnsi="Times New Roman"/>
          <w:b/>
          <w:spacing w:val="-5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Decreto</w:t>
      </w:r>
      <w:r>
        <w:rPr>
          <w:rFonts w:cs="Times New Roman" w:ascii="Times New Roman" w:hAnsi="Times New Roman"/>
          <w:b/>
          <w:spacing w:val="-5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nº</w:t>
      </w:r>
      <w:r>
        <w:rPr>
          <w:rFonts w:cs="Times New Roman" w:ascii="Times New Roman" w:hAnsi="Times New Roman"/>
          <w:b/>
          <w:spacing w:val="-5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pacing w:val="-2"/>
          <w:sz w:val="24"/>
          <w:szCs w:val="24"/>
        </w:rPr>
        <w:t>10.947/22):</w:t>
      </w:r>
    </w:p>
    <w:p>
      <w:pPr>
        <w:pStyle w:val="TableParagraph"/>
        <w:spacing w:before="116" w:after="0"/>
        <w:rPr>
          <w:rFonts w:ascii="Times New Roman" w:hAnsi="Times New Roman" w:cs="Times New Roman"/>
          <w:b/>
          <w:spacing w:val="-2"/>
          <w:sz w:val="24"/>
          <w:szCs w:val="24"/>
        </w:rPr>
      </w:pPr>
      <w:r>
        <w:rPr>
          <w:rFonts w:cs="Times New Roman" w:ascii="Times New Roman" w:hAnsi="Times New Roman"/>
          <w:b/>
          <w:spacing w:val="-2"/>
          <w:sz w:val="24"/>
          <w:szCs w:val="24"/>
        </w:rPr>
      </w:r>
    </w:p>
    <w:tbl>
      <w:tblPr>
        <w:tblW w:w="9317" w:type="dxa"/>
        <w:jc w:val="center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325"/>
        <w:gridCol w:w="1134"/>
        <w:gridCol w:w="6858"/>
      </w:tblGrid>
      <w:tr>
        <w:trPr>
          <w:trHeight w:val="470" w:hRule="atLeast"/>
        </w:trPr>
        <w:tc>
          <w:tcPr>
            <w:tcW w:w="931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Calibri"/>
                <w:sz w:val="24"/>
                <w:szCs w:val="24"/>
                <w:highlight w:val="yellow"/>
                <w:lang w:eastAsia="en-US"/>
              </w:rPr>
            </w:pPr>
            <w:r>
              <w:rPr>
                <w:b/>
                <w:bCs/>
                <w:sz w:val="24"/>
                <w:szCs w:val="24"/>
                <w:highlight w:val="yellow"/>
              </w:rPr>
              <w:t>DOTAÇÃO ORÇAMENTARIA</w:t>
            </w:r>
          </w:p>
        </w:tc>
      </w:tr>
      <w:tr>
        <w:trPr>
          <w:trHeight w:val="79" w:hRule="atLeast"/>
        </w:trPr>
        <w:tc>
          <w:tcPr>
            <w:tcW w:w="1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/>
                <w:sz w:val="24"/>
                <w:szCs w:val="24"/>
                <w:highlight w:val="yellow"/>
              </w:rPr>
            </w:pPr>
            <w:r>
              <w:rPr>
                <w:b/>
                <w:sz w:val="24"/>
                <w:szCs w:val="24"/>
                <w:highlight w:val="yellow"/>
              </w:rPr>
              <w:t>Unidade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sz w:val="24"/>
                <w:szCs w:val="24"/>
                <w:highlight w:val="yellow"/>
              </w:rPr>
            </w:pPr>
            <w:r>
              <w:rPr>
                <w:b/>
                <w:sz w:val="24"/>
                <w:szCs w:val="24"/>
                <w:highlight w:val="yellow"/>
              </w:rPr>
            </w:r>
          </w:p>
        </w:tc>
        <w:tc>
          <w:tcPr>
            <w:tcW w:w="68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Calibri"/>
                <w:b/>
                <w:sz w:val="24"/>
                <w:szCs w:val="24"/>
                <w:highlight w:val="yellow"/>
                <w:lang w:eastAsia="en-US"/>
              </w:rPr>
            </w:pPr>
            <w:r>
              <w:rPr>
                <w:rFonts w:eastAsia="Calibri"/>
                <w:b/>
                <w:sz w:val="24"/>
                <w:szCs w:val="24"/>
                <w:highlight w:val="yellow"/>
                <w:lang w:eastAsia="en-US"/>
              </w:rPr>
              <w:t>{dotacaoUnidade}</w:t>
            </w:r>
          </w:p>
        </w:tc>
      </w:tr>
      <w:tr>
        <w:trPr>
          <w:trHeight w:val="79" w:hRule="atLeast"/>
        </w:trPr>
        <w:tc>
          <w:tcPr>
            <w:tcW w:w="1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  <w:t>Atividade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</w:r>
          </w:p>
        </w:tc>
        <w:tc>
          <w:tcPr>
            <w:tcW w:w="68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eastAsia="Calibri"/>
                <w:sz w:val="24"/>
                <w:szCs w:val="24"/>
                <w:highlight w:val="yellow"/>
                <w:lang w:eastAsia="en-US"/>
              </w:rPr>
            </w:pPr>
            <w:r>
              <w:rPr>
                <w:rFonts w:eastAsia="Calibri"/>
                <w:sz w:val="24"/>
                <w:szCs w:val="24"/>
                <w:highlight w:val="yellow"/>
                <w:lang w:eastAsia="en-US"/>
              </w:rPr>
            </w:r>
          </w:p>
        </w:tc>
      </w:tr>
      <w:tr>
        <w:trPr>
          <w:trHeight w:val="79" w:hRule="atLeast"/>
        </w:trPr>
        <w:tc>
          <w:tcPr>
            <w:tcW w:w="1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  <w:t>Elemento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</w:r>
          </w:p>
        </w:tc>
        <w:tc>
          <w:tcPr>
            <w:tcW w:w="68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eastAsia="Calibri"/>
                <w:sz w:val="24"/>
                <w:szCs w:val="24"/>
                <w:highlight w:val="yellow"/>
                <w:lang w:eastAsia="en-US"/>
              </w:rPr>
            </w:pPr>
            <w:r>
              <w:rPr>
                <w:rFonts w:eastAsia="Calibri"/>
                <w:sz w:val="24"/>
                <w:szCs w:val="24"/>
                <w:highlight w:val="yellow"/>
                <w:lang w:eastAsia="en-US"/>
              </w:rPr>
            </w:r>
          </w:p>
        </w:tc>
      </w:tr>
      <w:tr>
        <w:trPr>
          <w:trHeight w:val="79" w:hRule="atLeast"/>
        </w:trPr>
        <w:tc>
          <w:tcPr>
            <w:tcW w:w="1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b/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  <w:t>Elemento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b/>
                <w:sz w:val="24"/>
                <w:szCs w:val="24"/>
                <w:highlight w:val="yellow"/>
              </w:rPr>
            </w:pPr>
            <w:r>
              <w:rPr>
                <w:b/>
                <w:sz w:val="24"/>
                <w:szCs w:val="24"/>
                <w:highlight w:val="yellow"/>
              </w:rPr>
            </w:r>
          </w:p>
        </w:tc>
        <w:tc>
          <w:tcPr>
            <w:tcW w:w="68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eastAsia="Calibri"/>
                <w:b/>
                <w:sz w:val="24"/>
                <w:szCs w:val="24"/>
                <w:highlight w:val="yellow"/>
                <w:lang w:eastAsia="en-US"/>
              </w:rPr>
            </w:pPr>
            <w:r>
              <w:rPr>
                <w:rFonts w:eastAsia="Calibri"/>
                <w:b/>
                <w:sz w:val="24"/>
                <w:szCs w:val="24"/>
                <w:highlight w:val="yellow"/>
                <w:lang w:eastAsia="en-US"/>
              </w:rPr>
            </w:r>
          </w:p>
        </w:tc>
      </w:tr>
    </w:tbl>
    <w:p>
      <w:pPr>
        <w:pStyle w:val="TableParagraph"/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TableParagraph"/>
        <w:spacing w:lineRule="auto" w:line="360"/>
        <w:rPr/>
      </w:pPr>
      <w:r>
        <w:rPr>
          <w:rFonts w:cs="Times New Roman" w:ascii="Times New Roman" w:hAnsi="Times New Roman"/>
          <w:b/>
          <w:sz w:val="24"/>
          <w:szCs w:val="24"/>
        </w:rPr>
        <w:t>V.</w:t>
      </w:r>
      <w:r>
        <w:rPr>
          <w:rFonts w:cs="Times New Roman" w:ascii="Times New Roman" w:hAnsi="Times New Roman"/>
          <w:b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Indicação</w:t>
      </w:r>
      <w:r>
        <w:rPr>
          <w:rFonts w:cs="Times New Roman" w:ascii="Times New Roman" w:hAnsi="Times New Roman"/>
          <w:b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da</w:t>
      </w:r>
      <w:r>
        <w:rPr>
          <w:rFonts w:cs="Times New Roman" w:ascii="Times New Roman" w:hAnsi="Times New Roman"/>
          <w:b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data</w:t>
      </w:r>
      <w:r>
        <w:rPr>
          <w:rFonts w:cs="Times New Roman" w:ascii="Times New Roman" w:hAnsi="Times New Roman"/>
          <w:b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pretendida</w:t>
      </w:r>
      <w:r>
        <w:rPr>
          <w:rFonts w:cs="Times New Roman" w:ascii="Times New Roman" w:hAnsi="Times New Roman"/>
          <w:b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para</w:t>
      </w:r>
      <w:r>
        <w:rPr>
          <w:rFonts w:cs="Times New Roman" w:ascii="Times New Roman" w:hAnsi="Times New Roman"/>
          <w:b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a</w:t>
      </w:r>
      <w:r>
        <w:rPr>
          <w:rFonts w:cs="Times New Roman" w:ascii="Times New Roman" w:hAnsi="Times New Roman"/>
          <w:b/>
          <w:spacing w:val="-3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conclusão</w:t>
      </w:r>
      <w:r>
        <w:rPr>
          <w:rFonts w:cs="Times New Roman" w:ascii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da</w:t>
      </w:r>
      <w:r>
        <w:rPr>
          <w:rFonts w:cs="Times New Roman" w:ascii="Times New Roman" w:hAnsi="Times New Roman"/>
          <w:b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contratação</w:t>
      </w:r>
      <w:r>
        <w:rPr>
          <w:rFonts w:cs="Times New Roman" w:ascii="Times New Roman" w:hAnsi="Times New Roman"/>
          <w:b/>
          <w:spacing w:val="-3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e</w:t>
      </w:r>
      <w:r>
        <w:rPr>
          <w:rFonts w:cs="Times New Roman" w:ascii="Times New Roman" w:hAnsi="Times New Roman"/>
          <w:b/>
          <w:spacing w:val="-2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vigência</w:t>
      </w:r>
      <w:r>
        <w:rPr>
          <w:rFonts w:cs="Times New Roman" w:ascii="Times New Roman" w:hAnsi="Times New Roman"/>
          <w:b/>
          <w:spacing w:val="-2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do</w:t>
      </w:r>
      <w:r>
        <w:rPr>
          <w:rFonts w:cs="Times New Roman" w:ascii="Times New Roman" w:hAnsi="Times New Roman"/>
          <w:b/>
          <w:spacing w:val="-3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contrato</w:t>
      </w:r>
      <w:r>
        <w:rPr>
          <w:rFonts w:cs="Times New Roman" w:ascii="Times New Roman" w:hAnsi="Times New Roman"/>
          <w:b/>
          <w:spacing w:val="40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(Art.</w:t>
      </w:r>
      <w:r>
        <w:rPr>
          <w:rFonts w:cs="Times New Roman" w:ascii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8º,</w:t>
      </w:r>
      <w:r>
        <w:rPr>
          <w:rFonts w:cs="Times New Roman" w:ascii="Times New Roman" w:hAnsi="Times New Roman"/>
          <w:b/>
          <w:spacing w:val="-2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V do Decreto nº 10.947/22):</w:t>
      </w:r>
    </w:p>
    <w:p>
      <w:pPr>
        <w:pStyle w:val="Normal"/>
        <w:spacing w:lineRule="auto" w:line="360"/>
        <w:rPr>
          <w:spacing w:val="-2"/>
          <w:sz w:val="24"/>
          <w:szCs w:val="24"/>
        </w:rPr>
      </w:pPr>
      <w:r>
        <w:rPr>
          <w:sz w:val="24"/>
          <w:szCs w:val="24"/>
        </w:rPr>
        <w:t>Início: __.__.{exercicio} - Vencimento: 31/12/{exercicio}</w:t>
      </w:r>
      <w:r>
        <w:rPr>
          <w:spacing w:val="-8"/>
          <w:sz w:val="24"/>
          <w:szCs w:val="24"/>
        </w:rPr>
      </w:r>
      <w:r>
        <w:rPr>
          <w:spacing w:val="-8"/>
          <w:sz w:val="24"/>
          <w:szCs w:val="24"/>
          <w:highlight w:val="yellow"/>
        </w:rPr>
      </w:r>
      <w:r>
        <w:rPr>
          <w:spacing w:val="-8"/>
          <w:sz w:val="24"/>
          <w:szCs w:val="24"/>
        </w:rPr>
      </w:r>
      <w:r>
        <w:rPr>
          <w:sz w:val="24"/>
          <w:szCs w:val="24"/>
        </w:rPr>
      </w:r>
      <w:r>
        <w:rPr>
          <w:spacing w:val="-8"/>
          <w:sz w:val="24"/>
          <w:szCs w:val="24"/>
        </w:rPr>
      </w:r>
      <w:r>
        <w:rPr>
          <w:sz w:val="24"/>
          <w:szCs w:val="24"/>
        </w:rPr>
      </w:r>
      <w:r>
        <w:rPr>
          <w:spacing w:val="-6"/>
          <w:sz w:val="24"/>
          <w:szCs w:val="24"/>
        </w:rPr>
      </w:r>
      <w:r>
        <w:rPr>
          <w:sz w:val="24"/>
          <w:szCs w:val="24"/>
        </w:rPr>
      </w:r>
      <w:r>
        <w:rPr>
          <w:spacing w:val="-5"/>
          <w:sz w:val="24"/>
          <w:szCs w:val="24"/>
        </w:rPr>
      </w:r>
      <w:r>
        <w:rPr>
          <w:spacing w:val="-2"/>
          <w:sz w:val="24"/>
          <w:szCs w:val="24"/>
        </w:rPr>
      </w:r>
    </w:p>
    <w:p>
      <w:pPr>
        <w:pStyle w:val="TableParagraph"/>
        <w:spacing w:before="116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VI.</w:t>
      </w:r>
      <w:r>
        <w:rPr>
          <w:rFonts w:cs="Times New Roman" w:ascii="Times New Roman" w:hAnsi="Times New Roman"/>
          <w:b/>
          <w:spacing w:val="-7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Grau</w:t>
      </w:r>
      <w:r>
        <w:rPr>
          <w:rFonts w:cs="Times New Roman" w:ascii="Times New Roman" w:hAnsi="Times New Roman"/>
          <w:b/>
          <w:spacing w:val="-7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de</w:t>
      </w:r>
      <w:r>
        <w:rPr>
          <w:rFonts w:cs="Times New Roman" w:ascii="Times New Roman" w:hAnsi="Times New Roman"/>
          <w:b/>
          <w:spacing w:val="-6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prioridade</w:t>
      </w:r>
      <w:r>
        <w:rPr>
          <w:rFonts w:cs="Times New Roman" w:ascii="Times New Roman" w:hAnsi="Times New Roman"/>
          <w:b/>
          <w:spacing w:val="-7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da</w:t>
      </w:r>
      <w:r>
        <w:rPr>
          <w:rFonts w:cs="Times New Roman" w:ascii="Times New Roman" w:hAnsi="Times New Roman"/>
          <w:b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compra/contratação</w:t>
      </w:r>
      <w:r>
        <w:rPr>
          <w:rFonts w:cs="Times New Roman" w:ascii="Times New Roman" w:hAnsi="Times New Roman"/>
          <w:b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(Art.</w:t>
      </w:r>
      <w:r>
        <w:rPr>
          <w:rFonts w:cs="Times New Roman" w:ascii="Times New Roman" w:hAnsi="Times New Roman"/>
          <w:b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8º,</w:t>
      </w:r>
      <w:r>
        <w:rPr>
          <w:rFonts w:cs="Times New Roman" w:ascii="Times New Roman" w:hAnsi="Times New Roman"/>
          <w:b/>
          <w:spacing w:val="-5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VI</w:t>
      </w:r>
      <w:r>
        <w:rPr>
          <w:rFonts w:cs="Times New Roman" w:ascii="Times New Roman" w:hAnsi="Times New Roman"/>
          <w:b/>
          <w:spacing w:val="-7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do</w:t>
      </w:r>
      <w:r>
        <w:rPr>
          <w:rFonts w:cs="Times New Roman" w:ascii="Times New Roman" w:hAnsi="Times New Roman"/>
          <w:b/>
          <w:spacing w:val="-5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Decreto</w:t>
      </w:r>
      <w:r>
        <w:rPr>
          <w:rFonts w:cs="Times New Roman" w:ascii="Times New Roman" w:hAnsi="Times New Roman"/>
          <w:b/>
          <w:spacing w:val="-6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nº</w:t>
      </w:r>
      <w:r>
        <w:rPr>
          <w:rFonts w:cs="Times New Roman" w:ascii="Times New Roman" w:hAnsi="Times New Roman"/>
          <w:b/>
          <w:spacing w:val="-6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pacing w:val="-2"/>
          <w:sz w:val="24"/>
          <w:szCs w:val="24"/>
        </w:rPr>
        <w:t>10.947/22):</w:t>
      </w:r>
    </w:p>
    <w:p>
      <w:pPr>
        <w:pStyle w:val="Normal"/>
        <w:spacing w:lineRule="auto" w:line="360"/>
        <w:rPr/>
      </w:pPr>
      <w:r>
        <w:rPr>
          <w:sz w:val="24"/>
          <w:szCs w:val="24"/>
        </w:rPr>
        <w:t>(  )</w:t>
      </w:r>
      <w:r>
        <w:rPr>
          <w:spacing w:val="53"/>
          <w:sz w:val="24"/>
          <w:szCs w:val="24"/>
        </w:rPr>
        <w:t xml:space="preserve"> </w:t>
      </w:r>
      <w:r>
        <w:rPr>
          <w:sz w:val="24"/>
          <w:szCs w:val="24"/>
        </w:rPr>
        <w:t>baixo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(  )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médio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(  )</w:t>
      </w:r>
      <w:r>
        <w:rPr>
          <w:spacing w:val="-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alto</w:t>
      </w:r>
    </w:p>
    <w:p>
      <w:pPr>
        <w:pStyle w:val="Normal"/>
        <w:spacing w:lineRule="auto" w:line="360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</w:r>
    </w:p>
    <w:p>
      <w:pPr>
        <w:pStyle w:val="TableParagraph"/>
        <w:spacing w:lineRule="auto" w: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VII.</w:t>
      </w:r>
      <w:r>
        <w:rPr>
          <w:rFonts w:cs="Times New Roman" w:ascii="Times New Roman" w:hAnsi="Times New Roman"/>
          <w:b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Indicação</w:t>
      </w:r>
      <w:r>
        <w:rPr>
          <w:rFonts w:cs="Times New Roman" w:ascii="Times New Roman" w:hAnsi="Times New Roman"/>
          <w:b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de</w:t>
      </w:r>
      <w:r>
        <w:rPr>
          <w:rFonts w:cs="Times New Roman" w:ascii="Times New Roman" w:hAnsi="Times New Roman"/>
          <w:b/>
          <w:spacing w:val="-2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vinculação</w:t>
      </w:r>
      <w:r>
        <w:rPr>
          <w:rFonts w:cs="Times New Roman" w:ascii="Times New Roman" w:hAnsi="Times New Roman"/>
          <w:b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ou</w:t>
      </w:r>
      <w:r>
        <w:rPr>
          <w:rFonts w:cs="Times New Roman" w:ascii="Times New Roman" w:hAnsi="Times New Roman"/>
          <w:b/>
          <w:spacing w:val="-3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dependência</w:t>
      </w:r>
      <w:r>
        <w:rPr>
          <w:rFonts w:cs="Times New Roman" w:ascii="Times New Roman" w:hAnsi="Times New Roman"/>
          <w:b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com</w:t>
      </w:r>
      <w:r>
        <w:rPr>
          <w:rFonts w:cs="Times New Roman" w:ascii="Times New Roman" w:hAnsi="Times New Roman"/>
          <w:b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o objeto</w:t>
      </w:r>
      <w:r>
        <w:rPr>
          <w:rFonts w:cs="Times New Roman" w:ascii="Times New Roman" w:hAnsi="Times New Roman"/>
          <w:b/>
          <w:spacing w:val="-3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de</w:t>
      </w:r>
      <w:r>
        <w:rPr>
          <w:rFonts w:cs="Times New Roman" w:ascii="Times New Roman" w:hAnsi="Times New Roman"/>
          <w:b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outro</w:t>
      </w:r>
      <w:r>
        <w:rPr>
          <w:rFonts w:cs="Times New Roman" w:ascii="Times New Roman" w:hAnsi="Times New Roman"/>
          <w:b/>
          <w:spacing w:val="-3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DFD (Art.</w:t>
      </w:r>
      <w:r>
        <w:rPr>
          <w:rFonts w:cs="Times New Roman" w:ascii="Times New Roman" w:hAnsi="Times New Roman"/>
          <w:b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8º,</w:t>
      </w:r>
      <w:r>
        <w:rPr>
          <w:rFonts w:cs="Times New Roman" w:ascii="Times New Roman" w:hAnsi="Times New Roman"/>
          <w:b/>
          <w:spacing w:val="-2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VII</w:t>
      </w:r>
      <w:r>
        <w:rPr>
          <w:rFonts w:cs="Times New Roman" w:ascii="Times New Roman" w:hAnsi="Times New Roman"/>
          <w:b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do</w:t>
      </w:r>
      <w:r>
        <w:rPr>
          <w:rFonts w:cs="Times New Roman" w:ascii="Times New Roman" w:hAnsi="Times New Roman"/>
          <w:b/>
          <w:spacing w:val="-3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Decreto</w:t>
      </w:r>
      <w:r>
        <w:rPr>
          <w:rFonts w:cs="Times New Roman" w:ascii="Times New Roman" w:hAnsi="Times New Roman"/>
          <w:b/>
          <w:spacing w:val="-3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 xml:space="preserve">nº </w:t>
      </w:r>
      <w:r>
        <w:rPr>
          <w:rFonts w:cs="Times New Roman" w:ascii="Times New Roman" w:hAnsi="Times New Roman"/>
          <w:b/>
          <w:spacing w:val="-2"/>
          <w:sz w:val="24"/>
          <w:szCs w:val="24"/>
        </w:rPr>
        <w:t>10.947/22):</w:t>
      </w:r>
    </w:p>
    <w:p>
      <w:pPr>
        <w:pStyle w:val="TableParagraph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(  )</w:t>
      </w:r>
      <w:r>
        <w:rPr>
          <w:rFonts w:cs="Times New Roman" w:ascii="Times New Roman" w:hAnsi="Times New Roman"/>
          <w:spacing w:val="53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sim</w:t>
      </w:r>
      <w:r>
        <w:rPr>
          <w:rFonts w:cs="Times New Roman" w:ascii="Times New Roman" w:hAnsi="Times New Roman"/>
          <w:spacing w:val="-2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-</w:t>
      </w:r>
      <w:r>
        <w:rPr>
          <w:rFonts w:cs="Times New Roman" w:ascii="Times New Roman" w:hAnsi="Times New Roman"/>
          <w:spacing w:val="-1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color w:val="000000"/>
          <w:sz w:val="24"/>
          <w:szCs w:val="24"/>
        </w:rPr>
        <w:t>x</w:t>
      </w:r>
      <w:r>
        <w:rPr>
          <w:rFonts w:cs="Times New Roman" w:ascii="Times New Roman" w:hAnsi="Times New Roman"/>
          <w:sz w:val="24"/>
          <w:szCs w:val="24"/>
        </w:rPr>
        <w:t>)</w:t>
      </w:r>
      <w:r>
        <w:rPr>
          <w:rFonts w:cs="Times New Roman" w:ascii="Times New Roman" w:hAnsi="Times New Roman"/>
          <w:spacing w:val="-1"/>
          <w:sz w:val="24"/>
          <w:szCs w:val="24"/>
        </w:rPr>
        <w:t xml:space="preserve"> </w:t>
      </w:r>
      <w:r>
        <w:rPr>
          <w:rFonts w:cs="Times New Roman" w:ascii="Times New Roman" w:hAnsi="Times New Roman"/>
          <w:spacing w:val="-5"/>
          <w:sz w:val="24"/>
          <w:szCs w:val="24"/>
        </w:rPr>
        <w:t>não</w:t>
      </w:r>
    </w:p>
    <w:p>
      <w:pPr>
        <w:pStyle w:val="TableParagraph"/>
        <w:spacing w:before="119"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VIII.</w:t>
      </w:r>
      <w:r>
        <w:rPr>
          <w:rFonts w:cs="Times New Roman" w:ascii="Times New Roman" w:hAnsi="Times New Roman"/>
          <w:b/>
          <w:spacing w:val="-2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Área</w:t>
      </w:r>
      <w:r>
        <w:rPr>
          <w:rFonts w:cs="Times New Roman" w:ascii="Times New Roman" w:hAnsi="Times New Roman"/>
          <w:b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requisitante</w:t>
      </w:r>
      <w:r>
        <w:rPr>
          <w:rFonts w:cs="Times New Roman" w:ascii="Times New Roman" w:hAnsi="Times New Roman"/>
          <w:b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ou</w:t>
      </w:r>
      <w:r>
        <w:rPr>
          <w:rFonts w:cs="Times New Roman" w:ascii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técnica</w:t>
      </w:r>
      <w:r>
        <w:rPr>
          <w:rFonts w:cs="Times New Roman" w:ascii="Times New Roman" w:hAnsi="Times New Roman"/>
          <w:b/>
          <w:spacing w:val="-3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com</w:t>
      </w:r>
      <w:r>
        <w:rPr>
          <w:rFonts w:cs="Times New Roman" w:ascii="Times New Roman" w:hAnsi="Times New Roman"/>
          <w:b/>
          <w:spacing w:val="-3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a</w:t>
      </w:r>
      <w:r>
        <w:rPr>
          <w:rFonts w:cs="Times New Roman" w:ascii="Times New Roman" w:hAnsi="Times New Roman"/>
          <w:b/>
          <w:spacing w:val="-2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identificação</w:t>
      </w:r>
      <w:r>
        <w:rPr>
          <w:rFonts w:cs="Times New Roman" w:ascii="Times New Roman" w:hAnsi="Times New Roman"/>
          <w:b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do</w:t>
      </w:r>
      <w:r>
        <w:rPr>
          <w:rFonts w:cs="Times New Roman" w:ascii="Times New Roman" w:hAnsi="Times New Roman"/>
          <w:b/>
          <w:spacing w:val="-3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responsável (Art.</w:t>
      </w:r>
      <w:r>
        <w:rPr>
          <w:rFonts w:cs="Times New Roman" w:ascii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8º,</w:t>
      </w:r>
      <w:r>
        <w:rPr>
          <w:rFonts w:cs="Times New Roman" w:ascii="Times New Roman" w:hAnsi="Times New Roman"/>
          <w:b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VIII</w:t>
      </w:r>
      <w:r>
        <w:rPr>
          <w:rFonts w:cs="Times New Roman" w:ascii="Times New Roman" w:hAnsi="Times New Roman"/>
          <w:b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do</w:t>
      </w:r>
      <w:r>
        <w:rPr>
          <w:rFonts w:cs="Times New Roman" w:ascii="Times New Roman" w:hAnsi="Times New Roman"/>
          <w:b/>
          <w:spacing w:val="-3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Decreto</w:t>
      </w:r>
      <w:r>
        <w:rPr>
          <w:rFonts w:cs="Times New Roman" w:ascii="Times New Roman" w:hAnsi="Times New Roman"/>
          <w:b/>
          <w:spacing w:val="-3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 xml:space="preserve">nº </w:t>
      </w:r>
      <w:r>
        <w:rPr>
          <w:rFonts w:cs="Times New Roman" w:ascii="Times New Roman" w:hAnsi="Times New Roman"/>
          <w:b/>
          <w:spacing w:val="-2"/>
          <w:sz w:val="24"/>
          <w:szCs w:val="24"/>
        </w:rPr>
        <w:t>10.947/22):</w:t>
      </w:r>
    </w:p>
    <w:p>
      <w:pPr>
        <w:pStyle w:val="TableParagraph"/>
        <w:spacing w:before="121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Area</w:t>
      </w:r>
      <w:r>
        <w:rPr>
          <w:rFonts w:cs="Times New Roman" w:ascii="Times New Roman" w:hAnsi="Times New Roman"/>
          <w:b/>
          <w:spacing w:val="-6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requisitante</w:t>
      </w:r>
      <w:r>
        <w:rPr>
          <w:rFonts w:cs="Times New Roman" w:ascii="Times New Roman" w:hAnsi="Times New Roman"/>
          <w:b/>
          <w:spacing w:val="-8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ou</w:t>
      </w:r>
      <w:r>
        <w:rPr>
          <w:rFonts w:cs="Times New Roman" w:ascii="Times New Roman" w:hAnsi="Times New Roman"/>
          <w:b/>
          <w:spacing w:val="-7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técnica:</w:t>
      </w:r>
      <w:r>
        <w:rPr>
          <w:rFonts w:cs="Times New Roman" w:ascii="Times New Roman" w:hAnsi="Times New Roman"/>
          <w:b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SECRETARIA</w:t>
      </w:r>
      <w:r>
        <w:rPr>
          <w:rFonts w:cs="Times New Roman" w:ascii="Times New Roman" w:hAnsi="Times New Roman"/>
          <w:spacing w:val="-9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DE</w:t>
      </w:r>
      <w:r>
        <w:rPr>
          <w:rFonts w:cs="Times New Roman" w:ascii="Times New Roman" w:hAnsi="Times New Roman"/>
          <w:spacing w:val="-6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EDUCAÇÃO</w:t>
      </w:r>
    </w:p>
    <w:p>
      <w:pPr>
        <w:pStyle w:val="TableParagraph"/>
        <w:spacing w:before="119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Responsável pela demanda: {secretarioNome}</w:t>
      </w:r>
      <w:r>
        <w:rPr>
          <w:rFonts w:cs="Times New Roman" w:ascii="Times New Roman" w:hAnsi="Times New Roman"/>
          <w:b/>
          <w:spacing w:val="-8"/>
          <w:sz w:val="24"/>
          <w:szCs w:val="24"/>
        </w:rPr>
      </w:r>
      <w:r>
        <w:rPr>
          <w:rFonts w:cs="Times New Roman" w:ascii="Times New Roman" w:hAnsi="Times New Roman"/>
          <w:b/>
          <w:sz w:val="24"/>
          <w:szCs w:val="24"/>
        </w:rPr>
      </w:r>
      <w:r>
        <w:rPr>
          <w:rFonts w:cs="Times New Roman" w:ascii="Times New Roman" w:hAnsi="Times New Roman"/>
          <w:b/>
          <w:spacing w:val="-9"/>
          <w:sz w:val="24"/>
          <w:szCs w:val="24"/>
        </w:rPr>
      </w:r>
      <w:r>
        <w:rPr>
          <w:rFonts w:cs="Times New Roman" w:ascii="Times New Roman" w:hAnsi="Times New Roman"/>
          <w:b/>
          <w:sz w:val="24"/>
          <w:szCs w:val="24"/>
        </w:rPr>
      </w:r>
      <w:r>
        <w:rPr>
          <w:rFonts w:cs="Times New Roman" w:ascii="Times New Roman" w:hAnsi="Times New Roman"/>
          <w:b/>
          <w:spacing w:val="-5"/>
          <w:sz w:val="24"/>
          <w:szCs w:val="24"/>
        </w:rPr>
      </w:r>
      <w:r>
        <w:rPr>
          <w:rFonts w:cs="Times New Roman" w:ascii="Times New Roman" w:hAnsi="Times New Roman"/>
          <w:sz w:val="24"/>
          <w:szCs w:val="24"/>
        </w:rPr>
      </w:r>
      <w:r>
        <w:rPr>
          <w:rFonts w:cs="Times New Roman" w:ascii="Times New Roman" w:hAnsi="Times New Roman"/>
          <w:spacing w:val="-8"/>
          <w:sz w:val="24"/>
          <w:szCs w:val="24"/>
        </w:rPr>
      </w:r>
      <w:r>
        <w:rPr>
          <w:rFonts w:cs="Times New Roman" w:ascii="Times New Roman" w:hAnsi="Times New Roman"/>
          <w:sz w:val="24"/>
          <w:szCs w:val="24"/>
        </w:rPr>
      </w:r>
    </w:p>
    <w:p>
      <w:pPr>
        <w:pStyle w:val="TableParagraph"/>
        <w:spacing w:before="12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FUNÇÃO: Secretário Municipal de Educação</w:t>
      </w:r>
    </w:p>
    <w:p>
      <w:pPr>
        <w:pStyle w:val="TableParagraph"/>
        <w:spacing w:before="12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TableParagraph"/>
        <w:spacing w:before="119" w:after="0"/>
        <w:rPr/>
      </w:pPr>
      <w:r>
        <w:rPr>
          <w:rFonts w:cs="Times New Roman" w:ascii="Times New Roman" w:hAnsi="Times New Roman"/>
          <w:b/>
          <w:sz w:val="24"/>
          <w:szCs w:val="24"/>
        </w:rPr>
        <w:t>IX.</w:t>
      </w:r>
      <w:r>
        <w:rPr>
          <w:rFonts w:cs="Times New Roman" w:ascii="Times New Roman" w:hAnsi="Times New Roman"/>
          <w:b/>
          <w:spacing w:val="-9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Classificação</w:t>
      </w:r>
      <w:r>
        <w:rPr>
          <w:rFonts w:cs="Times New Roman" w:ascii="Times New Roman" w:hAnsi="Times New Roman"/>
          <w:b/>
          <w:spacing w:val="-7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</w:rPr>
        <w:t>do</w:t>
      </w:r>
      <w:r>
        <w:rPr>
          <w:rFonts w:cs="Times New Roman" w:ascii="Times New Roman" w:hAnsi="Times New Roman"/>
          <w:b/>
          <w:spacing w:val="-7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spacing w:val="-2"/>
          <w:sz w:val="24"/>
          <w:szCs w:val="24"/>
        </w:rPr>
        <w:t>objeto:</w:t>
      </w:r>
    </w:p>
    <w:p>
      <w:pPr>
        <w:pStyle w:val="TableParagraph"/>
        <w:spacing w:before="119" w:after="0"/>
        <w:rPr>
          <w:rFonts w:ascii="Times New Roman" w:hAnsi="Times New Roman" w:cs="Times New Roman"/>
          <w:b/>
          <w:spacing w:val="-2"/>
          <w:sz w:val="24"/>
          <w:szCs w:val="24"/>
        </w:rPr>
      </w:pPr>
      <w:r>
        <w:rPr>
          <w:rFonts w:cs="Times New Roman" w:ascii="Times New Roman" w:hAnsi="Times New Roman"/>
          <w:b/>
          <w:spacing w:val="-2"/>
          <w:sz w:val="24"/>
          <w:szCs w:val="24"/>
        </w:rPr>
      </w:r>
    </w:p>
    <w:p>
      <w:pPr>
        <w:pStyle w:val="TableParagraph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pacing w:val="50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)</w:t>
      </w:r>
      <w:r>
        <w:rPr>
          <w:rFonts w:cs="Times New Roman" w:ascii="Times New Roman" w:hAnsi="Times New Roman"/>
          <w:spacing w:val="-1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Bens</w:t>
      </w:r>
      <w:r>
        <w:rPr>
          <w:rFonts w:cs="Times New Roman" w:ascii="Times New Roman" w:hAnsi="Times New Roman"/>
          <w:spacing w:val="-2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e</w:t>
      </w:r>
      <w:r>
        <w:rPr>
          <w:rFonts w:cs="Times New Roman" w:ascii="Times New Roman" w:hAnsi="Times New Roman"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serviços</w:t>
      </w:r>
      <w:r>
        <w:rPr>
          <w:rFonts w:cs="Times New Roman" w:ascii="Times New Roman" w:hAnsi="Times New Roman"/>
          <w:spacing w:val="-1"/>
          <w:sz w:val="24"/>
          <w:szCs w:val="24"/>
        </w:rPr>
        <w:t xml:space="preserve"> </w:t>
      </w:r>
      <w:r>
        <w:rPr>
          <w:rFonts w:cs="Times New Roman" w:ascii="Times New Roman" w:hAnsi="Times New Roman"/>
          <w:spacing w:val="-2"/>
          <w:sz w:val="24"/>
          <w:szCs w:val="24"/>
        </w:rPr>
        <w:t>comuns;</w:t>
      </w:r>
    </w:p>
    <w:p>
      <w:pPr>
        <w:pStyle w:val="TableParagraph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pacing w:val="50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)</w:t>
      </w:r>
      <w:r>
        <w:rPr>
          <w:rFonts w:cs="Times New Roman" w:ascii="Times New Roman" w:hAnsi="Times New Roman"/>
          <w:spacing w:val="-1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Bens</w:t>
      </w:r>
      <w:r>
        <w:rPr>
          <w:rFonts w:cs="Times New Roman" w:ascii="Times New Roman" w:hAnsi="Times New Roman"/>
          <w:spacing w:val="-2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e</w:t>
      </w:r>
      <w:r>
        <w:rPr>
          <w:rFonts w:cs="Times New Roman" w:ascii="Times New Roman" w:hAnsi="Times New Roman"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serviços</w:t>
      </w:r>
      <w:r>
        <w:rPr>
          <w:rFonts w:cs="Times New Roman" w:ascii="Times New Roman" w:hAnsi="Times New Roman"/>
          <w:spacing w:val="-1"/>
          <w:sz w:val="24"/>
          <w:szCs w:val="24"/>
        </w:rPr>
        <w:t xml:space="preserve"> </w:t>
      </w:r>
      <w:r>
        <w:rPr>
          <w:rFonts w:cs="Times New Roman" w:ascii="Times New Roman" w:hAnsi="Times New Roman"/>
          <w:spacing w:val="-2"/>
          <w:sz w:val="24"/>
          <w:szCs w:val="24"/>
        </w:rPr>
        <w:t>especiais;</w:t>
      </w:r>
    </w:p>
    <w:p>
      <w:pPr>
        <w:pStyle w:val="TableParagraph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pacing w:val="50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)</w:t>
      </w:r>
      <w:r>
        <w:rPr>
          <w:rFonts w:cs="Times New Roman" w:ascii="Times New Roman" w:hAnsi="Times New Roman"/>
          <w:spacing w:val="-6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Serviço</w:t>
      </w:r>
      <w:r>
        <w:rPr>
          <w:rFonts w:cs="Times New Roman" w:ascii="Times New Roman" w:hAnsi="Times New Roman"/>
          <w:spacing w:val="-5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não</w:t>
      </w:r>
      <w:r>
        <w:rPr>
          <w:rFonts w:cs="Times New Roman" w:ascii="Times New Roman" w:hAnsi="Times New Roman"/>
          <w:spacing w:val="-6"/>
          <w:sz w:val="24"/>
          <w:szCs w:val="24"/>
        </w:rPr>
        <w:t xml:space="preserve"> </w:t>
      </w:r>
      <w:r>
        <w:rPr>
          <w:rFonts w:cs="Times New Roman" w:ascii="Times New Roman" w:hAnsi="Times New Roman"/>
          <w:spacing w:val="-2"/>
          <w:sz w:val="24"/>
          <w:szCs w:val="24"/>
        </w:rPr>
        <w:t>continuado;</w:t>
      </w:r>
    </w:p>
    <w:p>
      <w:pPr>
        <w:pStyle w:val="TableParagraph"/>
        <w:spacing w:lineRule="auto" w:line="360"/>
        <w:rPr/>
      </w:pP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pacing w:val="50"/>
          <w:sz w:val="24"/>
          <w:szCs w:val="24"/>
        </w:rPr>
        <w:t>x</w:t>
      </w:r>
      <w:r>
        <w:rPr>
          <w:rFonts w:cs="Times New Roman" w:ascii="Times New Roman" w:hAnsi="Times New Roman"/>
          <w:sz w:val="24"/>
          <w:szCs w:val="24"/>
        </w:rPr>
        <w:t>) Serviço continuado s/ DEMO;</w:t>
      </w:r>
    </w:p>
    <w:p>
      <w:pPr>
        <w:pStyle w:val="TableParagraph"/>
        <w:spacing w:lineRule="auto" w:line="360"/>
        <w:rPr/>
      </w:pP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pacing w:val="50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)</w:t>
      </w:r>
      <w:r>
        <w:rPr>
          <w:rFonts w:cs="Times New Roman" w:ascii="Times New Roman" w:hAnsi="Times New Roman"/>
          <w:spacing w:val="-5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Serviço</w:t>
      </w:r>
      <w:r>
        <w:rPr>
          <w:rFonts w:cs="Times New Roman" w:ascii="Times New Roman" w:hAnsi="Times New Roman"/>
          <w:spacing w:val="-6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continuado</w:t>
      </w:r>
      <w:r>
        <w:rPr>
          <w:rFonts w:cs="Times New Roman" w:ascii="Times New Roman" w:hAnsi="Times New Roman"/>
          <w:spacing w:val="-7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c/</w:t>
      </w:r>
      <w:r>
        <w:rPr>
          <w:rFonts w:cs="Times New Roman" w:ascii="Times New Roman" w:hAnsi="Times New Roman"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DEMO;</w:t>
      </w:r>
    </w:p>
    <w:p>
      <w:pPr>
        <w:pStyle w:val="TableParagraph"/>
        <w:spacing w:lineRule="auto" w:line="360"/>
        <w:rPr/>
      </w:pPr>
      <w:r>
        <w:rPr>
          <w:rFonts w:cs="Times New Roman" w:ascii="Times New Roman" w:hAnsi="Times New Roman"/>
          <w:sz w:val="24"/>
          <w:szCs w:val="24"/>
        </w:rPr>
        <w:t>(  ) Fornecimentos contínuos;</w:t>
      </w:r>
    </w:p>
    <w:p>
      <w:pPr>
        <w:pStyle w:val="TableParagraph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pacing w:val="50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)</w:t>
      </w:r>
      <w:r>
        <w:rPr>
          <w:rFonts w:cs="Times New Roman" w:ascii="Times New Roman" w:hAnsi="Times New Roman"/>
          <w:spacing w:val="-2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Fornecimento</w:t>
      </w:r>
      <w:r>
        <w:rPr>
          <w:rFonts w:cs="Times New Roman" w:ascii="Times New Roman" w:hAnsi="Times New Roman"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não</w:t>
      </w:r>
      <w:r>
        <w:rPr>
          <w:rFonts w:cs="Times New Roman" w:ascii="Times New Roman" w:hAnsi="Times New Roman"/>
          <w:spacing w:val="-5"/>
          <w:sz w:val="24"/>
          <w:szCs w:val="24"/>
        </w:rPr>
        <w:t xml:space="preserve"> </w:t>
      </w:r>
      <w:r>
        <w:rPr>
          <w:rFonts w:cs="Times New Roman" w:ascii="Times New Roman" w:hAnsi="Times New Roman"/>
          <w:spacing w:val="-2"/>
          <w:sz w:val="24"/>
          <w:szCs w:val="24"/>
        </w:rPr>
        <w:t>contínuo;</w:t>
      </w:r>
    </w:p>
    <w:p>
      <w:pPr>
        <w:pStyle w:val="TableParagraph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pacing w:val="50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)</w:t>
      </w:r>
      <w:r>
        <w:rPr>
          <w:rFonts w:cs="Times New Roman" w:ascii="Times New Roman" w:hAnsi="Times New Roman"/>
          <w:spacing w:val="-3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Serviços</w:t>
      </w:r>
      <w:r>
        <w:rPr>
          <w:rFonts w:cs="Times New Roman" w:ascii="Times New Roman" w:hAnsi="Times New Roman"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não</w:t>
      </w:r>
      <w:r>
        <w:rPr>
          <w:rFonts w:cs="Times New Roman" w:ascii="Times New Roman" w:hAnsi="Times New Roman"/>
          <w:spacing w:val="-6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contínuos</w:t>
      </w:r>
      <w:r>
        <w:rPr>
          <w:rFonts w:cs="Times New Roman" w:ascii="Times New Roman" w:hAnsi="Times New Roman"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ou</w:t>
      </w:r>
      <w:r>
        <w:rPr>
          <w:rFonts w:cs="Times New Roman" w:ascii="Times New Roman" w:hAnsi="Times New Roman"/>
          <w:spacing w:val="-5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contratados</w:t>
      </w:r>
      <w:r>
        <w:rPr>
          <w:rFonts w:cs="Times New Roman" w:ascii="Times New Roman" w:hAnsi="Times New Roman"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por</w:t>
      </w:r>
      <w:r>
        <w:rPr>
          <w:rFonts w:cs="Times New Roman" w:ascii="Times New Roman" w:hAnsi="Times New Roman"/>
          <w:spacing w:val="-4"/>
          <w:sz w:val="24"/>
          <w:szCs w:val="24"/>
        </w:rPr>
        <w:t xml:space="preserve"> </w:t>
      </w:r>
      <w:r>
        <w:rPr>
          <w:rFonts w:cs="Times New Roman" w:ascii="Times New Roman" w:hAnsi="Times New Roman"/>
          <w:spacing w:val="-2"/>
          <w:sz w:val="24"/>
          <w:szCs w:val="24"/>
        </w:rPr>
        <w:t>escopo.</w:t>
      </w:r>
    </w:p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360"/>
        <w:rPr/>
      </w:pPr>
      <w:r>
        <w:rPr>
          <w:b/>
          <w:sz w:val="24"/>
          <w:szCs w:val="24"/>
        </w:rPr>
        <w:t>X.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Necessidade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de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análise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de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risco:</w:t>
      </w:r>
      <w:r>
        <w:rPr>
          <w:b/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spacing w:val="154"/>
          <w:sz w:val="24"/>
          <w:szCs w:val="24"/>
          <w:u w:val="single" w:color="FE0000"/>
        </w:rPr>
        <w:t xml:space="preserve"> </w:t>
      </w:r>
      <w:r>
        <w:rPr>
          <w:sz w:val="24"/>
          <w:szCs w:val="24"/>
        </w:rPr>
        <w:t>)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sim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(X)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não</w:t>
      </w:r>
    </w:p>
    <w:p>
      <w:pPr>
        <w:pStyle w:val="Normal"/>
        <w:spacing w:lineRule="auto" w:line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lineRule="auto" w:line="360"/>
        <w:jc w:val="end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Style w:val="bzpyqfadein"/>
          <w:rFonts w:cs="Times New Roman" w:ascii="Times New Roman" w:hAnsi="Times New Roman"/>
          <w:sz w:val="24"/>
          <w:szCs w:val="24"/>
        </w:rPr>
        <w:t>{municipioNome} – {municipioUF}, {dataDocumento}.</w:t>
      </w:r>
      <w:r>
        <w:rPr>
          <w:rFonts w:cs="Times New Roman" w:ascii="Times New Roman" w:hAnsi="Times New Roman"/>
          <w:color w:val="000000"/>
          <w:sz w:val="24"/>
          <w:szCs w:val="24"/>
        </w:rPr>
      </w:r>
      <w:r>
        <w:rPr>
          <w:rFonts w:cs="Times New Roman" w:ascii="Times New Roman" w:hAnsi="Times New Roman"/>
          <w:color w:val="000000"/>
          <w:sz w:val="24"/>
          <w:szCs w:val="24"/>
          <w:lang w:val="pt-BR"/>
        </w:rPr>
      </w:r>
      <w:r>
        <w:rPr>
          <w:rFonts w:cs="Times New Roman" w:ascii="Times New Roman" w:hAnsi="Times New Roman"/>
          <w:color w:val="000000"/>
          <w:sz w:val="24"/>
          <w:szCs w:val="24"/>
          <w:highlight w:val="yellow"/>
          <w:lang w:val="pt-BR"/>
        </w:rPr>
      </w:r>
      <w:r>
        <w:rPr>
          <w:rFonts w:cs="Times New Roman" w:ascii="Times New Roman" w:hAnsi="Times New Roman"/>
          <w:color w:val="000000"/>
          <w:sz w:val="24"/>
          <w:szCs w:val="24"/>
        </w:rPr>
      </w:r>
      <w:r>
        <w:rPr>
          <w:rFonts w:cs="Times New Roman" w:ascii="Times New Roman" w:hAnsi="Times New Roman"/>
          <w:color w:val="000000"/>
          <w:sz w:val="24"/>
          <w:szCs w:val="24"/>
          <w:lang w:val="pt-BR"/>
        </w:rPr>
      </w: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/>
          <w:color w:val="000000"/>
          <w:sz w:val="24"/>
          <w:szCs w:val="24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jc w:val="center"/>
      </w:pPr>
      <w:r>
        <w:rPr>
          <w:sz w:val="24"/>
          <w:szCs w:val="24"/>
        </w:rPr>
        <w:t xml:space="preserve">_______________________________</w:t>
      </w:r>
    </w:p>
    <w:p>
      <w:pPr>
        <w:jc w:val="center"/>
      </w:pPr>
      <w:r>
        <w:rPr>
          <w:sz w:val="24"/>
          <w:szCs w:val="24"/>
          <w:b/>
        </w:rPr>
        <w:t>{secretarioNome}</w:t>
      </w:r>
    </w:p>
    <w:p>
      <w:pPr>
        <w:jc w:val="center"/>
      </w:pPr>
      <w:r>
        <w:rPr>
          <w:sz w:val="24"/>
          <w:szCs w:val="24"/>
        </w:rPr>
        <w:t xml:space="preserve">Secretário(a) Municipal de Educação</w:t>
      </w:r>
    </w:p>
    <w:p>
      <w:pPr>
        <w:pStyle w:val="Normal"/>
        <w:jc w:val="center"/>
        <w:rPr/>
      </w:pPr>
      <w:r>
        <w:rPr>
          <w:sz w:val="24"/>
          <w:szCs w:val="24"/>
        </w:rPr>
        <w:t>Decreto Nº {secretarioDecreto}</w:t>
      </w:r>
    </w:p>
    <w:sectPr>
      <w:headerReference w:type="default" r:id="rId2"/>
      <w:headerReference w:type="first" r:id="rId7"/>
      <w:footerReference w:type="default" r:id="rId8"/>
      <w:footerReference w:type="first" r:id="rId9"/>
      <w:type w:val="nextPage"/>
      <w:pgSz w:w="11906" w:h="16838"/>
      <w:pgMar w:left="1418" w:right="992" w:gutter="0" w:header="680" w:top="736" w:footer="0" w:bottom="70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0" w:characterSet="windows-1252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Arial MT">
    <w:altName w:val="Arial"/>
    <w:charset w:val="01"/>
    <w:family w:val="swiss"/>
    <w:pitch w:val="variable"/>
  </w:font>
  <w:font w:name="Courier New">
    <w:charset w:val="00" w:characterSet="windows-1252"/>
    <w:family w:val="modern"/>
    <w:pitch w:val="fixed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6" w:space="6" w:color="A2A6B2"/>
      </w:pBdr>
      <w:spacing w:after="0"/>
      <w:jc w:val="center"/>
    </w:pPr>
    <w:r>
      <w:rPr>
        <w:rFonts w:ascii="Arial" w:hAnsi="Arial" w:cs="Arial"/>
        <w:color w:val="5A5E6A"/>
        <w:sz w:val="15"/>
        <w:szCs w:val="15"/>
      </w:rPr>
      <w:t xml:space="preserve">GLOBAL SERVICES COMPANY LTDA · CNPJ 26.137.996/0001-75</w:t>
    </w:r>
  </w:p>
  <w:p>
    <w:pPr>
      <w:spacing w:after="0"/>
      <w:jc w:val="center"/>
    </w:pPr>
    <w:r>
      <w:rPr>
        <w:rFonts w:ascii="Arial" w:hAnsi="Arial" w:cs="Arial"/>
        <w:color w:val="5A5E6A"/>
        <w:sz w:val="15"/>
        <w:szCs w:val="15"/>
      </w:rPr>
      <w:t xml:space="preserve">Pe. Orthon Vieira Lima, S/N, Centro — Santa Maria da Vitória/BA · (61) 98155-1533 · globalconsultorias@icloud.com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6" w:space="6" w:color="A2A6B2"/>
      </w:pBdr>
      <w:spacing w:after="0"/>
      <w:jc w:val="center"/>
    </w:pPr>
    <w:r>
      <w:rPr>
        <w:rFonts w:ascii="Arial" w:hAnsi="Arial" w:cs="Arial"/>
        <w:color w:val="5A5E6A"/>
        <w:sz w:val="15"/>
        <w:szCs w:val="15"/>
      </w:rPr>
      <w:t xml:space="preserve">GLOBAL SERVICES COMPANY LTDA · CNPJ 26.137.996/0001-75</w:t>
    </w:r>
  </w:p>
  <w:p>
    <w:pPr>
      <w:spacing w:after="0"/>
      <w:jc w:val="center"/>
    </w:pPr>
    <w:r>
      <w:rPr>
        <w:rFonts w:ascii="Arial" w:hAnsi="Arial" w:cs="Arial"/>
        <w:color w:val="5A5E6A"/>
        <w:sz w:val="15"/>
        <w:szCs w:val="15"/>
      </w:rPr>
      <w:t xml:space="preserve">Pe. Orthon Vieira Lima, S/N, Centro — Santa Maria da Vitória/BA · (61) 98155-1533 · globalconsultorias@icloud.com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inline distT="0" distB="0" distL="0" distR="0">
          <wp:extent cx="1728000" cy="38736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8000" cy="387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sz="12" w:space="6" w:color="16181D"/>
      </w:pBdr>
      <w:spacing w:after="240"/>
      <w:jc w:val="left"/>
    </w:pPr>
    <w:r>
      <w:rPr>
        <w:rFonts w:ascii="Arial" w:hAnsi="Arial" w:cs="Arial"/>
        <w:color w:val="5A5E6A"/>
        <w:sz w:val="17"/>
        <w:szCs w:val="17"/>
      </w:rPr>
      <w:t xml:space="preserve">Inteligência Técnica para Gestão Educacional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inline distT="0" distB="0" distL="0" distR="0">
          <wp:extent cx="1728000" cy="38736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8000" cy="387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sz="12" w:space="6" w:color="16181D"/>
      </w:pBdr>
      <w:spacing w:after="240"/>
      <w:jc w:val="left"/>
    </w:pPr>
    <w:r>
      <w:rPr>
        <w:rFonts w:ascii="Arial" w:hAnsi="Arial" w:cs="Arial"/>
        <w:color w:val="5A5E6A"/>
        <w:sz w:val="17"/>
        <w:szCs w:val="17"/>
      </w:rPr>
      <w:t xml:space="preserve">Inteligência Técnica para Gestão Educacional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pt-B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ind w:firstLine="720" w:start="0" w:end="0"/>
      <w:jc w:val="center"/>
      <w:outlineLvl w:val="0"/>
    </w:pPr>
    <w:rPr>
      <w:rFonts w:ascii="Arial" w:hAnsi="Arial" w:cs="Arial"/>
      <w:b/>
      <w:u w:val="single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  <w:lang w:val="pt-BR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Cambria" w:hAnsi="Cambria" w:eastAsia="Times New Roman" w:cs="Times New Roman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outlineLvl w:val="3"/>
    </w:pPr>
    <w:rPr>
      <w:rFonts w:ascii="Arial" w:hAnsi="Arial" w:cs="Arial"/>
      <w:b/>
      <w:u w:val="single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jc w:val="center"/>
      <w:outlineLvl w:val="4"/>
    </w:pPr>
    <w:rPr>
      <w:rFonts w:ascii="Arial" w:hAnsi="Arial" w:cs="Arial"/>
      <w:sz w:val="30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Arial" w:hAnsi="Arial" w:eastAsia="Calibri" w:cs="Arial"/>
      <w:i/>
      <w:iCs/>
      <w:w w:val="99"/>
      <w:sz w:val="24"/>
      <w:szCs w:val="24"/>
      <w:u w:val="none"/>
      <w:lang w:val="pt-PT" w:bidi="ar-SA"/>
    </w:rPr>
  </w:style>
  <w:style w:type="character" w:styleId="WW8Num2z1">
    <w:name w:val="WW8Num2z1"/>
    <w:qFormat/>
    <w:rPr>
      <w:lang w:val="pt-PT" w:bidi="ar-SA"/>
    </w:rPr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Symbol" w:hAnsi="Symbol" w:cs="Symbol"/>
      <w:sz w:val="20"/>
    </w:rPr>
  </w:style>
  <w:style w:type="character" w:styleId="WW8Num5z1">
    <w:name w:val="WW8Num5z1"/>
    <w:qFormat/>
    <w:rPr>
      <w:rFonts w:ascii="Courier New" w:hAnsi="Courier New" w:cs="Courier New"/>
      <w:sz w:val="20"/>
    </w:rPr>
  </w:style>
  <w:style w:type="character" w:styleId="WW8Num5z2">
    <w:name w:val="WW8Num5z2"/>
    <w:qFormat/>
    <w:rPr>
      <w:rFonts w:ascii="Wingdings" w:hAnsi="Wingdings" w:cs="Wingdings"/>
      <w:sz w:val="20"/>
    </w:rPr>
  </w:style>
  <w:style w:type="character" w:styleId="WW8Num6z0">
    <w:name w:val="WW8Num6z0"/>
    <w:qFormat/>
    <w:rPr/>
  </w:style>
  <w:style w:type="character" w:styleId="WW8Num7z0">
    <w:name w:val="WW8Num7z0"/>
    <w:qFormat/>
    <w:rPr>
      <w:rFonts w:ascii="Symbol" w:hAnsi="Symbol" w:cs="Symbol"/>
    </w:rPr>
  </w:style>
  <w:style w:type="character" w:styleId="WW8Num8z0">
    <w:name w:val="WW8Num8z0"/>
    <w:qFormat/>
    <w:rPr/>
  </w:style>
  <w:style w:type="character" w:styleId="Fontepargpadro">
    <w:name w:val="Fonte parág. padrão"/>
    <w:qFormat/>
    <w:rPr/>
  </w:style>
  <w:style w:type="character" w:styleId="Ttulo2Char">
    <w:name w:val="Título 2 Char"/>
    <w:qFormat/>
    <w:rPr>
      <w:rFonts w:ascii="Cambria" w:hAnsi="Cambria" w:eastAsia="Times New Roman" w:cs="Times New Roman"/>
      <w:b/>
      <w:bCs/>
      <w:i/>
      <w:iCs/>
      <w:sz w:val="28"/>
      <w:szCs w:val="28"/>
    </w:rPr>
  </w:style>
  <w:style w:type="character" w:styleId="CorpodetextoChar">
    <w:name w:val="Corpo de texto Char"/>
    <w:qFormat/>
    <w:rPr>
      <w:rFonts w:ascii="Arial" w:hAnsi="Arial" w:cs="Arial"/>
    </w:rPr>
  </w:style>
  <w:style w:type="character" w:styleId="SubttuloChar">
    <w:name w:val="Subtítulo Char"/>
    <w:qFormat/>
    <w:rPr>
      <w:rFonts w:ascii="Cambria" w:hAnsi="Cambria" w:cs="Cambria"/>
      <w:sz w:val="24"/>
      <w:szCs w:val="24"/>
    </w:rPr>
  </w:style>
  <w:style w:type="character" w:styleId="Ttulo3Char">
    <w:name w:val="Título 3 Char"/>
    <w:qFormat/>
    <w:rPr>
      <w:rFonts w:ascii="Cambria" w:hAnsi="Cambria" w:eastAsia="Times New Roman" w:cs="Times New Roman"/>
      <w:b/>
      <w:bCs/>
      <w:sz w:val="26"/>
      <w:szCs w:val="26"/>
    </w:rPr>
  </w:style>
  <w:style w:type="character" w:styleId="CabealhoChar">
    <w:name w:val="Cabeçalho Char"/>
    <w:qFormat/>
    <w:rPr/>
  </w:style>
  <w:style w:type="character" w:styleId="cm-post-date">
    <w:name w:val="cm-post-date"/>
    <w:basedOn w:val="Fontepargpadro"/>
    <w:qFormat/>
    <w:rPr/>
  </w:style>
  <w:style w:type="character" w:styleId="Hyperlink">
    <w:name w:val="Hyperlink"/>
    <w:rPr>
      <w:color w:val="0000FF"/>
      <w:u w:val="single"/>
    </w:rPr>
  </w:style>
  <w:style w:type="character" w:styleId="cm-author">
    <w:name w:val="cm-author"/>
    <w:basedOn w:val="Fontepargpadro"/>
    <w:qFormat/>
    <w:rPr/>
  </w:style>
  <w:style w:type="character" w:styleId="Strong">
    <w:name w:val="Strong"/>
    <w:qFormat/>
    <w:rPr>
      <w:b/>
      <w:bCs/>
    </w:rPr>
  </w:style>
  <w:style w:type="character" w:styleId="FollowedHyperlink">
    <w:name w:val="FollowedHyperlink"/>
    <w:rPr>
      <w:color w:val="800080"/>
      <w:u w:val="single"/>
    </w:rPr>
  </w:style>
  <w:style w:type="character" w:styleId="bzpyqfadein">
    <w:name w:val="bz_pyq_fadein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Arial" w:hAnsi="Arial" w:cs="Arial"/>
      <w:lang w:val="pt-BR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Corpodetexto2">
    <w:name w:val="Corpo de texto 2"/>
    <w:basedOn w:val="Normal"/>
    <w:qFormat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jc w:val="both"/>
    </w:pPr>
    <w:rPr>
      <w:rFonts w:ascii="Arial" w:hAnsi="Arial" w:cs="Arial"/>
    </w:rPr>
  </w:style>
  <w:style w:type="paragraph" w:styleId="Textopadro">
    <w:name w:val="Texto padrão"/>
    <w:basedOn w:val="Normal"/>
    <w:qFormat/>
    <w:pPr>
      <w:overflowPunct w:val="false"/>
      <w:autoSpaceDE w:val="false"/>
      <w:textAlignment w:val="baseline"/>
    </w:pPr>
    <w:rPr>
      <w:sz w:val="24"/>
    </w:rPr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Textodebalo">
    <w:name w:val="Texto de balão"/>
    <w:basedOn w:val="Normal"/>
    <w:qFormat/>
    <w:pPr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qFormat/>
    <w:pPr>
      <w:spacing w:before="0" w:after="60"/>
      <w:jc w:val="center"/>
      <w:outlineLvl w:val="1"/>
    </w:pPr>
    <w:rPr>
      <w:rFonts w:ascii="Cambria" w:hAnsi="Cambria" w:cs="Cambria"/>
      <w:sz w:val="24"/>
      <w:szCs w:val="24"/>
    </w:rPr>
  </w:style>
  <w:style w:type="paragraph" w:styleId="SemEspaamento">
    <w:name w:val="Sem Espaçamento"/>
    <w:qFormat/>
    <w:pPr>
      <w:widowControl/>
      <w:bidi w:val="0"/>
    </w:pPr>
    <w:rPr>
      <w:rFonts w:ascii="Calibri" w:hAnsi="Calibri" w:eastAsia="Calibri" w:cs="Calibri"/>
      <w:color w:val="auto"/>
      <w:sz w:val="22"/>
      <w:szCs w:val="22"/>
      <w:lang w:val="pt-BR" w:bidi="ar-SA" w:eastAsia="zh-CN"/>
    </w:rPr>
  </w:style>
  <w:style w:type="paragraph" w:styleId="Default">
    <w:name w:val="Default"/>
    <w:qFormat/>
    <w:pPr>
      <w:widowControl/>
      <w:autoSpaceDE w:val="false"/>
      <w:bidi w:val="0"/>
    </w:pPr>
    <w:rPr>
      <w:rFonts w:ascii="Tahoma" w:hAnsi="Tahoma" w:eastAsia="Times New Roman" w:cs="Tahoma"/>
      <w:color w:val="000000"/>
      <w:sz w:val="24"/>
      <w:szCs w:val="24"/>
      <w:lang w:val="pt-BR" w:bidi="ar-SA" w:eastAsia="zh-CN"/>
    </w:rPr>
  </w:style>
  <w:style w:type="paragraph" w:styleId="NormalWeb">
    <w:name w:val="Normal (Web)"/>
    <w:basedOn w:val="Normal"/>
    <w:qFormat/>
    <w:pPr>
      <w:spacing w:before="280" w:after="280"/>
    </w:pPr>
    <w:rPr>
      <w:sz w:val="24"/>
      <w:szCs w:val="24"/>
    </w:rPr>
  </w:style>
  <w:style w:type="paragraph" w:styleId="PargrafodaLista">
    <w:name w:val="Parágrafo da Lista"/>
    <w:basedOn w:val="Normal"/>
    <w:qFormat/>
    <w:pPr>
      <w:widowControl w:val="false"/>
      <w:autoSpaceDE w:val="false"/>
    </w:pPr>
    <w:rPr>
      <w:rFonts w:ascii="Arial MT;Arial" w:hAnsi="Arial MT;Arial" w:eastAsia="Arial MT;Arial" w:cs="Arial MT;Arial"/>
      <w:sz w:val="22"/>
      <w:szCs w:val="22"/>
      <w:lang w:val="pt-PT"/>
    </w:rPr>
  </w:style>
  <w:style w:type="paragraph" w:styleId="TableParagraph">
    <w:name w:val="Table Paragraph"/>
    <w:basedOn w:val="Normal"/>
    <w:qFormat/>
    <w:pPr>
      <w:widowControl w:val="false"/>
      <w:autoSpaceDE w:val="false"/>
    </w:pPr>
    <w:rPr>
      <w:rFonts w:ascii="Arial MT;Arial" w:hAnsi="Arial MT;Arial" w:eastAsia="Arial MT;Arial" w:cs="Arial MT;Arial"/>
      <w:sz w:val="22"/>
      <w:szCs w:val="22"/>
      <w:lang w:val="pt-PT"/>
    </w:rPr>
  </w:style>
  <w:style w:type="paragraph" w:styleId="msonormal">
    <w:name w:val="msonormal"/>
    <w:basedOn w:val="Normal"/>
    <w:qFormat/>
    <w:pPr>
      <w:spacing w:before="280" w:after="280"/>
    </w:pPr>
    <w:rPr>
      <w:sz w:val="24"/>
      <w:szCs w:val="24"/>
    </w:rPr>
  </w:style>
  <w:style w:type="paragraph" w:styleId="xl65">
    <w:name w:val="xl6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</w:pPr>
    <w:rPr>
      <w:rFonts w:ascii="Arial" w:hAnsi="Arial" w:cs="Arial"/>
    </w:rPr>
  </w:style>
  <w:style w:type="paragraph" w:styleId="xl66">
    <w:name w:val="xl6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rFonts w:ascii="Arial" w:hAnsi="Arial" w:cs="Arial"/>
    </w:rPr>
  </w:style>
  <w:style w:type="paragraph" w:styleId="xl67">
    <w:name w:val="xl6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rFonts w:ascii="Arial" w:hAnsi="Arial" w:cs="Arial"/>
    </w:rPr>
  </w:style>
  <w:style w:type="paragraph" w:styleId="xl68">
    <w:name w:val="xl6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textAlignment w:val="center"/>
    </w:pPr>
    <w:rPr>
      <w:rFonts w:ascii="Arial" w:hAnsi="Arial" w:cs="Arial"/>
    </w:rPr>
  </w:style>
  <w:style w:type="paragraph" w:styleId="xl69">
    <w:name w:val="xl6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rFonts w:ascii="Arial" w:hAnsi="Arial" w:cs="Arial"/>
      <w:b/>
      <w:bCs/>
      <w:color w:val="000000"/>
    </w:rPr>
  </w:style>
  <w:style w:type="paragraph" w:styleId="xl70">
    <w:name w:val="xl7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textAlignment w:val="center"/>
    </w:pPr>
    <w:rPr>
      <w:rFonts w:ascii="Arial" w:hAnsi="Arial" w:cs="Arial"/>
      <w:b/>
      <w:bCs/>
      <w:color w:val="000000"/>
    </w:rPr>
  </w:style>
  <w:style w:type="paragraph" w:styleId="xl71">
    <w:name w:val="xl7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rFonts w:ascii="Arial" w:hAnsi="Arial" w:cs="Arial"/>
      <w:color w:val="000000"/>
    </w:rPr>
  </w:style>
  <w:style w:type="paragraph" w:styleId="xl72">
    <w:name w:val="xl7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textAlignment w:val="center"/>
    </w:pPr>
    <w:rPr>
      <w:rFonts w:ascii="Arial" w:hAnsi="Arial" w:cs="Arial"/>
      <w:color w:val="000000"/>
    </w:rPr>
  </w:style>
  <w:style w:type="paragraph" w:styleId="xl73">
    <w:name w:val="xl7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before="280" w:after="280"/>
      <w:jc w:val="center"/>
      <w:textAlignment w:val="center"/>
    </w:pPr>
    <w:rPr>
      <w:rFonts w:ascii="Arial" w:hAnsi="Arial" w:cs="Arial"/>
      <w:b/>
      <w:bCs/>
    </w:rPr>
  </w:style>
  <w:style w:type="paragraph" w:styleId="xl74">
    <w:name w:val="xl74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  <w:textAlignment w:val="center"/>
    </w:pPr>
    <w:rPr>
      <w:color w:val="000000"/>
      <w:sz w:val="24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/Relationships>
</file>

<file path=word/_rels/header1.xml.rels><?xml version="1.0" encoding="UTF-8" standalone="yes"?><Relationships xmlns="http://schemas.openxmlformats.org/package/2006/relationships"><Relationship Id="rId0" Type="http://schemas.openxmlformats.org/officeDocument/2006/relationships/image" Target="media/marca-global.png"/></Relationships>
</file>

<file path=word/_rels/header2.xml.rels><?xml version="1.0" encoding="UTF-8" standalone="yes"?><Relationships xmlns="http://schemas.openxmlformats.org/package/2006/relationships"><Relationship Id="rId0" Type="http://schemas.openxmlformats.org/officeDocument/2006/relationships/image" Target="media/marca-global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1083</TotalTime>
  <Application>LibreOffice/25.8.7.2$Linux_X86_64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2007-06-20T10:54:00Z</dcterms:created>
  <dc:creator>Marcelo Pita</dc:creator>
  <dc:description/>
  <cp:keywords/>
  <dc:language>pt-BR</dc:language>
  <cp:lastModifiedBy>User</cp:lastModifiedBy>
  <cp:lastPrinted>2025-09-14T00:00:00Z</cp:lastPrinted>
  <dcterms:modified xsi:type="dcterms:W3CDTF">2026-03-16T23:34:00Z</dcterms:modified>
  <cp:revision>226</cp:revision>
  <dc:subject/>
  <dc:title>PROCESSO ADMINISTRATIVO</dc:title>
</cp:coreProperties>
</file>