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t-BR"/>
        </w:rPr>
        <w:t xml:space="preserve">PREFEITURA MUNICIPAL DE {municipioNomeUpper}/{municipioUF} </w:t>
      </w:r>
      <w:r>
        <w:rPr>
          <w:rFonts w:cs="Times New Roman" w:ascii="Times New Roman" w:hAnsi="Times New Roman"/>
          <w:b/>
          <w:bCs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shd w:fill="FFFFFF" w:val="clear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/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DOCUMENTO</w:t>
      </w:r>
      <w:r>
        <w:rPr>
          <w:rFonts w:cs="Times New Roman" w:ascii="Times New Roman" w:hAnsi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</w:t>
      </w:r>
      <w:r>
        <w:rPr>
          <w:rFonts w:cs="Times New Roman" w:ascii="Times New Roman" w:hAnsi="Times New Roman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FORMALIZAÇÃO</w:t>
      </w:r>
      <w:r>
        <w:rPr>
          <w:rFonts w:cs="Times New Roman" w:ascii="Times New Roman" w:hAnsi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</w:t>
      </w:r>
      <w:r>
        <w:rPr>
          <w:rFonts w:cs="Times New Roman" w:ascii="Times New Roman" w:hAnsi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DEMANDA</w:t>
      </w:r>
      <w:r>
        <w:rPr>
          <w:rFonts w:cs="Times New Roman" w:ascii="Times New Roman" w:hAnsi="Times New Roman"/>
          <w:b/>
          <w:bCs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(DFD)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Body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b/>
          <w:sz w:val="24"/>
          <w:szCs w:val="24"/>
        </w:rPr>
        <w:t>Órgão:</w:t>
      </w:r>
      <w:r>
        <w:rPr>
          <w:rFonts w:cs="Times New Roman" w:ascii="Times New Roman" w:hAnsi="Times New Roman"/>
          <w:b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Secretaria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Municipal</w:t>
      </w:r>
      <w:r>
        <w:rPr>
          <w:rFonts w:cs="Times New Roman" w:ascii="Times New Roman" w:hAnsi="Times New Roman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Educação</w:t>
      </w:r>
    </w:p>
    <w:p>
      <w:pPr>
        <w:pStyle w:val="BodyText"/>
        <w:rPr>
          <w:rFonts w:ascii="Times New Roman" w:hAnsi="Times New Roman" w:cs="Times New Roman"/>
          <w:spacing w:val="-4"/>
          <w:sz w:val="24"/>
          <w:szCs w:val="24"/>
          <w:lang w:val="pt-BR"/>
        </w:rPr>
      </w:pPr>
      <w:r>
        <w:rPr>
          <w:rFonts w:cs="Times New Roman" w:ascii="Times New Roman" w:hAnsi="Times New Roman"/>
          <w:spacing w:val="-4"/>
          <w:sz w:val="24"/>
          <w:szCs w:val="24"/>
          <w:lang w:val="pt-BR"/>
        </w:rPr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I.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Justificativa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necessidade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lineRule="auto" w:line="360"/>
        <w:ind w:end="1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Secretaria Municipal de Educação do Município de {municipioNome} – {municipioUF}, no exercício de suas competências institucionais e em observância aos princípios da eficiência, legalidade e boa governança da Administração Pública, identificou a necessidade de aperfeiçoamento dos mecanismos de gestão, monitoramento e regularização das informações educacionais registradas nos sistemas e programas vinculados ao Ministério da Educação – MEC e ao Fundo Nacional de Desenvolvimento da Educação – FNDE. A gestão educacional contemporânea exige a correta alimentação, acompanhamento e atualização permanente de diversos sistemas informatizados utilizados pela União para o planejamento, controle, monitoramento e avaliação das políticas públicas educacionais. Tais sistemas concentram informações estratégicas que impactam diretamente na habilitação do Município em programas educacionais federais, na regularidade institucional perante os órgãos repassadores e na manutenção dos repasses financeiros vinculados às políticas públicas da educação básica.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Entre esses sistemas destacam-se, dentre outros, o Sistema Integrado de Monitoramento, Execução e Controle do Ministério da Educação – SIMEC, o Sistema de Gestão de Prestação de Contas – SIGPC/FNDE, o Sistema de Informações sobre Orçamentos Públicos em Educação – SIOPE, bem como os instrumentos de planejamento educacional vinculados ao Plano de Ações Articuladas – PAR e demais plataformas correlatas utilizadas para acompanhamento da execução das políticas educacionais. A correta operação desses sistemas envolve elevado grau de complexidade técnica, exigindo conhecimento especializado das normas federais aplicáveis, domínio das rotinas administrativas e compreensão detalhada dos critérios técnicos utilizados pelos órgãos federais para análise das informações prestadas pelos entes federativos.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Nesse contexto, diagnóstico técnico preliminar realizado a partir da análise das bases de dados educacionais e dos registros sistêmicos do Município evidenciou a necessidade de avaliação técnica especializada voltada à identificação de inconsistências, pendências administrativas ou oportunidades de regularização das informações educacionais registradas nos sistemas federais, de modo a assegurar a regularidade institucional do Município perante os órgãos responsáveis pela gestão das políticas educacionais.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eventual existência de inconsistências ou pendências nesses sistemas pode acarretar restrições administrativas, bloqueio de transferências voluntárias, dificuldades de habilitação em programas federais e prejuízos à adequada execução das políticas educacionais no âmbito municipal, o que torna imprescindível a realização de diagnóstico técnico aprofundado e a adoção de medidas administrativas voltadas à regularização das informações educacionais.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Diante desse cenário, a Secretaria Municipal de Educação identificou a necessidade de contratação de empresa especializada para prestação de serviços técnicos de consultoria estratégica, administrativa e sistêmica em gestão educacional, com a finalidade de realizar diagnóstico técnico especializado, análise de conformidade das informações registradas nos sistemas educacionais federais e apoio técnico na implementação de medidas voltadas à regularização das bases de dados e sistemas utilizados pelo MEC e pelo FNDE. A natureza do serviço a ser contratado possui caráter predominantemente intelectual e envolve atividades técnicas especializadas de elevada complexidade, que demandam metodologia própria de análise, conhecimento específico da legislação educacional e experiência na interpretação e tratamento de dados educacionais utilizados pelos sistemas federais de gestão da educação.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Dessa forma, a contratação pretendida enquadra-se na hipótese prevista no </w:t>
      </w:r>
      <w:r>
        <w:rPr>
          <w:rStyle w:val="bzpyqfadein"/>
          <w:bCs/>
        </w:rPr>
        <w:t>{baseLegal}</w:t>
      </w:r>
      <w:r>
        <w:rPr>
          <w:rStyle w:val="bzpyqfadein"/>
        </w:rPr>
        <w:t>, que admite a contratação direta por {modalidadeCurta} de licitação quando inviável a competição para a prestação de serviços técnicos especializados de natureza predominantemente intelectual, executados por profissionais ou empresas de notória especialização. A medida visa fortalecer a governança da gestão educacional municipal, assegurar maior eficiência administrativa, garantir a regularidade institucional do Município perante os sistemas educacionais federais e contribuir para a adequada execução das políticas públicas de educação, em consonância com as diretrizes estabelecidas pelo Ministério da Educação e pelo Fundo Nacional de Desenvolvimento da Educação.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Assim, a contratação ora pretendida revela-se necessária e compatível com o interesse público, contribuindo para o aprimoramento da gestão educacional, para a segurança administrativa da Secretaria Municipal de Educação e para a correta manutenção dos repasses e programas educacionais vinculados às políticas públicas federais de educação básica.</w:t>
      </w:r>
    </w:p>
    <w:p>
      <w:pPr>
        <w:pStyle w:val="NormalWeb"/>
        <w:spacing w:lineRule="auto" w:line="360" w:before="0" w:after="0"/>
        <w:jc w:val="both"/>
        <w:rPr/>
      </w:pPr>
      <w:r>
        <w:rPr/>
      </w:r>
    </w:p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II.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Descrição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sucinta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objeto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II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ESTA NECESSIDADE PODERÁ SER ATENDIDA ATRAVÉS DE SOLUÇÕES COMO: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{municipioUF}.</w:t>
      </w:r>
      <w:r>
        <w:rPr>
          <w:rStyle w:val="bzpyqfadein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b/>
          <w:sz w:val="24"/>
          <w:szCs w:val="24"/>
        </w:rPr>
        <w:t>III.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Descrição dos serviços a serem contratados,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quando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couber,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considerada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expectativa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consumo</w:t>
      </w:r>
      <w:r>
        <w:rPr>
          <w:b/>
          <w:spacing w:val="-2"/>
          <w:sz w:val="24"/>
          <w:szCs w:val="24"/>
        </w:rPr>
        <w:t xml:space="preserve"> </w:t>
      </w:r>
      <w:r>
        <w:rPr/>
        <w:t>anual (Art. 8º, III do Decreto nº 10.947/22):</w:t>
      </w:r>
    </w:p>
    <w:tbl>
      <w:tblPr>
        <w:tblW w:w="9450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81"/>
        <w:gridCol w:w="6869"/>
        <w:gridCol w:w="940"/>
        <w:gridCol w:w="860"/>
      </w:tblGrid>
      <w:tr>
        <w:trPr>
          <w:trHeight w:val="288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6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DISCRIÇÃO DO PRODUTO</w:t>
            </w:r>
          </w:p>
        </w:tc>
        <w:tc>
          <w:tcPr>
            <w:tcW w:w="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UNID.</w:t>
            </w:r>
          </w:p>
        </w:tc>
        <w:tc>
          <w:tcPr>
            <w:tcW w:w="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QTD.</w:t>
            </w:r>
          </w:p>
        </w:tc>
      </w:tr>
      <w:tr>
        <w:trPr>
          <w:trHeight w:val="952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280"/>
              <w:jc w:val="both"/>
              <w:rPr/>
            </w:pPr>
            <w:r>
              <w:rPr>
                <w:rStyle w:val="bzpyqfadein"/>
              </w:rPr>
              <w:t>A contratação refere-se à prestação de serviços técnicos especializados de consultoria estratégica, administrativa e sistêmica em gestão educacional, destinados à realização de diagnóstico técnico, análise de conformidade e apoio à regularização das informações e sistemas educacionais vinculados ao Ministério da Educação – MEC, ao Fundo Nacional de Desenvolvimento da Educação – FNDE e ao Fundo de Manutenção e Desenvolvimento da Educação Básica – FUNDEB.</w:t>
            </w:r>
          </w:p>
          <w:p>
            <w:pPr>
              <w:pStyle w:val="NormalWeb"/>
              <w:jc w:val="both"/>
              <w:rPr/>
            </w:pPr>
            <w:r>
              <w:rPr>
                <w:rStyle w:val="bzpyqfadein"/>
              </w:rPr>
              <w:t>Os serviços compreenderão, dentre outras atividades técnicas: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280" w:after="0"/>
              <w:jc w:val="both"/>
              <w:rPr/>
            </w:pPr>
            <w:r>
              <w:rPr>
                <w:rStyle w:val="bzpyqfadein"/>
              </w:rPr>
              <w:t>Realização de diagnóstico técnico especializado das informações educacionais registradas nos sistemas federais utilizados pelo MEC e FNDE;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Análise de conformidade e identificação de eventuais inconsistências ou pendências nos sistemas educacionais, tais como SIMEC, SIGPC, SIOPE, PAR e demais plataformas correlatas;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Apoio técnico à Secretaria Municipal de Educação na regularização de registros e informações que impactam na habilitação do Município em programas educacionais federais;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Elaboração de relatórios técnicos de diagnóstico e recomendações administrativas voltadas ao aprimoramento da gestão educacional;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Orientação técnica à equipe da Secretaria Municipal de Educação quanto às rotinas administrativas relacionadas à alimentação e monitoramento dos sistemas educacionais federais.</w:t>
            </w:r>
          </w:p>
          <w:p>
            <w:pPr>
              <w:pStyle w:val="NormalWeb"/>
              <w:spacing w:before="280" w:after="0"/>
              <w:jc w:val="both"/>
              <w:rPr>
                <w:color w:val="000000"/>
              </w:rPr>
            </w:pPr>
            <w:r>
              <w:rPr>
                <w:rStyle w:val="bzpyqfadein"/>
              </w:rPr>
              <w:t>A expectativa de consumo anual corresponde à prestação continuada dos serviços durante o período contratual estimado, compreendendo acompanhamento técnico, análises especializadas, emissão de relatórios técnicos e suporte consultivo à gestão educacional do Município.</w:t>
            </w:r>
          </w:p>
        </w:tc>
        <w:tc>
          <w:tcPr>
            <w:tcW w:w="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Serv/</w:t>
            </w:r>
          </w:p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meses.</w:t>
            </w:r>
          </w:p>
        </w:tc>
        <w:tc>
          <w:tcPr>
            <w:tcW w:w="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{quantidadeMeses}</w:t>
            </w:r>
          </w:p>
        </w:tc>
      </w:tr>
    </w:tbl>
    <w:p>
      <w:pPr>
        <w:pStyle w:val="TableParagraph"/>
        <w:spacing w:before="116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IV.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Dotação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orçamentária para a devida 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IV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pacing w:val="-2"/>
          <w:sz w:val="24"/>
          <w:szCs w:val="24"/>
        </w:rPr>
      </w:r>
    </w:p>
    <w:tbl>
      <w:tblPr>
        <w:tblW w:w="931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325"/>
        <w:gridCol w:w="1134"/>
        <w:gridCol w:w="6858"/>
      </w:tblGrid>
      <w:tr>
        <w:trPr>
          <w:trHeight w:val="470" w:hRule="atLeast"/>
        </w:trPr>
        <w:tc>
          <w:tcPr>
            <w:tcW w:w="93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b/>
                <w:bCs/>
                <w:sz w:val="24"/>
                <w:szCs w:val="24"/>
                <w:highlight w:val="yellow"/>
              </w:rPr>
              <w:t>DOTAÇÃO ORÇAMENTARIA</w:t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  <w:t>{dotacaoUnidade}</w:t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Atividade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Elemento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Elemento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r>
          </w:p>
        </w:tc>
      </w:tr>
    </w:tbl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b/>
          <w:sz w:val="24"/>
          <w:szCs w:val="24"/>
        </w:rPr>
        <w:t>V.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Indicação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data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pretendida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para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conclusão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e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vigência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contrato</w:t>
      </w:r>
      <w:r>
        <w:rPr>
          <w:rFonts w:cs="Times New Roman" w:ascii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 do Decreto nº 10.947/22):</w:t>
      </w:r>
    </w:p>
    <w:p>
      <w:pPr>
        <w:pStyle w:val="Normal"/>
        <w:spacing w:lineRule="auto" w:line="360"/>
        <w:rPr>
          <w:spacing w:val="-2"/>
          <w:sz w:val="24"/>
          <w:szCs w:val="24"/>
        </w:rPr>
      </w:pPr>
      <w:r>
        <w:rPr>
          <w:sz w:val="24"/>
          <w:szCs w:val="24"/>
        </w:rPr>
        <w:t>Início: __.__.{exercicio} - Vencimento: 31/12/{exercicio}</w:t>
      </w:r>
      <w:r>
        <w:rPr>
          <w:spacing w:val="-8"/>
          <w:sz w:val="24"/>
          <w:szCs w:val="24"/>
        </w:rPr>
      </w:r>
      <w:r>
        <w:rPr>
          <w:spacing w:val="-8"/>
          <w:sz w:val="24"/>
          <w:szCs w:val="24"/>
          <w:highlight w:val="yellow"/>
        </w:rPr>
      </w:r>
      <w:r>
        <w:rPr>
          <w:spacing w:val="-8"/>
          <w:sz w:val="24"/>
          <w:szCs w:val="24"/>
        </w:rPr>
      </w:r>
      <w:r>
        <w:rPr>
          <w:sz w:val="24"/>
          <w:szCs w:val="24"/>
        </w:rPr>
      </w:r>
      <w:r>
        <w:rPr>
          <w:spacing w:val="-8"/>
          <w:sz w:val="24"/>
          <w:szCs w:val="24"/>
        </w:rPr>
      </w:r>
      <w:r>
        <w:rPr>
          <w:sz w:val="24"/>
          <w:szCs w:val="24"/>
        </w:rPr>
      </w:r>
      <w:r>
        <w:rPr>
          <w:spacing w:val="-6"/>
          <w:sz w:val="24"/>
          <w:szCs w:val="24"/>
        </w:rPr>
      </w:r>
      <w:r>
        <w:rPr>
          <w:sz w:val="24"/>
          <w:szCs w:val="24"/>
        </w:rPr>
      </w:r>
      <w:r>
        <w:rPr>
          <w:spacing w:val="-5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VI.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Grau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prioridade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compra/contratação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Normal"/>
        <w:spacing w:lineRule="auto" w:line="360"/>
        <w:rPr/>
      </w:pPr>
      <w:r>
        <w:rPr>
          <w:sz w:val="24"/>
          <w:szCs w:val="24"/>
        </w:rPr>
        <w:t>(  )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baixo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  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médio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  )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alto</w:t>
      </w:r>
    </w:p>
    <w:p>
      <w:pPr>
        <w:pStyle w:val="Normal"/>
        <w:spacing w:lineRule="auto" w:line="36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</w:r>
    </w:p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VII.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Indicação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vinculação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dependência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 objeto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outro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DFD 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VII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nº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  )</w:t>
      </w:r>
      <w:r>
        <w:rPr>
          <w:rFonts w:cs="Times New Roman" w:ascii="Times New Roman" w:hAnsi="Times New Roman"/>
          <w:spacing w:val="5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sim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color w:val="000000"/>
          <w:sz w:val="24"/>
          <w:szCs w:val="24"/>
        </w:rPr>
        <w:t>x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5"/>
          <w:sz w:val="24"/>
          <w:szCs w:val="24"/>
        </w:rPr>
        <w:t>não</w:t>
      </w:r>
    </w:p>
    <w:p>
      <w:pPr>
        <w:pStyle w:val="TableParagraph"/>
        <w:spacing w:before="119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VIII.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Área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requisitante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técnica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identificação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responsável (Art.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VIII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nº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before="12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Area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requisitante</w:t>
      </w:r>
      <w:r>
        <w:rPr>
          <w:rFonts w:cs="Times New Roman" w:ascii="Times New Roman" w:hAnsi="Times New Roman"/>
          <w:b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técnica: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SECRETARIA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EDUCAÇÃO</w:t>
      </w:r>
    </w:p>
    <w:p>
      <w:pPr>
        <w:pStyle w:val="TableParagraph"/>
        <w:spacing w:before="119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Responsável pela demanda: {secretarioNome}</w:t>
      </w:r>
      <w:r>
        <w:rPr>
          <w:rFonts w:cs="Times New Roman" w:ascii="Times New Roman" w:hAnsi="Times New Roman"/>
          <w:b/>
          <w:spacing w:val="-8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b/>
          <w:spacing w:val="-9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b/>
          <w:spacing w:val="-5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pacing w:val="-8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</w:p>
    <w:p>
      <w:pPr>
        <w:pStyle w:val="TableParagraph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FUNÇÃO: Secretário Municipal de Educação</w:t>
      </w:r>
    </w:p>
    <w:p>
      <w:pPr>
        <w:pStyle w:val="TableParagraph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ableParagraph"/>
        <w:spacing w:before="119" w:after="0"/>
        <w:rPr/>
      </w:pPr>
      <w:r>
        <w:rPr>
          <w:rFonts w:cs="Times New Roman" w:ascii="Times New Roman" w:hAnsi="Times New Roman"/>
          <w:b/>
          <w:sz w:val="24"/>
          <w:szCs w:val="24"/>
        </w:rPr>
        <w:t>IX.</w:t>
      </w:r>
      <w:r>
        <w:rPr>
          <w:rFonts w:cs="Times New Roman"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Classificação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objeto:</w:t>
      </w:r>
    </w:p>
    <w:p>
      <w:pPr>
        <w:pStyle w:val="TableParagraph"/>
        <w:spacing w:before="119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pacing w:val="-2"/>
          <w:sz w:val="24"/>
          <w:szCs w:val="24"/>
        </w:rPr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Bens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comuns;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Bens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especiais;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continuado;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>x</w:t>
      </w:r>
      <w:r>
        <w:rPr>
          <w:rFonts w:cs="Times New Roman" w:ascii="Times New Roman" w:hAnsi="Times New Roman"/>
          <w:sz w:val="24"/>
          <w:szCs w:val="24"/>
        </w:rPr>
        <w:t>) Serviço continuado s/ DEMO;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continuado</w:t>
      </w:r>
      <w:r>
        <w:rPr>
          <w:rFonts w:cs="Times New Roman" w:ascii="Times New Roman" w:hAnsi="Times New Roman"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c/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DEMO;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  ) Fornecimentos contínuos;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Fornecimento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contínuo;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contínuos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ou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contratados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por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escopo.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/>
        <w:rPr/>
      </w:pPr>
      <w:r>
        <w:rPr>
          <w:b/>
          <w:sz w:val="24"/>
          <w:szCs w:val="24"/>
        </w:rPr>
        <w:t>X.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Necessidade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análise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risco: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54"/>
          <w:sz w:val="24"/>
          <w:szCs w:val="24"/>
          <w:u w:val="single" w:color="FE0000"/>
        </w:rPr>
        <w:t xml:space="preserve"> 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sim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(X)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não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60"/>
        <w:jc w:val="end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{municipioNome} – {municipioUF}, {dataDocumento}.</w:t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  <w:highlight w:val="yellow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sz w:val="24"/>
          <w:szCs w:val="24"/>
          <w:b/>
        </w:rPr>
        <w:t>{secretarioNome}</w:t>
      </w:r>
    </w:p>
    <w:p>
      <w:pPr>
        <w:jc w:val="center"/>
      </w:pPr>
      <w:r>
        <w:rPr>
          <w:sz w:val="24"/>
          <w:szCs w:val="24"/>
        </w:rPr>
        <w:t xml:space="preserve">Secretário(a) Municipal de Educação</w:t>
      </w:r>
    </w:p>
    <w:p>
      <w:pPr>
        <w:pStyle w:val="Normal"/>
        <w:jc w:val="center"/>
        <w:rPr/>
      </w:pPr>
      <w:r>
        <w:rPr>
          <w:sz w:val="24"/>
          <w:szCs w:val="24"/>
        </w:rPr>
        <w:t>Decreto Nº {secretarioDecreto}</w:t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992" w:gutter="0" w:header="680" w:top="736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MT">
    <w:altName w:val="Arial"/>
    <w:charset w:val="01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pt-BR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Arial" w:hAnsi="Arial" w:eastAsia="Calibri" w:cs="Arial"/>
      <w:i/>
      <w:iCs/>
      <w:w w:val="99"/>
      <w:sz w:val="24"/>
      <w:szCs w:val="24"/>
      <w:u w:val="none"/>
      <w:lang w:val="pt-PT" w:bidi="ar-SA"/>
    </w:rPr>
  </w:style>
  <w:style w:type="character" w:styleId="WW8Num2z1">
    <w:name w:val="WW8Num2z1"/>
    <w:qFormat/>
    <w:rPr>
      <w:lang w:val="pt-PT" w:bidi="ar-SA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Fontepargpadro">
    <w:name w:val="Fonte parág. padrão"/>
    <w:qFormat/>
    <w:rPr/>
  </w:style>
  <w:style w:type="character" w:styleId="Ttulo2Char">
    <w:name w:val="Título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tulo3Char">
    <w:name w:val="Título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CabealhoChar">
    <w:name w:val="Cabeçalho Char"/>
    <w:qFormat/>
    <w:rPr/>
  </w:style>
  <w:style w:type="character" w:styleId="cm-post-date">
    <w:name w:val="cm-post-date"/>
    <w:basedOn w:val="Fontepargpadro"/>
    <w:qFormat/>
    <w:rPr/>
  </w:style>
  <w:style w:type="character" w:styleId="Hyperlink">
    <w:name w:val="Hyperlink"/>
    <w:rPr>
      <w:color w:val="0000FF"/>
      <w:u w:val="single"/>
    </w:rPr>
  </w:style>
  <w:style w:type="character" w:styleId="cm-author">
    <w:name w:val="cm-author"/>
    <w:basedOn w:val="Fontepargpadro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Textopadro">
    <w:name w:val="Texto padrão"/>
    <w:basedOn w:val="Normal"/>
    <w:qFormat/>
    <w:pPr>
      <w:overflowPunct w:val="false"/>
      <w:autoSpaceDE w:val="false"/>
      <w:textAlignment w:val="baseline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ahoma" w:hAnsi="Tahoma" w:eastAsia="Times New Roman" w:cs="Tahoma"/>
      <w:color w:val="000000"/>
      <w:sz w:val="24"/>
      <w:szCs w:val="24"/>
      <w:lang w:val="pt-BR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PargrafodaLista">
    <w:name w:val="Parágrafo da Lista"/>
    <w:basedOn w:val="Normal"/>
    <w:qFormat/>
    <w:pPr>
      <w:widowControl w:val="false"/>
      <w:autoSpaceDE w:val="false"/>
    </w:pPr>
    <w:rPr>
      <w:rFonts w:ascii="Arial MT;Arial" w:hAnsi="Arial MT;Arial" w:eastAsia="Arial MT;Arial" w:cs="Arial MT;Arial"/>
      <w:sz w:val="22"/>
      <w:szCs w:val="22"/>
      <w:lang w:val="pt-PT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ascii="Arial MT;Arial" w:hAnsi="Arial MT;Arial" w:eastAsia="Arial MT;Arial" w:cs="Arial MT;Arial"/>
      <w:sz w:val="22"/>
      <w:szCs w:val="22"/>
      <w:lang w:val="pt-PT"/>
    </w:rPr>
  </w:style>
  <w:style w:type="paragraph" w:styleId="msonormal">
    <w:name w:val="msonormal"/>
    <w:basedOn w:val="Normal"/>
    <w:qFormat/>
    <w:pPr>
      <w:spacing w:before="280" w:after="280"/>
    </w:pPr>
    <w:rPr>
      <w:sz w:val="24"/>
      <w:szCs w:val="24"/>
    </w:rPr>
  </w:style>
  <w:style w:type="paragraph" w:styleId="xl65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</w:rPr>
  </w:style>
  <w:style w:type="paragraph" w:styleId="xl66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b/>
      <w:bCs/>
      <w:color w:val="000000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b/>
      <w:bCs/>
      <w:color w:val="000000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color w:val="000000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color w:val="000000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b/>
      <w:bCs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color w:val="00000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2007-06-20T10:54:00Z</dcterms:created>
  <dc:creator>Marcelo Pita</dc:creator>
  <dc:description/>
  <cp:keywords/>
  <dc:language>pt-BR</dc:language>
  <cp:lastModifiedBy>User</cp:lastModifiedBy>
  <cp:lastPrinted>2025-09-14T00:00:00Z</cp:lastPrinted>
  <dcterms:modified xsi:type="dcterms:W3CDTF">2026-03-16T23:34:00Z</dcterms:modified>
  <cp:revision>226</cp:revision>
  <dc:subject/>
  <dc:title>PROCESSO ADMINISTRATIVO</dc:title>
</cp:coreProperties>
</file>