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PROCESSO ADMINISTRATIVO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Nº {processoNumero}/{exercicio}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>
          <w:b/>
          <w:bCs/>
          <w:caps/>
          <w:sz w:val="24"/>
          <w:szCs w:val="24"/>
          <w:u w:val="single"/>
        </w:rPr>
      </w:pPr>
      <w:r>
        <w:rPr>
          <w:b/>
          <w:caps/>
          <w:sz w:val="24"/>
          <w:szCs w:val="24"/>
          <w:u w:val="single"/>
        </w:rPr>
        <w:t xml:space="preserve">SOLICITAÇÃO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{municipioNomeUpper} – {municipioUF}.</w:t>
      </w:r>
      <w:r>
        <w:rPr>
          <w:rStyle w:val="bzpyqfadein"/>
          <w:b/>
          <w:sz w:val="24"/>
          <w:szCs w:val="24"/>
          <w:u w:val="single"/>
        </w:rPr>
      </w: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caps/>
          <w:sz w:val="24"/>
          <w:szCs w:val="24"/>
          <w:u w:val="single"/>
        </w:rPr>
      </w:pPr>
      <w:r>
        <w:rPr>
          <w:b/>
          <w:bCs/>
          <w:caps/>
          <w:sz w:val="24"/>
          <w:szCs w:val="24"/>
          <w:u w:val="single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Excelentíssimo Prefeito,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1622" w:end="0"/>
        <w:jc w:val="both"/>
        <w:rPr/>
      </w:pPr>
      <w:r>
        <w:rPr>
          <w:sz w:val="24"/>
          <w:szCs w:val="24"/>
        </w:rPr>
        <w:t xml:space="preserve">Cumprimentando-o cordialmente, colho do presente expediente para solicitar a Vossa Excelência que se digne manifestar-se acerca da competente autorização, com a finalidade de contratarmos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{municipioUF}.</w:t>
      </w:r>
      <w:r>
        <w:rPr>
          <w:rStyle w:val="bzpyqfadein"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ind w:firstLine="1622" w:end="0"/>
        <w:jc w:val="both"/>
        <w:rPr/>
      </w:pPr>
      <w:r>
        <w:rPr>
          <w:sz w:val="24"/>
          <w:szCs w:val="24"/>
        </w:rPr>
        <w:t xml:space="preserve"> Informo, em tempo, que a pretensa contratação dar-se a mediante a elaboração do procedimento de {modalidadeCurta} de licitação, tudo de conformidade com estatuído na Lei de Licitações e Contratos (Lei 14.133/21), especificamente de acordo com o estabelecido no {baseLegal}.</w:t>
      </w:r>
    </w:p>
    <w:p>
      <w:pPr>
        <w:pStyle w:val="Normal"/>
        <w:spacing w:lineRule="auto" w:line="360"/>
        <w:ind w:firstLine="1622" w:end="0"/>
        <w:jc w:val="both"/>
        <w:rPr>
          <w:sz w:val="24"/>
          <w:szCs w:val="24"/>
        </w:rPr>
      </w:pPr>
      <w:r>
        <w:rPr>
          <w:sz w:val="24"/>
          <w:szCs w:val="24"/>
        </w:rPr>
        <w:t>Para tanto segue as documentações de regularidade fiscal, bem como documentos comprobatórios do responsável técnico da empresa.</w:t>
      </w:r>
    </w:p>
    <w:p>
      <w:pPr>
        <w:pStyle w:val="Normal"/>
        <w:spacing w:lineRule="auto" w:line="360"/>
        <w:ind w:firstLine="1622" w:end="0"/>
        <w:jc w:val="both"/>
        <w:rPr>
          <w:sz w:val="24"/>
          <w:szCs w:val="24"/>
        </w:rPr>
      </w:pPr>
      <w:r>
        <w:rPr>
          <w:sz w:val="24"/>
          <w:szCs w:val="24"/>
        </w:rPr>
        <w:t>Na certeza do atendimento ao quanto solicitado, desde já exaltamos sentimentos de elevada estima e consideração.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start="1622" w:end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VALOR DA PRETENSA CONTRATAÇÃO:</w:t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/>
        <w:ind w:firstLine="1622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Pelos serviços prestados será pago o valor estimado Global de R$ {valorGlobal} ({valorGlobalExtenso}), conforme proposta.</w:t>
      </w:r>
      <w:bookmarkStart w:id="0" w:name="_Hlk169773232"/>
      <w:r>
        <w:rPr>
          <w:color w:val="000000"/>
          <w:sz w:val="24"/>
          <w:szCs w:val="24"/>
        </w:rPr>
      </w:r>
      <w:r>
        <w:rPr>
          <w:sz w:val="24"/>
          <w:szCs w:val="24"/>
        </w:rPr>
      </w:r>
      <w:bookmarkEnd w:id="0"/>
      <w:r>
        <w:rPr>
          <w:sz w:val="24"/>
          <w:szCs w:val="24"/>
        </w:rPr>
      </w:r>
    </w:p>
    <w:p>
      <w:pPr>
        <w:pStyle w:val="BodyTex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>Desde já, desejamos sentimentos de elevada estima e consideração.</w:t>
      </w:r>
    </w:p>
    <w:p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jc w:val="end"/>
        <w:rPr/>
      </w:pPr>
      <w:r>
        <w:rPr>
          <w:bCs/>
          <w:color w:val="333333"/>
          <w:sz w:val="24"/>
          <w:szCs w:val="24"/>
          <w:shd w:fill="FFFFFF" w:val="clear"/>
        </w:rPr>
        <w:t xml:space="preserve">{municipioNome}/{municipioUF}, {dataDocumento}.</w:t>
      </w: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jc w:val="center"/>
      </w:pPr>
      <w:r>
        <w:rPr>
          <w:rFonts w:cs="Times New Roman" w:ascii="Times New Roman" w:hAnsi="Times New Roman"/>
          <w:sz w:val="24"/>
          <w:szCs w:val="24"/>
        </w:rPr>
        <w:t xml:space="preserve">_______________________________</w:t>
      </w:r>
    </w:p>
    <w:p>
      <w:pPr>
        <w:jc w:val="center"/>
      </w:pPr>
      <w:r>
        <w:rPr>
          <w:rFonts w:cs="Times New Roman" w:ascii="Times New Roman" w:hAnsi="Times New Roman"/>
          <w:sz w:val="24"/>
          <w:szCs w:val="24"/>
          <w:b/>
        </w:rPr>
        <w:t xml:space="preserve">{secretarioNome}</w:t>
      </w:r>
    </w:p>
    <w:p>
      <w:pPr>
        <w:jc w:val="center"/>
      </w:pPr>
      <w:r>
        <w:rPr>
          <w:rFonts w:cs="Times New Roman" w:ascii="Times New Roman" w:hAnsi="Times New Roman"/>
          <w:sz w:val="24"/>
          <w:szCs w:val="24"/>
        </w:rPr>
        <w:t xml:space="preserve">Secretário(a) Municipal de Educação</w:t>
      </w:r>
    </w:p>
    <w:p>
      <w:pPr>
        <w:pStyle w:val="BodyText"/>
        <w:jc w:val="center"/>
        <w:rPr>
          <w:rFonts w:ascii="Times New Roman" w:hAnsi="Times New Roman" w:eastAsia="Arial" w:cs="Times New Roman"/>
          <w:b/>
          <w:sz w:val="24"/>
          <w:szCs w:val="24"/>
          <w:highlight w:val="yellow"/>
          <w:lang w:val="pt-BR" w:eastAsia="pt-PT" w:bidi="pt-PT"/>
        </w:rPr>
      </w:pPr>
      <w:r>
        <w:rPr>
          <w:rFonts w:cs="Times New Roman" w:ascii="Times New Roman" w:hAnsi="Times New Roman"/>
          <w:b/>
          <w:sz w:val="24"/>
          <w:szCs w:val="24"/>
          <w:highlight w:val="yellow"/>
          <w:lang w:val="pt-BR"/>
        </w:rPr>
        <w:t/>
      </w:r>
    </w:p>
    <w:p>
      <w:pPr>
        <w:pStyle w:val="BodyText"/>
        <w:jc w:val="center"/>
        <w:rPr/>
      </w:pPr>
      <w:r>
        <w:rPr>
          <w:rFonts w:cs="Times New Roman" w:ascii="Times New Roman" w:hAnsi="Times New Roman"/>
          <w:sz w:val="24"/>
          <w:szCs w:val="24"/>
          <w:highlight w:val="yellow"/>
        </w:rPr>
        <w:t/>
      </w:r>
      <w:r>
        <w:rPr>
          <w:rFonts w:cs="Times New Roman" w:ascii="Times New Roman" w:hAnsi="Times New Roman"/>
          <w:sz w:val="24"/>
          <w:szCs w:val="24"/>
          <w:highlight w:val="yellow"/>
          <w:lang w:val="pt-BR"/>
        </w:rPr>
        <w:t/>
      </w:r>
      <w:r>
        <w:rPr>
          <w:rFonts w:cs="Times New Roman" w:ascii="Times New Roman" w:hAnsi="Times New Roman"/>
          <w:sz w:val="24"/>
          <w:szCs w:val="24"/>
          <w:highlight w:val="yellow"/>
        </w:rPr>
        <w:t xml:space="preserve"> de </w:t>
      </w:r>
      <w:r>
        <w:rPr>
          <w:rFonts w:cs="Times New Roman" w:ascii="Times New Roman" w:hAnsi="Times New Roman"/>
          <w:sz w:val="24"/>
          <w:szCs w:val="24"/>
          <w:highlight w:val="yellow"/>
          <w:lang w:val="pt-BR"/>
        </w:rPr>
        <w:t>Educação</w:t>
      </w:r>
    </w:p>
    <w:p>
      <w:pPr>
        <w:pStyle w:val="BodyText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highlight w:val="yellow"/>
        </w:rPr>
        <w:t xml:space="preserve">DECRETO Nº {secretarioDecreto}</w:t>
      </w:r>
      <w:r>
        <w:rPr>
          <w:rFonts w:cs="Times New Roman" w:ascii="Times New Roman" w:hAnsi="Times New Roman"/>
          <w:bCs/>
          <w:sz w:val="24"/>
          <w:szCs w:val="24"/>
          <w:highlight w:val="yellow"/>
          <w:lang w:val="pt-BR"/>
        </w:rPr>
      </w:r>
      <w:r>
        <w:rPr>
          <w:rFonts w:cs="Times New Roman" w:ascii="Times New Roman" w:hAnsi="Times New Roman"/>
          <w:bCs/>
          <w:sz w:val="24"/>
          <w:szCs w:val="24"/>
          <w:highlight w:val="yellow"/>
        </w:rPr>
      </w:r>
      <w:r>
        <w:rPr>
          <w:rFonts w:cs="Times New Roman" w:ascii="Times New Roman" w:hAnsi="Times New Roman"/>
          <w:bCs/>
          <w:sz w:val="24"/>
          <w:szCs w:val="24"/>
          <w:highlight w:val="yellow"/>
          <w:lang w:val="pt-BR"/>
        </w:rPr>
      </w:r>
      <w:r>
        <w:rPr>
          <w:rFonts w:cs="Times New Roman" w:ascii="Times New Roman" w:hAnsi="Times New Roman"/>
          <w:bCs/>
          <w:sz w:val="24"/>
          <w:szCs w:val="24"/>
          <w:highlight w:val="yellow"/>
        </w:rPr>
      </w:r>
      <w:r>
        <w:rPr>
          <w:rFonts w:cs="Times New Roman" w:ascii="Times New Roman" w:hAnsi="Times New Roman"/>
          <w:bCs/>
          <w:sz w:val="24"/>
          <w:szCs w:val="24"/>
          <w:highlight w:val="yellow"/>
          <w:lang w:val="pt-BR"/>
        </w:rPr>
      </w:r>
      <w:r>
        <w:rPr>
          <w:rFonts w:cs="Times New Roman" w:ascii="Times New Roman" w:hAnsi="Times New Roman"/>
          <w:bCs/>
          <w:sz w:val="24"/>
          <w:szCs w:val="24"/>
          <w:highlight w:val="yellow"/>
        </w:rPr>
      </w:r>
      <w:r>
        <w:rPr>
          <w:rFonts w:cs="Times New Roman" w:ascii="Times New Roman" w:hAnsi="Times New Roman"/>
          <w:bCs/>
          <w:sz w:val="24"/>
          <w:szCs w:val="24"/>
          <w:highlight w:val="yellow"/>
          <w:lang w:val="pt-BR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cs="Times New Roman"/>
          <w:b/>
          <w:sz w:val="24"/>
          <w:szCs w:val="24"/>
          <w:lang w:val="pt-BR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Planilha de Preços</w:t>
      </w:r>
    </w:p>
    <w:p>
      <w:pPr>
        <w:pStyle w:val="Normal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tbl>
      <w:tblPr>
        <w:tblW w:w="9705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81"/>
        <w:gridCol w:w="5806"/>
        <w:gridCol w:w="568"/>
        <w:gridCol w:w="1119"/>
        <w:gridCol w:w="8"/>
        <w:gridCol w:w="1423"/>
      </w:tblGrid>
      <w:tr>
        <w:trPr>
          <w:trHeight w:val="300" w:hRule="atLeast"/>
        </w:trPr>
        <w:tc>
          <w:tcPr>
            <w:tcW w:w="970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LOTE I</w:t>
            </w:r>
          </w:p>
        </w:tc>
      </w:tr>
      <w:tr>
        <w:trPr>
          <w:trHeight w:val="30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5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DISCRIMINAÇÃO</w:t>
            </w:r>
          </w:p>
        </w:tc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Mês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PREÇO UNT.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PREÇO TOTAL</w:t>
            </w:r>
          </w:p>
        </w:tc>
      </w:tr>
      <w:tr>
        <w:trPr>
          <w:trHeight w:val="7584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00" w:after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Prestação de serviços técnicos especializados de consultoria estratégica, administrativa e sistêmica em gestão educacional, de alta complexidade, destinados à organização, regularização, habilitação e otimização da gestão dos recursos educacionais do Município, com foco na correta habilitação, manutenção e regularização de repasses provenientes do FNDE, MEC, FUNDEB e sistemas correlatos.</w:t>
            </w:r>
          </w:p>
          <w:p>
            <w:pPr>
              <w:pStyle w:val="Normal"/>
              <w:spacing w:before="100" w:after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 serviços compreendem, dentre outras atividades:</w:t>
            </w:r>
          </w:p>
          <w:p>
            <w:pPr>
              <w:pStyle w:val="Normal"/>
              <w:numPr>
                <w:ilvl w:val="0"/>
                <w:numId w:val="2"/>
              </w:numPr>
              <w:spacing w:before="100" w:after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Diagnóstico técnico especializado e saneamento de pendências relacionadas a obras educacionais paralisadas ou com restrições nos sistemas (PAC/PAR), bem como regularização de contas bloqueadas para viabilizar o restabelecimento de transferências voluntárias; </w:t>
            </w:r>
          </w:p>
          <w:p>
            <w:pPr>
              <w:pStyle w:val="Normal"/>
              <w:numPr>
                <w:ilvl w:val="0"/>
                <w:numId w:val="2"/>
              </w:numPr>
              <w:spacing w:before="100" w:after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Análise técnica de conformidade e saneamento de prestações de contas nos sistemas oficiais, especialmente junto ao SIGPC/FNDE, visando à reabilitação do ente perante os órgãos de controle e repasse; </w:t>
            </w:r>
          </w:p>
          <w:p>
            <w:pPr>
              <w:pStyle w:val="Normal"/>
              <w:numPr>
                <w:ilvl w:val="0"/>
                <w:numId w:val="2"/>
              </w:numPr>
              <w:spacing w:before="100" w:after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Elaboração, estruturação e acompanhamento de projetos técnicos e ações estratégicas voltadas à regularização de registros, informações e indicadores que impactam diretamente nos repasses educacionais, incluindo instrumentos vinculados ao Plano de Ações Articuladas </w:t>
            </w:r>
          </w:p>
        </w:tc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{quantidadeMeses}</w:t>
            </w:r>
            <w:r/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{valorMensal}</w:t>
            </w:r>
            <w:r/>
          </w:p>
        </w:tc>
        <w:tc>
          <w:tcPr>
            <w:tcW w:w="14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{valorGlobal}</w:t>
            </w:r>
          </w:p>
        </w:tc>
      </w:tr>
      <w:tr>
        <w:trPr>
          <w:trHeight w:val="300" w:hRule="atLeast"/>
        </w:trPr>
        <w:tc>
          <w:tcPr>
            <w:tcW w:w="82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Total Geral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{valorGlobal}</w:t>
            </w:r>
          </w:p>
        </w:tc>
      </w:tr>
    </w:tbl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851" w:gutter="0" w:header="68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3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6"/>
    </w:pPr>
    <w:rPr>
      <w:rFonts w:ascii="Arial" w:hAnsi="Arial" w:cs="Arial"/>
      <w:b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end"/>
      <w:outlineLvl w:val="7"/>
    </w:pPr>
    <w:rPr>
      <w:rFonts w:ascii="Arial" w:hAnsi="Arial" w:cs="Arial"/>
      <w:b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8"/>
    </w:pPr>
    <w:rPr>
      <w:rFonts w:ascii="Arial" w:hAnsi="Arial" w:cs="Arial"/>
      <w:b/>
      <w:bCs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Times New Roman" w:hAnsi="Times New Roman" w:eastAsia="Times New Roman" w:cs="Times New Roman"/>
      <w:w w:val="100"/>
      <w:sz w:val="22"/>
      <w:szCs w:val="22"/>
      <w:lang w:val="pt-PT" w:bidi="pt-PT"/>
    </w:rPr>
  </w:style>
  <w:style w:type="character" w:styleId="WW8Num7z1">
    <w:name w:val="WW8Num7z1"/>
    <w:qFormat/>
    <w:rPr>
      <w:lang w:val="pt-PT" w:bidi="pt-PT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CabealhoChar">
    <w:name w:val="Cabeçalho Char"/>
    <w:qFormat/>
    <w:rPr/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Arial" w:hAnsi="Arial" w:cs="Arial"/>
    </w:rPr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Corpodetexto3">
    <w:name w:val="Corpo de texto 3"/>
    <w:basedOn w:val="Normal"/>
    <w:qFormat/>
    <w:pPr>
      <w:jc w:val="both"/>
    </w:pPr>
    <w:rPr>
      <w:b/>
      <w:sz w:val="24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paragraph" w:styleId="TableParagraph">
    <w:name w:val="Table Paragraph"/>
    <w:basedOn w:val="Normal"/>
    <w:qFormat/>
    <w:pPr>
      <w:widowControl w:val="false"/>
      <w:autoSpaceDE w:val="false"/>
      <w:ind w:hanging="0" w:start="74" w:end="0"/>
    </w:pPr>
    <w:rPr>
      <w:sz w:val="22"/>
      <w:szCs w:val="22"/>
      <w:lang w:val="pt-PT" w:bidi="pt-PT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2015-03-17T15:53:00Z</dcterms:created>
  <dc:creator>Esaú Fagundes Simões</dc:creator>
  <dc:description/>
  <cp:keywords/>
  <dc:language>pt-BR</dc:language>
  <cp:lastModifiedBy>User</cp:lastModifiedBy>
  <cp:lastPrinted>2024-03-27T15:00:00Z</cp:lastPrinted>
  <dcterms:modified xsi:type="dcterms:W3CDTF">2026-03-31T21:54:00Z</dcterms:modified>
  <cp:revision>33</cp:revision>
  <dc:subject/>
  <dc:title>ATO DE CONTRATACAO DIRETA</dc:title>
</cp:coreProperties>
</file>