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Book Antiqua" w:hAnsi="Book Antiqua" w:eastAsia="Batang;바탕" w:cs="Book Antiqua"/>
          <w:b/>
          <w:i/>
          <w:u w:val="single"/>
        </w:rPr>
      </w:pPr>
      <w:r>
        <w:rPr>
          <w:rFonts w:eastAsia="Batang;바탕" w:cs="Book Antiqua" w:ascii="Book Antiqua" w:hAnsi="Book Antiqua"/>
          <w:b/>
          <w:i/>
          <w:u w:val="single"/>
        </w:rPr>
      </w:r>
    </w:p>
    <w:p>
      <w:pPr>
        <w:pStyle w:val="Normal"/>
        <w:jc w:val="center"/>
        <w:rPr/>
      </w:pPr>
      <w:r>
        <w:rPr>
          <w:rFonts w:eastAsia="Batang;바탕" w:cs="Book Antiqua" w:ascii="Book Antiqua" w:hAnsi="Book Antiqua"/>
          <w:b/>
          <w:i/>
          <w:u w:val="single"/>
        </w:rPr>
        <w:t>PROCURADORIA JURÍDICA</w:t>
      </w:r>
    </w:p>
    <w:p>
      <w:pPr>
        <w:pStyle w:val="Normal"/>
        <w:spacing w:lineRule="auto" w:line="360"/>
        <w:ind w:start="3960" w:end="0"/>
        <w:jc w:val="both"/>
        <w:rPr>
          <w:rFonts w:ascii="Book Antiqua" w:hAnsi="Book Antiqua" w:eastAsia="Batang;바탕" w:cs="Book Antiqua"/>
          <w:b/>
          <w:i/>
          <w:u w:val="single"/>
        </w:rPr>
      </w:pPr>
      <w:r>
        <w:rPr>
          <w:rFonts w:eastAsia="Batang;바탕" w:cs="Book Antiqua" w:ascii="Book Antiqua" w:hAnsi="Book Antiqua"/>
          <w:b/>
          <w:i/>
          <w:u w:val="single"/>
        </w:rPr>
      </w:r>
    </w:p>
    <w:p>
      <w:pPr>
        <w:pStyle w:val="Normal"/>
        <w:spacing w:lineRule="auto" w:line="360"/>
        <w:ind w:start="3540" w:end="0"/>
        <w:rPr>
          <w:rFonts w:ascii="Book Antiqua" w:hAnsi="Book Antiqua" w:cs="Book Antiqua"/>
          <w:b/>
          <w:u w:val="single"/>
        </w:rPr>
      </w:pPr>
      <w:r>
        <w:rPr>
          <w:rFonts w:cs="Book Antiqua" w:ascii="Book Antiqua" w:hAnsi="Book Antiqua"/>
          <w:b/>
          <w:u w:val="single"/>
        </w:rPr>
        <w:t>{modalidadeNome} nº {inexigibilidadeNumero}/{exercicio}</w:t>
      </w:r>
    </w:p>
    <w:p>
      <w:pPr>
        <w:pStyle w:val="Normal"/>
        <w:spacing w:lineRule="auto" w:line="360"/>
        <w:ind w:start="4248" w:end="0"/>
        <w:jc w:val="both"/>
        <w:rPr>
          <w:rFonts w:ascii="Book Antiqua" w:hAnsi="Book Antiqua" w:cs="Book Antiqua"/>
          <w:b/>
          <w:u w:val="single"/>
        </w:rPr>
      </w:pPr>
      <w:r>
        <w:rPr>
          <w:rFonts w:cs="Book Antiqua" w:ascii="Book Antiqua" w:hAnsi="Book Antiqua"/>
          <w:b/>
          <w:u w:val="single"/>
        </w:rPr>
      </w:r>
    </w:p>
    <w:p>
      <w:pPr>
        <w:pStyle w:val="Normal"/>
        <w:spacing w:lineRule="auto" w:line="360"/>
        <w:ind w:start="3540" w:end="0"/>
        <w:jc w:val="both"/>
        <w:rPr>
          <w:rFonts w:ascii="Book Antiqua" w:hAnsi="Book Antiqua" w:cs="Book Antiqua"/>
          <w:b/>
        </w:rPr>
      </w:pPr>
      <w:r>
        <w:rPr>
          <w:rFonts w:cs="Book Antiqua" w:ascii="Book Antiqua" w:hAnsi="Book Antiqua"/>
          <w:b/>
          <w:u w:val="single"/>
        </w:rPr>
        <w:t>Parecer</w:t>
      </w:r>
    </w:p>
    <w:p>
      <w:pPr>
        <w:pStyle w:val="Normal"/>
        <w:tabs>
          <w:tab w:val="clear" w:pos="708"/>
          <w:tab w:val="left" w:pos="8280" w:leader="none"/>
        </w:tabs>
        <w:spacing w:lineRule="auto" w:line="360"/>
        <w:ind w:start="3540" w:end="0"/>
        <w:jc w:val="both"/>
        <w:rPr/>
      </w:pPr>
      <w:r>
        <w:rPr>
          <w:rFonts w:cs="Book Antiqua" w:ascii="Book Antiqua" w:hAnsi="Book Antiqua"/>
          <w:b/>
        </w:rPr>
        <w:t xml:space="preserve">Ementa: </w:t>
      </w:r>
      <w:r>
        <w:rPr>
          <w:rFonts w:cs="Book Antiqua" w:ascii="Book Antiqua" w:hAnsi="Book Antiqua"/>
        </w:rPr>
        <w:t xml:space="preserve">Contratação direta. {modalidadeNome}. Art. 75 da Lei nº 14.133/2021. Regularidade jurídica.</w:t>
      </w:r>
    </w:p>
    <w:p>
      <w:pPr>
        <w:pStyle w:val="Normal"/>
        <w:jc w:val="both"/>
        <w:rPr>
          <w:rFonts w:ascii="Book Antiqua" w:hAnsi="Book Antiqua" w:cs="Book Antiqua"/>
          <w:b/>
          <w:u w:val="single"/>
        </w:rPr>
      </w:pPr>
      <w:r>
        <w:rPr>
          <w:rFonts w:cs="Book Antiqua" w:ascii="Book Antiqua" w:hAnsi="Book Antiqua"/>
          <w:b/>
          <w:u w:val="single"/>
        </w:rPr>
      </w:r>
    </w:p>
    <w:p>
      <w:pPr>
        <w:pStyle w:val="Normal"/>
        <w:jc w:val="both"/>
        <w:rPr>
          <w:rFonts w:ascii="Book Antiqua" w:hAnsi="Book Antiqua" w:cs="Book Antiqua"/>
          <w:b/>
          <w:u w:val="single"/>
        </w:rPr>
      </w:pPr>
      <w:r>
        <w:rPr>
          <w:rFonts w:cs="Book Antiqua" w:ascii="Book Antiqua" w:hAnsi="Book Antiqua"/>
          <w:b/>
          <w:u w:val="single"/>
        </w:rPr>
      </w:r>
    </w:p>
    <w:p>
      <w:pPr>
        <w:pStyle w:val="Normal"/>
        <w:tabs>
          <w:tab w:val="clear" w:pos="708"/>
          <w:tab w:val="left" w:pos="180" w:leader="none"/>
          <w:tab w:val="left" w:pos="360" w:leader="none"/>
        </w:tabs>
        <w:spacing w:lineRule="auto" w:line="360"/>
        <w:ind w:end="-81"/>
        <w:jc w:val="both"/>
        <w:rPr/>
      </w:pPr>
      <w:r>
        <w:rPr>
          <w:rFonts w:cs="Book Antiqua" w:ascii="Book Antiqua" w:hAnsi="Book Antiqua"/>
        </w:rPr>
        <w:t xml:space="preserve">          Vem à nossa apreciação o Processo Administrativo nº {processoNumero}/{exercicio}, que tem como escopo a contratação de empresa especializada para prestação de serviços técnicos de consultoria estratégica em gestão educacional, visando à realização de diagnóstico, análise de conformidade e regularização de informações e sistemas educacionais vinculados ao MEC, FNDE e FUNDEB, no âmbito da Secretaria Municipal de Educação de {municipioNome} – {municipioUF}, por meio de {modalidadeCurta} de licitação.</w:t>
      </w:r>
      <w:r>
        <w:rPr>
          <w:rFonts w:cs="Arial" w:ascii="Book Antiqua" w:hAnsi="Book Antiqua"/>
        </w:rPr>
      </w:r>
      <w:r>
        <w:rPr>
          <w:rStyle w:val="bzpyqfadein"/>
          <w:rFonts w:cs="Arial" w:ascii="Book Antiqua" w:hAnsi="Book Antiqua"/>
        </w:rPr>
      </w:r>
      <w:r>
        <w:rPr>
          <w:rFonts w:cs="Book Antiqua" w:ascii="Book Antiqua" w:hAnsi="Book Antiqua"/>
        </w:rPr>
      </w:r>
    </w:p>
    <w:p>
      <w:pPr>
        <w:pStyle w:val="Normal"/>
        <w:tabs>
          <w:tab w:val="clear" w:pos="708"/>
          <w:tab w:val="left" w:pos="180" w:leader="none"/>
          <w:tab w:val="left" w:pos="360" w:leader="none"/>
        </w:tabs>
        <w:spacing w:lineRule="auto" w:line="360"/>
        <w:ind w:end="-81"/>
        <w:jc w:val="both"/>
        <w:rPr>
          <w:rFonts w:ascii="Book Antiqua" w:hAnsi="Book Antiqua" w:cs="Book Antiqua"/>
        </w:rPr>
      </w:pPr>
      <w:r>
        <w:rPr>
          <w:rFonts w:cs="Book Antiqua" w:ascii="Book Antiqua" w:hAnsi="Book Antiqua"/>
        </w:rPr>
      </w:r>
    </w:p>
    <w:p>
      <w:pPr>
        <w:pStyle w:val="Normal"/>
        <w:tabs>
          <w:tab w:val="clear" w:pos="708"/>
          <w:tab w:val="left" w:pos="360" w:leader="none"/>
        </w:tabs>
        <w:spacing w:lineRule="auto" w:line="360"/>
        <w:jc w:val="both"/>
        <w:rPr/>
      </w:pPr>
      <w:r>
        <w:rPr>
          <w:rFonts w:cs="Book Antiqua" w:ascii="Book Antiqua" w:hAnsi="Book Antiqua"/>
        </w:rPr>
        <w:t xml:space="preserve">          A Lei nº 14.133/2021 estabelece, em seu art. 75, as hipóteses em que a licitação é dispensável, autorizando a Administração a contratar diretamente quando presentes os pressupostos legais e observadas as formalidades do processo de contratação direta.</w:t>
      </w:r>
      <w:r>
        <w:rPr>
          <w:rFonts w:cs="Arial" w:ascii="Book Antiqua" w:hAnsi="Book Antiqua"/>
        </w:rPr>
        <w:t/>
      </w:r>
      <w:r>
        <w:rPr>
          <w:rFonts w:cs="Book Antiqua" w:ascii="Book Antiqua" w:hAnsi="Book Antiqua"/>
        </w:rPr>
        <w:t xml:space="preserve"/>
      </w:r>
      <w:r>
        <w:rPr>
          <w:rFonts w:cs="Book Antiqua" w:ascii="Book Antiqua" w:hAnsi="Book Antiqua"/>
          <w:b/>
        </w:rPr>
        <w:t/>
      </w:r>
      <w:r>
        <w:rPr>
          <w:rFonts w:cs="Book Antiqua" w:ascii="Book Antiqua" w:hAnsi="Book Antiqua"/>
          <w:i/>
        </w:rPr>
        <w:t xml:space="preserve"/>
      </w:r>
      <w:r>
        <w:rPr>
          <w:rFonts w:cs="Book Antiqua" w:ascii="Book Antiqua" w:hAnsi="Book Antiqua"/>
        </w:rPr>
        <w:t/>
      </w:r>
    </w:p>
    <w:p>
      <w:pPr>
        <w:pStyle w:val="Normal"/>
        <w:tabs>
          <w:tab w:val="clear" w:pos="708"/>
          <w:tab w:val="left" w:pos="360" w:leader="none"/>
        </w:tabs>
        <w:spacing w:lineRule="auto" w:line="360"/>
        <w:jc w:val="both"/>
        <w:rPr>
          <w:rFonts w:ascii="Book Antiqua" w:hAnsi="Book Antiqua" w:cs="Book Antiqua"/>
        </w:rPr>
      </w:pPr>
      <w:r>
        <w:rPr>
          <w:rFonts w:cs="Book Antiqua" w:ascii="Book Antiqua" w:hAnsi="Book Antiqua"/>
        </w:rPr>
        <w:tab/>
      </w:r>
    </w:p>
    <w:p>
      <w:pPr>
        <w:pStyle w:val="Normal"/>
        <w:tabs>
          <w:tab w:val="clear" w:pos="708"/>
          <w:tab w:val="left" w:pos="360" w:leader="none"/>
        </w:tabs>
        <w:spacing w:lineRule="auto" w:line="360"/>
        <w:jc w:val="both"/>
        <w:rPr/>
      </w:pPr>
      <w:r>
        <w:rPr>
          <w:rFonts w:cs="Book Antiqua" w:ascii="Book Antiqua" w:hAnsi="Book Antiqua"/>
        </w:rPr>
        <w:t xml:space="preserve">          No caso em exame, a contratação encontra amparo no {baseLegal}.</w:t>
      </w:r>
    </w:p>
    <w:p>
      <w:pPr>
        <w:pStyle w:val="Normal"/>
        <w:tabs>
          <w:tab w:val="clear" w:pos="708"/>
          <w:tab w:val="left" w:pos="360" w:leader="none"/>
        </w:tabs>
        <w:spacing w:lineRule="auto" w:line="360"/>
        <w:jc w:val="both"/>
        <w:rPr>
          <w:rFonts w:ascii="Book Antiqua" w:hAnsi="Book Antiqua" w:cs="Book Antiqua"/>
        </w:rPr>
      </w:pPr>
      <w:r>
        <w:rPr>
          <w:rFonts w:cs="Book Antiqua" w:ascii="Book Antiqua" w:hAnsi="Book Antiqua"/>
        </w:rPr>
      </w:r>
    </w:p>
    <w:p>
      <w:pPr>
        <w:pStyle w:val="Normal"/>
        <w:tabs>
          <w:tab w:val="clear" w:pos="708"/>
          <w:tab w:val="left" w:pos="360" w:leader="none"/>
        </w:tabs>
        <w:spacing w:lineRule="auto" w:line="360"/>
        <w:jc w:val="both"/>
        <w:rPr>
          <w:rFonts w:ascii="Book Antiqua" w:hAnsi="Book Antiqua" w:cs="Book Antiqua"/>
        </w:rPr>
      </w:pPr>
      <w:r>
        <w:rPr>
          <w:rFonts w:cs="Book Antiqua" w:ascii="Book Antiqua" w:hAnsi="Book Antiqua"/>
        </w:rPr>
        <w:t xml:space="preserve">          Instruído o processo com o documento de formalização da demanda, o estudo técnico preliminar, o termo de referência, a justificativa da escolha do fornecedor, a justificativa de preço, a reserva orçamentária e a documentação de habilitação jurídica, fiscal, social, trabalhista e técnica da contratada, tem-se por atendido o disposto no art. 72 da Lei nº 14.133/2021.</w:t>
      </w:r>
    </w:p>
    <w:p>
      <w:pPr>
        <w:spacing w:before="0" w:after="0" w:line="20" w:lineRule="exact"/>
        <w:pStyle w:val="Normal"/>
        <w:tabs>
          <w:tab w:val="clear" w:pos="708"/>
          <w:tab w:val="left" w:pos="360" w:leader="none"/>
        </w:tabs>
        <w:spacing w:lineRule="auto" w:line="360"/>
        <w:ind w:start="2124" w:end="0"/>
        <w:jc w:val="both"/>
        <w:rPr>
          <w:rFonts w:ascii="Book Antiqua" w:hAnsi="Book Antiqua" w:cs="Book Antiqua"/>
          <w:b/>
        </w:rPr>
      </w:pPr>
      <w:r>
        <w:rPr>
          <w:rFonts w:cs="Book Antiqua" w:ascii="Book Antiqua" w:hAnsi="Book Antiqua"/>
          <w:b/>
        </w:rPr>
        <w:t/>
      </w:r>
    </w:p>
    <w:p>
      <w:pPr>
        <w:spacing w:before="0" w:after="0" w:line="20" w:lineRule="exact"/>
        <w:pStyle w:val="Normal"/>
        <w:tabs>
          <w:tab w:val="clear" w:pos="708"/>
          <w:tab w:val="left" w:pos="360" w:leader="none"/>
        </w:tabs>
        <w:spacing w:lineRule="auto" w:line="360"/>
        <w:ind w:start="2124" w:end="0"/>
        <w:jc w:val="both"/>
        <w:rPr>
          <w:rFonts w:ascii="Book Antiqua" w:hAnsi="Book Antiqua" w:cs="Book Antiqua"/>
          <w:b/>
          <w:u w:val="single"/>
        </w:rPr>
      </w:pPr>
      <w:r>
        <w:rPr>
          <w:rFonts w:cs="Book Antiqua" w:ascii="Book Antiqua" w:hAnsi="Book Antiqua"/>
          <w:b/>
        </w:rPr>
        <w:t/>
      </w:r>
    </w:p>
    <w:p>
      <w:pPr>
        <w:spacing w:before="0" w:after="0" w:line="20" w:lineRule="exact"/>
        <w:pStyle w:val="Normal"/>
        <w:tabs>
          <w:tab w:val="clear" w:pos="708"/>
          <w:tab w:val="left" w:pos="360" w:leader="none"/>
        </w:tabs>
        <w:spacing w:lineRule="auto" w:line="360"/>
        <w:ind w:start="2124" w:end="0"/>
        <w:jc w:val="both"/>
        <w:rPr>
          <w:rFonts w:ascii="Book Antiqua" w:hAnsi="Book Antiqua" w:cs="Segoe UI"/>
          <w:b/>
          <w:shd w:fill="FFFFFF" w:val="clear"/>
        </w:rPr>
      </w:pPr>
      <w:r>
        <w:rPr>
          <w:rFonts w:cs="Book Antiqua" w:ascii="Book Antiqua" w:hAnsi="Book Antiqua"/>
          <w:b/>
        </w:rPr>
        <w:t xml:space="preserve"/>
      </w:r>
      <w:r>
        <w:rPr>
          <w:rFonts w:cs="Segoe UI" w:ascii="Book Antiqua" w:hAnsi="Book Antiqua"/>
          <w:b/>
          <w:shd w:fill="FFFFFF" w:val="clear"/>
        </w:rPr>
        <w:t/>
      </w:r>
    </w:p>
    <w:p>
      <w:pPr>
        <w:spacing w:before="0" w:after="0" w:line="20" w:lineRule="exact"/>
        <w:pStyle w:val="Normal"/>
        <w:tabs>
          <w:tab w:val="clear" w:pos="708"/>
          <w:tab w:val="left" w:pos="360" w:leader="none"/>
        </w:tabs>
        <w:spacing w:lineRule="auto" w:line="360"/>
        <w:ind w:start="2124" w:end="0"/>
        <w:jc w:val="both"/>
        <w:rPr>
          <w:rFonts w:ascii="Book Antiqua" w:hAnsi="Book Antiqua" w:cs="Segoe UI"/>
          <w:b/>
          <w:bCs/>
          <w:shd w:fill="FFFFFF" w:val="clear"/>
        </w:rPr>
      </w:pPr>
      <w:r>
        <w:rPr>
          <w:rFonts w:cs="Calibri-Bold;Calibri" w:ascii="Book Antiqua" w:hAnsi="Book Antiqua"/>
          <w:b/>
          <w:bCs/>
        </w:rPr>
        <w:t xml:space="preserve"/>
      </w:r>
      <w:r>
        <w:rPr>
          <w:rFonts w:cs="Calibri" w:ascii="Book Antiqua" w:hAnsi="Book Antiqua"/>
          <w:b/>
          <w:bCs/>
        </w:rPr>
        <w:t/>
      </w:r>
    </w:p>
    <w:p>
      <w:pPr>
        <w:spacing w:before="0" w:after="0" w:line="20" w:lineRule="exact"/>
        <w:pStyle w:val="Normal"/>
        <w:tabs>
          <w:tab w:val="clear" w:pos="708"/>
          <w:tab w:val="left" w:pos="360" w:leader="none"/>
        </w:tabs>
        <w:spacing w:lineRule="auto" w:line="360"/>
        <w:ind w:start="2124" w:end="0"/>
        <w:jc w:val="both"/>
        <w:rPr>
          <w:rFonts w:ascii="Book Antiqua" w:hAnsi="Book Antiqua" w:cs="Segoe UI"/>
          <w:b/>
          <w:bCs/>
          <w:shd w:fill="FFFFFF" w:val="clear"/>
        </w:rPr>
      </w:pPr>
      <w:r>
        <w:rPr>
          <w:rFonts w:cs="Segoe UI" w:ascii="Book Antiqua" w:hAnsi="Book Antiqua"/>
          <w:b/>
          <w:bCs/>
          <w:shd w:fill="FFFFFF" w:val="clear"/>
        </w:rPr>
      </w:r>
    </w:p>
    <w:p>
      <w:pPr>
        <w:pStyle w:val="Normal"/>
        <w:tabs>
          <w:tab w:val="clear" w:pos="708"/>
          <w:tab w:val="left" w:pos="360" w:leader="none"/>
        </w:tabs>
        <w:spacing w:lineRule="auto" w:line="360"/>
        <w:jc w:val="both"/>
        <w:rPr/>
      </w:pPr>
      <w:r>
        <w:rPr>
          <w:rFonts w:cs="Book Antiqua" w:ascii="Book Antiqua" w:hAnsi="Book Antiqua"/>
        </w:rPr>
        <w:t xml:space="preserve">          Verifica-se, ainda, que a empresa {empresaRazaoSocial} – CNPJ nº {empresaCNPJ} apresentou a documentação de regularidade exigida e atestados de capacidade técnica compatíveis com o objeto, não havendo óbice quanto à sua habilitação.</w:t>
      </w:r>
      <w:r>
        <w:rPr>
          <w:rFonts w:cs="Arial" w:ascii="Book Antiqua" w:hAnsi="Book Antiqua"/>
          <w:b/>
          <w:color w:val="202124"/>
          <w:shd w:fill="FFFFFF" w:val="clear"/>
        </w:rPr>
      </w:r>
      <w:r>
        <w:rPr>
          <w:rFonts w:cs="Arial" w:ascii="Book Antiqua" w:hAnsi="Book Antiqua"/>
          <w:color w:val="202124"/>
          <w:shd w:fill="FFFFFF" w:val="clear"/>
        </w:rPr>
      </w:r>
      <w:r>
        <w:rPr>
          <w:rStyle w:val="Strong"/>
          <w:rFonts w:cs="Segoe UI" w:ascii="Book Antiqua" w:hAnsi="Book Antiqua"/>
          <w:shd w:fill="FFFFFF" w:val="clear"/>
        </w:rPr>
      </w:r>
      <w:r>
        <w:rPr>
          <w:rFonts w:cs="Book Antiqua" w:ascii="Book Antiqua" w:hAnsi="Book Antiqua"/>
        </w:rPr>
      </w:r>
      <w:r>
        <w:rPr>
          <w:rFonts w:cs="Calibri" w:ascii="Book Antiqua" w:hAnsi="Book Antiqua"/>
        </w:rPr>
      </w:r>
      <w:r>
        <w:rPr>
          <w:rFonts w:cs="Book Antiqua" w:ascii="Book Antiqua" w:hAnsi="Book Antiqua"/>
        </w:rPr>
      </w:r>
      <w:r>
        <w:rPr>
          <w:rFonts w:cs="Arial" w:ascii="Book Antiqua" w:hAnsi="Book Antiqua"/>
          <w:b/>
          <w:bCs/>
        </w:rPr>
      </w:r>
      <w:r>
        <w:rPr>
          <w:rFonts w:cs="Arial" w:ascii="Book Antiqua" w:hAnsi="Book Antiqua"/>
          <w:b/>
          <w:iCs/>
        </w:rPr>
      </w:r>
      <w:r>
        <w:rPr>
          <w:rFonts w:cs="Arial" w:ascii="Book Antiqua" w:hAnsi="Book Antiqua"/>
          <w:iCs/>
        </w:rPr>
      </w:r>
      <w:r>
        <w:rPr>
          <w:rFonts w:cs="Arial" w:ascii="Book Antiqua" w:hAnsi="Book Antiqua"/>
          <w:bCs/>
        </w:rPr>
      </w:r>
      <w:r>
        <w:rPr>
          <w:rFonts w:cs="Book Antiqua" w:ascii="Book Antiqua" w:hAnsi="Book Antiqua"/>
          <w:b/>
          <w:iCs/>
        </w:rPr>
      </w:r>
      <w:r>
        <w:rPr>
          <w:rFonts w:cs="Book Antiqua" w:ascii="Book Antiqua" w:hAnsi="Book Antiqua"/>
        </w:rPr>
      </w:r>
      <w:r>
        <w:rPr>
          <w:rFonts w:cs="Book Antiqua" w:ascii="Book Antiqua" w:hAnsi="Book Antiqua"/>
          <w:iCs/>
        </w:rPr>
      </w:r>
      <w:r>
        <w:rPr>
          <w:rFonts w:cs="Book Antiqua" w:ascii="Book Antiqua" w:hAnsi="Book Antiqua"/>
        </w:rPr>
      </w:r>
    </w:p>
    <w:p>
      <w:pPr>
        <w:pStyle w:val="Normal"/>
        <w:tabs>
          <w:tab w:val="clear" w:pos="708"/>
          <w:tab w:val="left" w:pos="360" w:leader="none"/>
        </w:tabs>
        <w:spacing w:lineRule="auto" w:line="360"/>
        <w:jc w:val="both"/>
        <w:rPr>
          <w:rFonts w:ascii="Book Antiqua" w:hAnsi="Book Antiqua" w:cs="Book Antiqua"/>
        </w:rPr>
      </w:pPr>
      <w:r>
        <w:rPr>
          <w:rFonts w:cs="Book Antiqua" w:ascii="Book Antiqua" w:hAnsi="Book Antiqua"/>
        </w:rPr>
      </w:r>
    </w:p>
    <w:p>
      <w:pPr>
        <w:pStyle w:val="Normal"/>
        <w:tabs>
          <w:tab w:val="clear" w:pos="708"/>
          <w:tab w:val="left" w:pos="360" w:leader="none"/>
        </w:tabs>
        <w:spacing w:lineRule="auto" w:line="360"/>
        <w:jc w:val="both"/>
        <w:rPr/>
      </w:pPr>
      <w:r>
        <w:rPr>
          <w:rFonts w:cs="Book Antiqua" w:ascii="Book Antiqua" w:hAnsi="Book Antiqua"/>
        </w:rPr>
        <w:t xml:space="preserve">         Para resguardo do interesse público, imprescindível a observância das formalidades do art. 72 da Lei nº 14.133/2021, especialmente a ratificação pela autoridade competente e a devida publicidade do ato.</w:t>
      </w:r>
      <w:r>
        <w:rPr>
          <w:rFonts w:cs="Arial" w:ascii="Book Antiqua" w:hAnsi="Book Antiqua"/>
        </w:rPr>
        <w:t/>
      </w:r>
      <w:r>
        <w:rPr>
          <w:rFonts w:cs="Book Antiqua" w:ascii="Book Antiqua" w:hAnsi="Book Antiqua"/>
        </w:rPr>
        <w:t/>
      </w:r>
    </w:p>
    <w:p>
      <w:pPr>
        <w:pStyle w:val="Normal"/>
        <w:tabs>
          <w:tab w:val="clear" w:pos="708"/>
          <w:tab w:val="left" w:pos="360" w:leader="none"/>
        </w:tabs>
        <w:spacing w:lineRule="auto" w:line="360"/>
        <w:jc w:val="both"/>
        <w:rPr>
          <w:rFonts w:ascii="Book Antiqua" w:hAnsi="Book Antiqua" w:cs="Book Antiqua"/>
        </w:rPr>
      </w:pPr>
      <w:r>
        <w:rPr>
          <w:rFonts w:cs="Book Antiqua" w:ascii="Book Antiqua" w:hAnsi="Book Antiqua"/>
        </w:rPr>
      </w:r>
    </w:p>
    <w:p>
      <w:pPr>
        <w:pStyle w:val="Normal"/>
        <w:tabs>
          <w:tab w:val="clear" w:pos="708"/>
          <w:tab w:val="left" w:pos="360" w:leader="none"/>
        </w:tabs>
        <w:spacing w:lineRule="auto" w:line="360"/>
        <w:jc w:val="both"/>
        <w:rPr/>
      </w:pPr>
      <w:r>
        <w:rPr>
          <w:rFonts w:cs="Book Antiqua" w:ascii="Book Antiqua" w:hAnsi="Book Antiqua"/>
        </w:rPr>
        <w:t xml:space="preserve">         Pelo exposto, esta Procuradoria opina pela regularidade jurídica da contratação direta pretendida, por {modalidadeCurta} de licitação, com fundamento no {baseLegal}, ressalvado o juízo de conveniência e oportunidade da autoridade competente, bem como a exatidão dos elementos técnicos e do valor estimado, cuja apuração refoge à análise jurídica.</w:t>
      </w:r>
      <w:r>
        <w:rPr>
          <w:rFonts w:cs="Calibri-Bold;Calibri" w:ascii="Book Antiqua" w:hAnsi="Book Antiqua"/>
          <w:bCs/>
        </w:rPr>
        <w:t xml:space="preserve"/>
      </w:r>
      <w:r>
        <w:rPr>
          <w:rFonts w:cs="Book Antiqua" w:ascii="Book Antiqua" w:hAnsi="Book Antiqua"/>
        </w:rPr>
        <w:t xml:space="preserve"/>
      </w:r>
      <w:r>
        <w:rPr>
          <w:rFonts w:cs="Arial" w:ascii="Book Antiqua" w:hAnsi="Book Antiqua"/>
        </w:rPr>
        <w:t/>
      </w:r>
      <w:r>
        <w:rPr>
          <w:rFonts w:cs="Book Antiqua" w:ascii="Book Antiqua" w:hAnsi="Book Antiqua"/>
        </w:rPr>
        <w:t/>
      </w:r>
    </w:p>
    <w:p>
      <w:pPr>
        <w:pStyle w:val="Normal"/>
        <w:tabs>
          <w:tab w:val="clear" w:pos="708"/>
          <w:tab w:val="left" w:pos="360" w:leader="none"/>
        </w:tabs>
        <w:ind w:start="-360" w:end="0"/>
        <w:jc w:val="both"/>
        <w:rPr>
          <w:rFonts w:ascii="Book Antiqua" w:hAnsi="Book Antiqua" w:cs="Book Antiqua"/>
        </w:rPr>
      </w:pPr>
      <w:r>
        <w:rPr>
          <w:rFonts w:cs="Book Antiqua" w:ascii="Book Antiqua" w:hAnsi="Book Antiqua"/>
        </w:rPr>
      </w:r>
    </w:p>
    <w:p>
      <w:pPr>
        <w:pStyle w:val="Normal"/>
        <w:tabs>
          <w:tab w:val="clear" w:pos="708"/>
          <w:tab w:val="left" w:pos="360" w:leader="none"/>
        </w:tabs>
        <w:ind w:start="-360" w:end="0"/>
        <w:jc w:val="both"/>
        <w:rPr>
          <w:rFonts w:ascii="Book Antiqua" w:hAnsi="Book Antiqua" w:cs="Book Antiqua"/>
        </w:rPr>
      </w:pPr>
      <w:r>
        <w:rPr>
          <w:rFonts w:cs="Book Antiqua" w:ascii="Book Antiqua" w:hAnsi="Book Antiqua"/>
        </w:rPr>
        <w:t xml:space="preserve">         </w:t>
      </w:r>
    </w:p>
    <w:p>
      <w:pPr>
        <w:pStyle w:val="Normal"/>
        <w:jc w:val="both"/>
        <w:rPr/>
      </w:pPr>
      <w:r>
        <w:rPr>
          <w:rStyle w:val="bzpyqfadein"/>
          <w:rFonts w:cs="Arial" w:ascii="Book Antiqua" w:hAnsi="Book Antiqua"/>
        </w:rPr>
        <w:t>{municipioNome} – {municipioUF}, {dataDocumento}.</w:t>
      </w:r>
      <w:r>
        <w:rPr>
          <w:rFonts w:cs="Arial" w:ascii="Book Antiqua" w:hAnsi="Book Antiqua"/>
          <w:color w:val="000000"/>
        </w:rPr>
      </w:r>
      <w:r>
        <w:rPr>
          <w:rFonts w:cs="Arial" w:ascii="Book Antiqua" w:hAnsi="Book Antiqua"/>
          <w:color w:val="000000"/>
          <w:highlight w:val="yellow"/>
        </w:rPr>
      </w:r>
      <w:r>
        <w:rPr>
          <w:rFonts w:cs="Arial" w:ascii="Book Antiqua" w:hAnsi="Book Antiqua"/>
          <w:color w:val="000000"/>
        </w:rPr>
      </w:r>
      <w:r>
        <w:rPr>
          <w:rFonts w:cs="Book Antiqua" w:ascii="Book Antiqua" w:hAnsi="Book Antiqua"/>
        </w:rPr>
      </w:r>
    </w:p>
    <w:p>
      <w:pPr>
        <w:pStyle w:val="Normal"/>
        <w:jc w:val="both"/>
        <w:rPr>
          <w:rFonts w:ascii="Book Antiqua" w:hAnsi="Book Antiqua" w:cs="Book Antiqua"/>
        </w:rPr>
      </w:pPr>
      <w:r>
        <w:rPr>
          <w:rFonts w:cs="Book Antiqua" w:ascii="Book Antiqua" w:hAnsi="Book Antiqua"/>
        </w:rPr>
      </w:r>
    </w:p>
    <w:p>
      <w:pPr>
        <w:pStyle w:val="Normal"/>
        <w:jc w:val="center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jc w:val="center"/>
      </w:pPr>
      <w:r>
        <w:rPr>
          <w:rFonts w:cs="Arial" w:ascii="Book Antiqua" w:hAnsi="Book Antiqua"/>
          <w:highlight w:val="yellow"/>
        </w:rPr>
        <w:t xml:space="preserve">_______________________________</w:t>
      </w:r>
    </w:p>
    <w:p>
      <w:pPr>
        <w:jc w:val="center"/>
      </w:pPr>
      <w:r>
        <w:rPr>
          <w:rFonts w:cs="Arial" w:ascii="Book Antiqua" w:hAnsi="Book Antiqua"/>
          <w:highlight w:val="yellow"/>
          <w:b/>
        </w:rPr>
        <w:t>{assessorJuridicoNome}</w:t>
        <w:br/>
        <w:t>Assessor Jurídico</w:t>
        <w:br/>
        <w:t>{assessorJuridicoOAB}</w:t>
      </w:r>
    </w:p>
    <w:p>
      <w:pPr>
        <w:jc w:val="center"/>
      </w:pPr>
      <w:r>
        <w:rPr>
          <w:rFonts w:cs="Arial" w:ascii="Book Antiqua" w:hAnsi="Book Antiqua"/>
          <w:highlight w:val="yellow"/>
        </w:rPr>
        <w:t xml:space="preserve">Assessor Jurídico</w:t>
      </w:r>
    </w:p>
    <w:p>
      <w:pPr>
        <w:pStyle w:val="Normal"/>
        <w:jc w:val="center"/>
        <w:rPr>
          <w:rFonts w:ascii="Book Antiqua" w:hAnsi="Book Antiqua" w:cs="Arial"/>
          <w:b/>
          <w:highlight w:val="yellow"/>
        </w:rPr>
      </w:pPr>
      <w:r>
        <w:rPr>
          <w:rFonts w:cs="Arial" w:ascii="Book Antiqua" w:hAnsi="Book Antiqua"/>
          <w:b/>
          <w:highlight w:val="yellow"/>
        </w:rPr>
        <w:t/>
      </w:r>
    </w:p>
    <w:p>
      <w:pPr>
        <w:pStyle w:val="Normal"/>
        <w:jc w:val="center"/>
        <w:rPr>
          <w:rFonts w:ascii="Book Antiqua" w:hAnsi="Book Antiqua" w:cs="Arial"/>
          <w:highlight w:val="yellow"/>
        </w:rPr>
      </w:pPr>
      <w:r>
        <w:rPr>
          <w:rFonts w:cs="Arial" w:ascii="Book Antiqua" w:hAnsi="Book Antiqua"/>
          <w:highlight w:val="yellow"/>
        </w:rPr>
        <w:t/>
      </w:r>
    </w:p>
    <w:p>
      <w:pPr>
        <w:pStyle w:val="Normal"/>
        <w:jc w:val="center"/>
        <w:rPr>
          <w:rFonts w:ascii="Book Antiqua" w:hAnsi="Book Antiqua" w:cs="Book Antiqua"/>
        </w:rPr>
      </w:pPr>
      <w:r>
        <w:rPr>
          <w:rFonts w:cs="Arial" w:ascii="Book Antiqua" w:hAnsi="Book Antiqua"/>
          <w:highlight w:val="yellow"/>
        </w:rPr>
        <w:t>{assessorJuridicoOAB}</w:t>
      </w:r>
      <w:r>
        <w:rPr>
          <w:rFonts w:cs="Arial" w:ascii="Book Antiqua" w:hAnsi="Book Antiqua"/>
        </w:rPr>
        <w:t xml:space="preserve"> </w:t>
      </w:r>
    </w:p>
    <w:p>
      <w:pPr>
        <w:pStyle w:val="Normal"/>
        <w:jc w:val="both"/>
        <w:rPr>
          <w:rFonts w:ascii="Book Antiqua" w:hAnsi="Book Antiqua" w:cs="Book Antiqua"/>
        </w:rPr>
      </w:pPr>
      <w:r>
        <w:rPr>
          <w:rFonts w:cs="Book Antiqua" w:ascii="Book Antiqua" w:hAnsi="Book Antiqua"/>
        </w:rPr>
      </w:r>
    </w:p>
    <w:sectPr>
      <w:headerReference w:type="default" r:id="rId2"/>
      <w:headerReference w:type="first" r:id="rId7"/>
      <w:footerReference w:type="default" r:id="rId8"/>
      <w:footerReference w:type="first" r:id="rId9"/>
      <w:type w:val="nextPage"/>
      <w:pgSz w:w="11906" w:h="16838"/>
      <w:pgMar w:left="1701" w:right="1274" w:gutter="0" w:header="708" w:top="899" w:footer="0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Book Antiqua">
    <w:charset w:val="00" w:characterSet="windows-1252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eastAsia="Times New Roman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autoSpaceDE w:val="false"/>
      <w:jc w:val="both"/>
      <w:outlineLvl w:val="1"/>
    </w:pPr>
    <w:rPr>
      <w:rFonts w:ascii="Arial" w:hAnsi="Arial" w:cs="Arial"/>
      <w:b/>
      <w:bCs/>
      <w:color w:val="000000"/>
      <w:lang w:val="pt-BR"/>
    </w:rPr>
  </w:style>
  <w:style w:type="character" w:styleId="Fontepargpadro">
    <w:name w:val="Fonte parág. padrão"/>
    <w:qFormat/>
    <w:rPr/>
  </w:style>
  <w:style w:type="character" w:styleId="CabealhoChar">
    <w:name w:val="Cabeçalho Char"/>
    <w:qFormat/>
    <w:rPr>
      <w:sz w:val="24"/>
      <w:szCs w:val="24"/>
    </w:rPr>
  </w:style>
  <w:style w:type="character" w:styleId="Ttulo2Char">
    <w:name w:val="Título 2 Char"/>
    <w:qFormat/>
    <w:rPr>
      <w:rFonts w:ascii="Arial" w:hAnsi="Arial" w:cs="Arial"/>
      <w:b/>
      <w:bCs/>
      <w:color w:val="000000"/>
      <w:sz w:val="24"/>
      <w:szCs w:val="24"/>
    </w:rPr>
  </w:style>
  <w:style w:type="character" w:styleId="Ttulo1Char">
    <w:name w:val="Título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orpodetextoChar">
    <w:name w:val="Corpo de texto Char"/>
    <w:basedOn w:val="Fontepargpadro"/>
    <w:qFormat/>
    <w:rPr/>
  </w:style>
  <w:style w:type="character" w:styleId="SubttuloChar">
    <w:name w:val="Subtítulo Char"/>
    <w:qFormat/>
    <w:rPr>
      <w:rFonts w:ascii="Cambria" w:hAnsi="Cambria" w:cs="Cambria"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Recuodecorpodetexto3Char">
    <w:name w:val="Recuo de corpo de texto 3 Char"/>
    <w:qFormat/>
    <w:rPr>
      <w:sz w:val="16"/>
      <w:szCs w:val="16"/>
    </w:rPr>
  </w:style>
  <w:style w:type="character" w:styleId="bzpyqfadein">
    <w:name w:val="bz_pyq_fadein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>
      <w:lang w:val="pt-BR"/>
    </w:rPr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mbria" w:hAnsi="Cambria" w:cs="Cambria"/>
    </w:rPr>
  </w:style>
  <w:style w:type="paragraph" w:styleId="Recuodecorpodetexto3">
    <w:name w:val="Recuo de corpo de texto 3"/>
    <w:basedOn w:val="Normal"/>
    <w:qFormat/>
    <w:pPr>
      <w:spacing w:before="0" w:after="120"/>
      <w:ind w:hanging="0" w:start="283" w:end="0"/>
    </w:pPr>
    <w:rPr>
      <w:sz w:val="16"/>
      <w:szCs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_rels/header2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LibreOffice/25.8.7.2$Linux_X86_64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2014-01-07T10:35:00Z</dcterms:created>
  <dc:creator>Uso Part</dc:creator>
  <dc:description/>
  <cp:keywords/>
  <dc:language>pt-BR</dc:language>
  <cp:lastModifiedBy>User</cp:lastModifiedBy>
  <cp:lastPrinted>2024-03-26T11:29:00Z</cp:lastPrinted>
  <dcterms:modified xsi:type="dcterms:W3CDTF">2026-03-31T21:50:00Z</dcterms:modified>
  <cp:revision>25</cp:revision>
  <dc:subject/>
  <dc:title>PREFEITURA MUNICIPAL DE BOM JESUS DA LAPA</dc:title>
</cp:coreProperties>
</file>