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Book Antiqua" w:hAnsi="Book Antiqua" w:eastAsia="Batang;바탕" w:cs="Book Antiqua"/>
          <w:b/>
          <w:i/>
          <w:u w:val="single"/>
        </w:rPr>
      </w:pPr>
      <w:r>
        <w:rPr>
          <w:rFonts w:eastAsia="Batang;바탕" w:cs="Book Antiqua" w:ascii="Book Antiqua" w:hAnsi="Book Antiqua"/>
          <w:b/>
          <w:i/>
          <w:u w:val="single"/>
        </w:rPr>
      </w:r>
    </w:p>
    <w:p>
      <w:pPr>
        <w:pStyle w:val="Normal"/>
        <w:jc w:val="center"/>
        <w:rPr/>
      </w:pPr>
      <w:r>
        <w:rPr>
          <w:rFonts w:eastAsia="Batang;바탕" w:cs="Book Antiqua" w:ascii="Book Antiqua" w:hAnsi="Book Antiqua"/>
          <w:b/>
          <w:i/>
          <w:u w:val="single"/>
        </w:rPr>
        <w:t>PROCURADORIA JURÍDICA</w:t>
      </w:r>
    </w:p>
    <w:p>
      <w:pPr>
        <w:pStyle w:val="Normal"/>
        <w:spacing w:lineRule="auto" w:line="360"/>
        <w:ind w:start="3960" w:end="0"/>
        <w:jc w:val="both"/>
        <w:rPr>
          <w:rFonts w:ascii="Book Antiqua" w:hAnsi="Book Antiqua" w:eastAsia="Batang;바탕" w:cs="Book Antiqua"/>
          <w:b/>
          <w:i/>
          <w:u w:val="single"/>
        </w:rPr>
      </w:pPr>
      <w:r>
        <w:rPr>
          <w:rFonts w:eastAsia="Batang;바탕" w:cs="Book Antiqua" w:ascii="Book Antiqua" w:hAnsi="Book Antiqua"/>
          <w:b/>
          <w:i/>
          <w:u w:val="single"/>
        </w:rPr>
      </w:r>
    </w:p>
    <w:p>
      <w:pPr>
        <w:pStyle w:val="Normal"/>
        <w:spacing w:lineRule="auto" w:line="360"/>
        <w:ind w:start="3540" w:end="0"/>
        <w:rPr>
          <w:rFonts w:ascii="Book Antiqua" w:hAnsi="Book Antiqua" w:cs="Book Antiqua"/>
          <w:b/>
          <w:u w:val="single"/>
        </w:rPr>
      </w:pPr>
      <w:r>
        <w:rPr>
          <w:rFonts w:cs="Book Antiqua" w:ascii="Book Antiqua" w:hAnsi="Book Antiqua"/>
          <w:b/>
          <w:u w:val="single"/>
        </w:rPr>
        <w:t>{modalidadeNome} nº {inexigibilidadeNumero}/{exercicio}</w:t>
      </w:r>
    </w:p>
    <w:p>
      <w:pPr>
        <w:pStyle w:val="Normal"/>
        <w:spacing w:lineRule="auto" w:line="360"/>
        <w:ind w:start="4248" w:end="0"/>
        <w:jc w:val="both"/>
        <w:rPr>
          <w:rFonts w:ascii="Book Antiqua" w:hAnsi="Book Antiqua" w:cs="Book Antiqua"/>
          <w:b/>
          <w:u w:val="single"/>
        </w:rPr>
      </w:pPr>
      <w:r>
        <w:rPr>
          <w:rFonts w:cs="Book Antiqua" w:ascii="Book Antiqua" w:hAnsi="Book Antiqua"/>
          <w:b/>
          <w:u w:val="single"/>
        </w:rPr>
      </w:r>
    </w:p>
    <w:p>
      <w:pPr>
        <w:pStyle w:val="Normal"/>
        <w:spacing w:lineRule="auto" w:line="360"/>
        <w:ind w:start="3540" w:end="0"/>
        <w:jc w:val="both"/>
        <w:rPr>
          <w:rFonts w:ascii="Book Antiqua" w:hAnsi="Book Antiqua" w:cs="Book Antiqua"/>
          <w:b/>
        </w:rPr>
      </w:pPr>
      <w:r>
        <w:rPr>
          <w:rFonts w:cs="Book Antiqua" w:ascii="Book Antiqua" w:hAnsi="Book Antiqua"/>
          <w:b/>
          <w:u w:val="single"/>
        </w:rPr>
        <w:t>Parecer</w:t>
      </w:r>
    </w:p>
    <w:p>
      <w:pPr>
        <w:pStyle w:val="Normal"/>
        <w:tabs>
          <w:tab w:val="clear" w:pos="708"/>
          <w:tab w:val="left" w:pos="8280" w:leader="none"/>
        </w:tabs>
        <w:spacing w:lineRule="auto" w:line="360"/>
        <w:ind w:start="3540" w:end="0"/>
        <w:jc w:val="both"/>
        <w:rPr/>
      </w:pPr>
      <w:r>
        <w:rPr>
          <w:rFonts w:cs="Book Antiqua" w:ascii="Book Antiqua" w:hAnsi="Book Antiqua"/>
          <w:b/>
        </w:rPr>
        <w:t xml:space="preserve">Ementa: </w:t>
      </w:r>
      <w:r>
        <w:rPr>
          <w:rFonts w:cs="Book Antiqua" w:ascii="Book Antiqua" w:hAnsi="Book Antiqua"/>
        </w:rPr>
        <w:t xml:space="preserve">Contratação de serviços técnicos especializados. {modalidadeNome}. </w:t>
      </w:r>
    </w:p>
    <w:p>
      <w:pPr>
        <w:pStyle w:val="Normal"/>
        <w:jc w:val="both"/>
        <w:rPr>
          <w:rFonts w:ascii="Book Antiqua" w:hAnsi="Book Antiqua" w:cs="Book Antiqua"/>
          <w:b/>
          <w:u w:val="single"/>
        </w:rPr>
      </w:pPr>
      <w:r>
        <w:rPr>
          <w:rFonts w:cs="Book Antiqua" w:ascii="Book Antiqua" w:hAnsi="Book Antiqua"/>
          <w:b/>
          <w:u w:val="single"/>
        </w:rPr>
      </w:r>
    </w:p>
    <w:p>
      <w:pPr>
        <w:pStyle w:val="Normal"/>
        <w:jc w:val="both"/>
        <w:rPr>
          <w:rFonts w:ascii="Book Antiqua" w:hAnsi="Book Antiqua" w:cs="Book Antiqua"/>
          <w:b/>
          <w:u w:val="single"/>
        </w:rPr>
      </w:pPr>
      <w:r>
        <w:rPr>
          <w:rFonts w:cs="Book Antiqua" w:ascii="Book Antiqua" w:hAnsi="Book Antiqua"/>
          <w:b/>
          <w:u w:val="single"/>
        </w:rPr>
      </w:r>
    </w:p>
    <w:p>
      <w:pPr>
        <w:pStyle w:val="Normal"/>
        <w:tabs>
          <w:tab w:val="clear" w:pos="708"/>
          <w:tab w:val="left" w:pos="180" w:leader="none"/>
          <w:tab w:val="left" w:pos="360" w:leader="none"/>
        </w:tabs>
        <w:spacing w:lineRule="auto" w:line="360"/>
        <w:ind w:end="-81"/>
        <w:jc w:val="both"/>
        <w:rPr/>
      </w:pPr>
      <w:r>
        <w:rPr>
          <w:rFonts w:cs="Book Antiqua" w:ascii="Book Antiqua" w:hAnsi="Book Antiqua"/>
        </w:rPr>
        <w:t xml:space="preserve">          Vem à nossa apreciação o Processo Administrativo nº {processoNumero}/{exercicio}, que tem como escopo a Contratação de empresa especializada para prestação de serviços técnicos de consultoria estratégica em gestão educacional, visando à realização de diagnóstico, análise de conformidade e regularização de informações e sistemas educacionais vinculados ao MEC, FNDE e FUNDEB, no âmbito da Secretaria Municipal de Educação de {municipioNome} – {municipioUF}, através de {modalidadeCurta}. </w:t>
      </w:r>
      <w:r>
        <w:rPr>
          <w:rFonts w:cs="Arial" w:ascii="Book Antiqua" w:hAnsi="Book Antiqua"/>
        </w:rPr>
      </w:r>
      <w:r>
        <w:rPr>
          <w:rStyle w:val="bzpyqfadein"/>
          <w:rFonts w:cs="Arial" w:ascii="Book Antiqua" w:hAnsi="Book Antiqua"/>
        </w:rPr>
      </w:r>
      <w:r>
        <w:rPr>
          <w:rFonts w:cs="Book Antiqua" w:ascii="Book Antiqua" w:hAnsi="Book Antiqua"/>
        </w:rPr>
      </w:r>
    </w:p>
    <w:p>
      <w:pPr>
        <w:pStyle w:val="Normal"/>
        <w:tabs>
          <w:tab w:val="clear" w:pos="708"/>
          <w:tab w:val="left" w:pos="180" w:leader="none"/>
          <w:tab w:val="left" w:pos="360" w:leader="none"/>
        </w:tabs>
        <w:spacing w:lineRule="auto" w:line="360"/>
        <w:ind w:end="-81"/>
        <w:jc w:val="both"/>
        <w:rPr>
          <w:rFonts w:ascii="Book Antiqua" w:hAnsi="Book Antiqua" w:cs="Book Antiqua"/>
        </w:rPr>
      </w:pPr>
      <w:r>
        <w:rPr>
          <w:rFonts w:cs="Book Antiqua" w:ascii="Book Antiqua" w:hAnsi="Book Antiqua"/>
        </w:rPr>
      </w:r>
    </w:p>
    <w:p>
      <w:pPr>
        <w:pStyle w:val="Normal"/>
        <w:tabs>
          <w:tab w:val="clear" w:pos="708"/>
          <w:tab w:val="left" w:pos="360" w:leader="none"/>
        </w:tabs>
        <w:spacing w:lineRule="auto" w:line="360"/>
        <w:jc w:val="both"/>
        <w:rPr/>
      </w:pPr>
      <w:r>
        <w:rPr>
          <w:rFonts w:cs="Book Antiqua" w:ascii="Book Antiqua" w:hAnsi="Book Antiqua"/>
        </w:rPr>
        <w:t xml:space="preserve">          O art. 74, caput da Lei nº </w:t>
      </w:r>
      <w:r>
        <w:rPr>
          <w:rFonts w:cs="Arial" w:ascii="Book Antiqua" w:hAnsi="Book Antiqua"/>
        </w:rPr>
        <w:t>14.133/21</w:t>
      </w:r>
      <w:r>
        <w:rPr>
          <w:rFonts w:cs="Book Antiqua" w:ascii="Book Antiqua" w:hAnsi="Book Antiqua"/>
        </w:rPr>
        <w:t xml:space="preserve">, aduz que será </w:t>
      </w:r>
      <w:r>
        <w:rPr>
          <w:rFonts w:cs="Book Antiqua" w:ascii="Book Antiqua" w:hAnsi="Book Antiqua"/>
          <w:b/>
        </w:rPr>
        <w:t>inexigível a licitação quando houver inviabilidade de competição</w:t>
      </w:r>
      <w:r>
        <w:rPr>
          <w:rFonts w:cs="Book Antiqua" w:ascii="Book Antiqua" w:hAnsi="Book Antiqua"/>
          <w:i/>
        </w:rPr>
        <w:t xml:space="preserve">, </w:t>
      </w:r>
      <w:r>
        <w:rPr>
          <w:rFonts w:cs="Book Antiqua" w:ascii="Book Antiqua" w:hAnsi="Book Antiqua"/>
        </w:rPr>
        <w:t>sendo insofismável, portanto, que este dispositivo legal se aplica à espécie haja vista ser inviável uma competição entre diversas empresas para aferição objetiva daquela que melhor promoverá os serviços técnicos especializados objeto desta contratação, considerando-se ainda o preço pelos serviços.</w:t>
      </w:r>
    </w:p>
    <w:p>
      <w:pPr>
        <w:pStyle w:val="Normal"/>
        <w:tabs>
          <w:tab w:val="clear" w:pos="708"/>
          <w:tab w:val="left" w:pos="360" w:leader="none"/>
        </w:tabs>
        <w:spacing w:lineRule="auto" w:line="360"/>
        <w:jc w:val="both"/>
        <w:rPr>
          <w:rFonts w:ascii="Book Antiqua" w:hAnsi="Book Antiqua" w:cs="Book Antiqua"/>
        </w:rPr>
      </w:pPr>
      <w:r>
        <w:rPr>
          <w:rFonts w:cs="Book Antiqua" w:ascii="Book Antiqua" w:hAnsi="Book Antiqua"/>
        </w:rPr>
        <w:tab/>
      </w:r>
    </w:p>
    <w:p>
      <w:pPr>
        <w:pStyle w:val="Normal"/>
        <w:tabs>
          <w:tab w:val="clear" w:pos="708"/>
          <w:tab w:val="left" w:pos="360" w:leader="none"/>
        </w:tabs>
        <w:spacing w:lineRule="auto" w:line="360"/>
        <w:jc w:val="both"/>
        <w:rPr/>
      </w:pPr>
      <w:r>
        <w:rPr>
          <w:rFonts w:cs="Book Antiqua" w:ascii="Book Antiqua" w:hAnsi="Book Antiqua"/>
        </w:rPr>
        <w:t xml:space="preserve">          O mesmo artigo, em seu inciso III, discrimina os serviços passíveis de {modalidadeCurta} de processo licitatório, senão vejamos:</w:t>
      </w:r>
    </w:p>
    <w:p>
      <w:pPr>
        <w:pStyle w:val="Normal"/>
        <w:tabs>
          <w:tab w:val="clear" w:pos="708"/>
          <w:tab w:val="left" w:pos="360" w:leader="none"/>
        </w:tabs>
        <w:spacing w:lineRule="auto" w:line="360"/>
        <w:jc w:val="both"/>
        <w:rPr>
          <w:rFonts w:ascii="Book Antiqua" w:hAnsi="Book Antiqua" w:cs="Book Antiqua"/>
        </w:rPr>
      </w:pPr>
      <w:r>
        <w:rPr>
          <w:rFonts w:cs="Book Antiqua" w:ascii="Book Antiqua" w:hAnsi="Book Antiqua"/>
        </w:rPr>
      </w:r>
    </w:p>
    <w:p>
      <w:pPr>
        <w:pStyle w:val="Normal"/>
        <w:tabs>
          <w:tab w:val="clear" w:pos="708"/>
          <w:tab w:val="left" w:pos="360" w:leader="none"/>
        </w:tabs>
        <w:spacing w:lineRule="auto" w:line="360"/>
        <w:ind w:start="2124" w:end="0"/>
        <w:jc w:val="both"/>
        <w:rPr>
          <w:rFonts w:ascii="Book Antiqua" w:hAnsi="Book Antiqua" w:cs="Book Antiqua"/>
          <w:b/>
        </w:rPr>
      </w:pPr>
      <w:r>
        <w:rPr>
          <w:rFonts w:cs="Book Antiqua" w:ascii="Book Antiqua" w:hAnsi="Book Antiqua"/>
          <w:b/>
        </w:rPr>
        <w:t>Art. 74 – É inexigível a licitação quando houver inviabilidade de competição, em especial:</w:t>
      </w:r>
    </w:p>
    <w:p>
      <w:pPr>
        <w:pStyle w:val="Normal"/>
        <w:tabs>
          <w:tab w:val="clear" w:pos="708"/>
          <w:tab w:val="left" w:pos="360" w:leader="none"/>
        </w:tabs>
        <w:spacing w:lineRule="auto" w:line="360"/>
        <w:ind w:start="2124" w:end="0"/>
        <w:jc w:val="both"/>
        <w:rPr>
          <w:rFonts w:ascii="Book Antiqua" w:hAnsi="Book Antiqua" w:cs="Book Antiqua"/>
          <w:b/>
        </w:rPr>
      </w:pPr>
      <w:r>
        <w:rPr>
          <w:rFonts w:cs="Book Antiqua" w:ascii="Book Antiqua" w:hAnsi="Book Antiqua"/>
          <w:b/>
        </w:rPr>
        <w:t>I – (...)</w:t>
      </w:r>
    </w:p>
    <w:p>
      <w:pPr>
        <w:pStyle w:val="Normal"/>
        <w:tabs>
          <w:tab w:val="clear" w:pos="708"/>
          <w:tab w:val="left" w:pos="360" w:leader="none"/>
        </w:tabs>
        <w:spacing w:lineRule="auto" w:line="360"/>
        <w:ind w:start="2124" w:end="0"/>
        <w:jc w:val="both"/>
        <w:rPr>
          <w:rFonts w:ascii="Book Antiqua" w:hAnsi="Book Antiqua" w:cs="Book Antiqua"/>
          <w:b/>
          <w:u w:val="single"/>
        </w:rPr>
      </w:pPr>
      <w:r>
        <w:rPr>
          <w:rFonts w:cs="Book Antiqua" w:ascii="Book Antiqua" w:hAnsi="Book Antiqua"/>
          <w:b/>
        </w:rPr>
        <w:t>II – (...)</w:t>
      </w:r>
    </w:p>
    <w:p>
      <w:pPr>
        <w:pStyle w:val="Normal"/>
        <w:tabs>
          <w:tab w:val="clear" w:pos="708"/>
          <w:tab w:val="left" w:pos="360" w:leader="none"/>
        </w:tabs>
        <w:spacing w:lineRule="auto" w:line="360"/>
        <w:ind w:start="2124" w:end="0"/>
        <w:jc w:val="both"/>
        <w:rPr>
          <w:rFonts w:ascii="Book Antiqua" w:hAnsi="Book Antiqua" w:cs="Segoe UI"/>
          <w:b/>
          <w:shd w:fill="FFFFFF" w:val="clear"/>
        </w:rPr>
      </w:pPr>
      <w:r>
        <w:rPr>
          <w:rFonts w:cs="Book Antiqua" w:ascii="Book Antiqua" w:hAnsi="Book Antiqua"/>
          <w:b/>
        </w:rPr>
        <w:t xml:space="preserve">III - </w:t>
      </w:r>
      <w:r>
        <w:rPr>
          <w:rFonts w:cs="Segoe UI" w:ascii="Book Antiqua" w:hAnsi="Book Antiqua"/>
          <w:b/>
          <w:shd w:fill="FFFFFF" w:val="clear"/>
        </w:rPr>
        <w:t>Contratação dos seguintes serviços técnicos especializados de natureza predominantemente intelectual com profissionais ou empresas de notória especialização, vedada a inexigibilidade para serviços de publicidade e divulgação:</w:t>
      </w:r>
    </w:p>
    <w:p>
      <w:pPr>
        <w:pStyle w:val="Normal"/>
        <w:tabs>
          <w:tab w:val="clear" w:pos="708"/>
          <w:tab w:val="left" w:pos="360" w:leader="none"/>
        </w:tabs>
        <w:spacing w:lineRule="auto" w:line="360"/>
        <w:ind w:start="2124" w:end="0"/>
        <w:jc w:val="both"/>
        <w:rPr>
          <w:rFonts w:ascii="Book Antiqua" w:hAnsi="Book Antiqua" w:cs="Segoe UI"/>
          <w:b/>
          <w:bCs/>
          <w:shd w:fill="FFFFFF" w:val="clear"/>
        </w:rPr>
      </w:pPr>
      <w:r>
        <w:rPr>
          <w:rFonts w:cs="Calibri-Bold;Calibri" w:ascii="Book Antiqua" w:hAnsi="Book Antiqua"/>
          <w:b/>
          <w:bCs/>
        </w:rPr>
        <w:t xml:space="preserve">f) </w:t>
      </w:r>
      <w:r>
        <w:rPr>
          <w:rFonts w:cs="Calibri" w:ascii="Book Antiqua" w:hAnsi="Book Antiqua"/>
          <w:b/>
          <w:bCs/>
        </w:rPr>
        <w:t>treinamento e aperfeiçoamento de pessoal;</w:t>
      </w:r>
    </w:p>
    <w:p>
      <w:pPr>
        <w:pStyle w:val="Normal"/>
        <w:tabs>
          <w:tab w:val="clear" w:pos="708"/>
          <w:tab w:val="left" w:pos="360" w:leader="none"/>
        </w:tabs>
        <w:spacing w:lineRule="auto" w:line="360"/>
        <w:ind w:start="2124" w:end="0"/>
        <w:jc w:val="both"/>
        <w:rPr>
          <w:rFonts w:ascii="Book Antiqua" w:hAnsi="Book Antiqua" w:cs="Segoe UI"/>
          <w:b/>
          <w:bCs/>
          <w:shd w:fill="FFFFFF" w:val="clear"/>
        </w:rPr>
      </w:pPr>
      <w:r>
        <w:rPr>
          <w:rFonts w:cs="Segoe UI" w:ascii="Book Antiqua" w:hAnsi="Book Antiqua"/>
          <w:b/>
          <w:bCs/>
          <w:shd w:fill="FFFFFF" w:val="clear"/>
        </w:rPr>
      </w:r>
    </w:p>
    <w:p>
      <w:pPr>
        <w:pStyle w:val="Normal"/>
        <w:tabs>
          <w:tab w:val="clear" w:pos="708"/>
          <w:tab w:val="left" w:pos="360" w:leader="none"/>
        </w:tabs>
        <w:spacing w:lineRule="auto" w:line="360"/>
        <w:jc w:val="both"/>
        <w:rPr/>
      </w:pPr>
      <w:r>
        <w:rPr>
          <w:rFonts w:cs="Book Antiqua" w:ascii="Book Antiqua" w:hAnsi="Book Antiqua"/>
        </w:rPr>
        <w:t xml:space="preserve">          O inciso III do artigo retromencionado recepciona os serviços técnicos enumerados no art. 74 do mesmo diploma legal, que no inciso III, alínea f, relaciona os serviços de treinamento e aperfeiçoamento de pessoal, os mesmos oferecidos pela empresa com a qual se quer contratar, a empresa {empresaRazaoSocial} - CNPJ nº. {empresaCNPJ}, cuja idoneidade é confirmada pelos atestados de capacidade técnica, que compõem o seu quadro, o que atende as necessidades do Município.</w:t>
      </w:r>
      <w:r>
        <w:rPr>
          <w:rFonts w:cs="Arial" w:ascii="Book Antiqua" w:hAnsi="Book Antiqua"/>
          <w:b/>
          <w:color w:val="202124"/>
          <w:shd w:fill="FFFFFF" w:val="clear"/>
        </w:rPr>
      </w:r>
      <w:r>
        <w:rPr>
          <w:rFonts w:cs="Arial" w:ascii="Book Antiqua" w:hAnsi="Book Antiqua"/>
          <w:color w:val="202124"/>
          <w:shd w:fill="FFFFFF" w:val="clear"/>
        </w:rPr>
      </w:r>
      <w:r>
        <w:rPr>
          <w:rStyle w:val="Strong"/>
          <w:rFonts w:cs="Segoe UI" w:ascii="Book Antiqua" w:hAnsi="Book Antiqua"/>
          <w:shd w:fill="FFFFFF" w:val="clear"/>
        </w:rPr>
      </w:r>
      <w:r>
        <w:rPr>
          <w:rFonts w:cs="Book Antiqua" w:ascii="Book Antiqua" w:hAnsi="Book Antiqua"/>
        </w:rPr>
      </w:r>
      <w:r>
        <w:rPr>
          <w:rFonts w:cs="Calibri" w:ascii="Book Antiqua" w:hAnsi="Book Antiqua"/>
        </w:rPr>
      </w:r>
      <w:r>
        <w:rPr>
          <w:rFonts w:cs="Book Antiqua" w:ascii="Book Antiqua" w:hAnsi="Book Antiqua"/>
        </w:rPr>
      </w:r>
      <w:r>
        <w:rPr>
          <w:rFonts w:cs="Arial" w:ascii="Book Antiqua" w:hAnsi="Book Antiqua"/>
          <w:b/>
          <w:bCs/>
        </w:rPr>
      </w:r>
      <w:r>
        <w:rPr>
          <w:rFonts w:cs="Arial" w:ascii="Book Antiqua" w:hAnsi="Book Antiqua"/>
          <w:b/>
          <w:iCs/>
        </w:rPr>
      </w:r>
      <w:r>
        <w:rPr>
          <w:rFonts w:cs="Arial" w:ascii="Book Antiqua" w:hAnsi="Book Antiqua"/>
          <w:iCs/>
        </w:rPr>
      </w:r>
      <w:r>
        <w:rPr>
          <w:rFonts w:cs="Arial" w:ascii="Book Antiqua" w:hAnsi="Book Antiqua"/>
          <w:bCs/>
        </w:rPr>
      </w:r>
      <w:r>
        <w:rPr>
          <w:rFonts w:cs="Book Antiqua" w:ascii="Book Antiqua" w:hAnsi="Book Antiqua"/>
          <w:b/>
          <w:iCs/>
        </w:rPr>
      </w:r>
      <w:r>
        <w:rPr>
          <w:rFonts w:cs="Book Antiqua" w:ascii="Book Antiqua" w:hAnsi="Book Antiqua"/>
        </w:rPr>
      </w:r>
      <w:r>
        <w:rPr>
          <w:rFonts w:cs="Book Antiqua" w:ascii="Book Antiqua" w:hAnsi="Book Antiqua"/>
          <w:iCs/>
        </w:rPr>
      </w:r>
      <w:r>
        <w:rPr>
          <w:rFonts w:cs="Book Antiqua" w:ascii="Book Antiqua" w:hAnsi="Book Antiqua"/>
        </w:rPr>
      </w:r>
    </w:p>
    <w:p>
      <w:pPr>
        <w:pStyle w:val="Normal"/>
        <w:tabs>
          <w:tab w:val="clear" w:pos="708"/>
          <w:tab w:val="left" w:pos="360" w:leader="none"/>
        </w:tabs>
        <w:spacing w:lineRule="auto" w:line="360"/>
        <w:jc w:val="both"/>
        <w:rPr>
          <w:rFonts w:ascii="Book Antiqua" w:hAnsi="Book Antiqua" w:cs="Book Antiqua"/>
        </w:rPr>
      </w:pPr>
      <w:r>
        <w:rPr>
          <w:rFonts w:cs="Book Antiqua" w:ascii="Book Antiqua" w:hAnsi="Book Antiqua"/>
        </w:rPr>
      </w:r>
    </w:p>
    <w:p>
      <w:pPr>
        <w:pStyle w:val="Normal"/>
        <w:tabs>
          <w:tab w:val="clear" w:pos="708"/>
          <w:tab w:val="left" w:pos="360" w:leader="none"/>
        </w:tabs>
        <w:spacing w:lineRule="auto" w:line="360"/>
        <w:jc w:val="both"/>
        <w:rPr/>
      </w:pPr>
      <w:r>
        <w:rPr>
          <w:rFonts w:cs="Book Antiqua" w:ascii="Book Antiqua" w:hAnsi="Book Antiqua"/>
        </w:rPr>
        <w:t xml:space="preserve">         Para resguardar o interesse público, imprescindível que sejam observados os requisitos enunciados no art. 74, da Lei </w:t>
      </w:r>
      <w:r>
        <w:rPr>
          <w:rFonts w:cs="Arial" w:ascii="Book Antiqua" w:hAnsi="Book Antiqua"/>
        </w:rPr>
        <w:t>14.133/21</w:t>
      </w:r>
      <w:r>
        <w:rPr>
          <w:rFonts w:cs="Book Antiqua" w:ascii="Book Antiqua" w:hAnsi="Book Antiqua"/>
        </w:rPr>
        <w:t>, revestindo-se ainda, o ato, da necessária publicidade.</w:t>
      </w:r>
    </w:p>
    <w:p>
      <w:pPr>
        <w:pStyle w:val="Normal"/>
        <w:tabs>
          <w:tab w:val="clear" w:pos="708"/>
          <w:tab w:val="left" w:pos="360" w:leader="none"/>
        </w:tabs>
        <w:spacing w:lineRule="auto" w:line="360"/>
        <w:jc w:val="both"/>
        <w:rPr>
          <w:rFonts w:ascii="Book Antiqua" w:hAnsi="Book Antiqua" w:cs="Book Antiqua"/>
        </w:rPr>
      </w:pPr>
      <w:r>
        <w:rPr>
          <w:rFonts w:cs="Book Antiqua" w:ascii="Book Antiqua" w:hAnsi="Book Antiqua"/>
        </w:rPr>
      </w:r>
    </w:p>
    <w:p>
      <w:pPr>
        <w:pStyle w:val="Normal"/>
        <w:tabs>
          <w:tab w:val="clear" w:pos="708"/>
          <w:tab w:val="left" w:pos="360" w:leader="none"/>
        </w:tabs>
        <w:spacing w:lineRule="auto" w:line="360"/>
        <w:jc w:val="both"/>
        <w:rPr/>
      </w:pPr>
      <w:r>
        <w:rPr>
          <w:rFonts w:cs="Book Antiqua" w:ascii="Book Antiqua" w:hAnsi="Book Antiqua"/>
        </w:rPr>
        <w:t xml:space="preserve">         Pelo exposto, o {baseLegal}, combinadamente com o art. 6, </w:t>
      </w:r>
      <w:r>
        <w:rPr>
          <w:rFonts w:cs="Calibri-Bold;Calibri" w:ascii="Book Antiqua" w:hAnsi="Book Antiqua"/>
          <w:bCs/>
        </w:rPr>
        <w:t xml:space="preserve">XVIII </w:t>
      </w:r>
      <w:r>
        <w:rPr>
          <w:rFonts w:cs="Book Antiqua" w:ascii="Book Antiqua" w:hAnsi="Book Antiqua"/>
        </w:rPr>
        <w:t xml:space="preserve">da multireferida Lei </w:t>
      </w:r>
      <w:r>
        <w:rPr>
          <w:rFonts w:cs="Arial" w:ascii="Book Antiqua" w:hAnsi="Book Antiqua"/>
        </w:rPr>
        <w:t>14.133/21</w:t>
      </w:r>
      <w:r>
        <w:rPr>
          <w:rFonts w:cs="Book Antiqua" w:ascii="Book Antiqua" w:hAnsi="Book Antiqua"/>
        </w:rPr>
        <w:t>, ampara a contratação pretendida, por {modalidadeCurta} de licitação.</w:t>
      </w:r>
    </w:p>
    <w:p>
      <w:pPr>
        <w:pStyle w:val="Normal"/>
        <w:tabs>
          <w:tab w:val="clear" w:pos="708"/>
          <w:tab w:val="left" w:pos="360" w:leader="none"/>
        </w:tabs>
        <w:ind w:start="-360" w:end="0"/>
        <w:jc w:val="both"/>
        <w:rPr>
          <w:rFonts w:ascii="Book Antiqua" w:hAnsi="Book Antiqua" w:cs="Book Antiqua"/>
        </w:rPr>
      </w:pPr>
      <w:r>
        <w:rPr>
          <w:rFonts w:cs="Book Antiqua" w:ascii="Book Antiqua" w:hAnsi="Book Antiqua"/>
        </w:rPr>
      </w:r>
    </w:p>
    <w:p>
      <w:pPr>
        <w:pStyle w:val="Normal"/>
        <w:tabs>
          <w:tab w:val="clear" w:pos="708"/>
          <w:tab w:val="left" w:pos="360" w:leader="none"/>
        </w:tabs>
        <w:ind w:start="-360" w:end="0"/>
        <w:jc w:val="both"/>
        <w:rPr>
          <w:rFonts w:ascii="Book Antiqua" w:hAnsi="Book Antiqua" w:cs="Book Antiqua"/>
        </w:rPr>
      </w:pPr>
      <w:r>
        <w:rPr>
          <w:rFonts w:cs="Book Antiqua" w:ascii="Book Antiqua" w:hAnsi="Book Antiqua"/>
        </w:rPr>
        <w:t xml:space="preserve">         </w:t>
      </w:r>
    </w:p>
    <w:p>
      <w:pPr>
        <w:pStyle w:val="Normal"/>
        <w:jc w:val="both"/>
        <w:rPr/>
      </w:pPr>
      <w:r>
        <w:rPr>
          <w:rStyle w:val="bzpyqfadein"/>
          <w:rFonts w:cs="Arial" w:ascii="Book Antiqua" w:hAnsi="Book Antiqua"/>
        </w:rPr>
        <w:t>{municipioNome} – {municipioUF}, {dataDocumento}.</w:t>
      </w:r>
      <w:r>
        <w:rPr>
          <w:rFonts w:cs="Arial" w:ascii="Book Antiqua" w:hAnsi="Book Antiqua"/>
          <w:color w:val="000000"/>
        </w:rPr>
      </w:r>
      <w:r>
        <w:rPr>
          <w:rFonts w:cs="Arial" w:ascii="Book Antiqua" w:hAnsi="Book Antiqua"/>
          <w:color w:val="000000"/>
          <w:highlight w:val="yellow"/>
        </w:rPr>
      </w:r>
      <w:r>
        <w:rPr>
          <w:rFonts w:cs="Arial" w:ascii="Book Antiqua" w:hAnsi="Book Antiqua"/>
          <w:color w:val="000000"/>
        </w:rPr>
      </w:r>
      <w:r>
        <w:rPr>
          <w:rFonts w:cs="Book Antiqua" w:ascii="Book Antiqua" w:hAnsi="Book Antiqua"/>
        </w:rPr>
      </w:r>
    </w:p>
    <w:p>
      <w:pPr>
        <w:pStyle w:val="Normal"/>
        <w:jc w:val="both"/>
        <w:rPr>
          <w:rFonts w:ascii="Book Antiqua" w:hAnsi="Book Antiqua" w:cs="Book Antiqua"/>
        </w:rPr>
      </w:pPr>
      <w:r>
        <w:rPr>
          <w:rFonts w:cs="Book Antiqua" w:ascii="Book Antiqua" w:hAnsi="Book Antiqua"/>
        </w:rPr>
      </w:r>
    </w:p>
    <w:p>
      <w:pPr>
        <w:pStyle w:val="Normal"/>
        <w:jc w:val="center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jc w:val="center"/>
      </w:pPr>
      <w:r>
        <w:rPr>
          <w:rFonts w:cs="Arial" w:ascii="Book Antiqua" w:hAnsi="Book Antiqua"/>
          <w:highlight w:val="yellow"/>
        </w:rPr>
        <w:t xml:space="preserve">_______________________________</w:t>
      </w:r>
    </w:p>
    <w:p>
      <w:pPr>
        <w:jc w:val="center"/>
      </w:pPr>
      <w:r>
        <w:rPr>
          <w:rFonts w:cs="Arial" w:ascii="Book Antiqua" w:hAnsi="Book Antiqua"/>
          <w:highlight w:val="yellow"/>
          <w:b/>
        </w:rPr>
        <w:t>{assessorJuridicoNome}</w:t>
        <w:br/>
        <w:t>Assessor Jurídico</w:t>
        <w:br/>
        <w:t>{assessorJuridicoOAB}</w:t>
      </w:r>
    </w:p>
    <w:p>
      <w:pPr>
        <w:jc w:val="center"/>
      </w:pPr>
      <w:r>
        <w:rPr>
          <w:rFonts w:cs="Arial" w:ascii="Book Antiqua" w:hAnsi="Book Antiqua"/>
          <w:highlight w:val="yellow"/>
        </w:rPr>
        <w:t xml:space="preserve">Assessor Jurídico</w:t>
      </w:r>
    </w:p>
    <w:p>
      <w:pPr>
        <w:pStyle w:val="Normal"/>
        <w:jc w:val="center"/>
        <w:rPr>
          <w:rFonts w:ascii="Book Antiqua" w:hAnsi="Book Antiqua" w:cs="Arial"/>
          <w:b/>
          <w:highlight w:val="yellow"/>
        </w:rPr>
      </w:pPr>
      <w:r>
        <w:rPr>
          <w:rFonts w:cs="Arial" w:ascii="Book Antiqua" w:hAnsi="Book Antiqua"/>
          <w:b/>
          <w:highlight w:val="yellow"/>
        </w:rPr>
        <w:t/>
      </w:r>
    </w:p>
    <w:p>
      <w:pPr>
        <w:pStyle w:val="Normal"/>
        <w:jc w:val="center"/>
        <w:rPr>
          <w:rFonts w:ascii="Book Antiqua" w:hAnsi="Book Antiqua" w:cs="Arial"/>
          <w:highlight w:val="yellow"/>
        </w:rPr>
      </w:pPr>
      <w:r>
        <w:rPr>
          <w:rFonts w:cs="Arial" w:ascii="Book Antiqua" w:hAnsi="Book Antiqua"/>
          <w:highlight w:val="yellow"/>
        </w:rPr>
        <w:t/>
      </w:r>
    </w:p>
    <w:p>
      <w:pPr>
        <w:pStyle w:val="Normal"/>
        <w:jc w:val="center"/>
        <w:rPr>
          <w:rFonts w:ascii="Book Antiqua" w:hAnsi="Book Antiqua" w:cs="Book Antiqua"/>
        </w:rPr>
      </w:pPr>
      <w:r>
        <w:rPr>
          <w:rFonts w:cs="Arial" w:ascii="Book Antiqua" w:hAnsi="Book Antiqua"/>
          <w:highlight w:val="yellow"/>
        </w:rPr>
        <w:t>{assessorJuridicoOAB}</w:t>
      </w:r>
      <w:r>
        <w:rPr>
          <w:rFonts w:cs="Arial" w:ascii="Book Antiqua" w:hAnsi="Book Antiqua"/>
        </w:rPr>
        <w:t xml:space="preserve"> </w:t>
      </w:r>
    </w:p>
    <w:p>
      <w:pPr>
        <w:pStyle w:val="Normal"/>
        <w:jc w:val="both"/>
        <w:rPr>
          <w:rFonts w:ascii="Book Antiqua" w:hAnsi="Book Antiqua" w:cs="Book Antiqua"/>
        </w:rPr>
      </w:pPr>
      <w:r>
        <w:rPr>
          <w:rFonts w:cs="Book Antiqua" w:ascii="Book Antiqua" w:hAnsi="Book Antiqua"/>
        </w:rPr>
      </w:r>
    </w:p>
    <w:sectPr>
      <w:headerReference w:type="default" r:id="rId2"/>
      <w:headerReference w:type="first" r:id="rId7"/>
      <w:footerReference w:type="default" r:id="rId8"/>
      <w:footerReference w:type="first" r:id="rId9"/>
      <w:type w:val="nextPage"/>
      <w:pgSz w:w="11906" w:h="16838"/>
      <w:pgMar w:left="1701" w:right="1274" w:gutter="0" w:header="708" w:top="899" w:footer="0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Book Antiqua">
    <w:charset w:val="00" w:characterSet="windows-1252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eastAsia="Times New Roman" w:cs="Times New Roman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autoSpaceDE w:val="false"/>
      <w:jc w:val="both"/>
      <w:outlineLvl w:val="1"/>
    </w:pPr>
    <w:rPr>
      <w:rFonts w:ascii="Arial" w:hAnsi="Arial" w:cs="Arial"/>
      <w:b/>
      <w:bCs/>
      <w:color w:val="000000"/>
      <w:lang w:val="pt-BR"/>
    </w:rPr>
  </w:style>
  <w:style w:type="character" w:styleId="Fontepargpadro">
    <w:name w:val="Fonte parág. padrão"/>
    <w:qFormat/>
    <w:rPr/>
  </w:style>
  <w:style w:type="character" w:styleId="CabealhoChar">
    <w:name w:val="Cabeçalho Char"/>
    <w:qFormat/>
    <w:rPr>
      <w:sz w:val="24"/>
      <w:szCs w:val="24"/>
    </w:rPr>
  </w:style>
  <w:style w:type="character" w:styleId="Ttulo2Char">
    <w:name w:val="Título 2 Char"/>
    <w:qFormat/>
    <w:rPr>
      <w:rFonts w:ascii="Arial" w:hAnsi="Arial" w:cs="Arial"/>
      <w:b/>
      <w:bCs/>
      <w:color w:val="000000"/>
      <w:sz w:val="24"/>
      <w:szCs w:val="24"/>
    </w:rPr>
  </w:style>
  <w:style w:type="character" w:styleId="Ttulo1Char">
    <w:name w:val="Título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orpodetextoChar">
    <w:name w:val="Corpo de texto Char"/>
    <w:basedOn w:val="Fontepargpadro"/>
    <w:qFormat/>
    <w:rPr/>
  </w:style>
  <w:style w:type="character" w:styleId="SubttuloChar">
    <w:name w:val="Subtítulo Char"/>
    <w:qFormat/>
    <w:rPr>
      <w:rFonts w:ascii="Cambria" w:hAnsi="Cambria" w:cs="Cambria"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Recuodecorpodetexto3Char">
    <w:name w:val="Recuo de corpo de texto 3 Char"/>
    <w:qFormat/>
    <w:rPr>
      <w:sz w:val="16"/>
      <w:szCs w:val="16"/>
    </w:rPr>
  </w:style>
  <w:style w:type="character" w:styleId="bzpyqfadein">
    <w:name w:val="bz_pyq_fadein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>
      <w:lang w:val="pt-BR"/>
    </w:rPr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qFormat/>
    <w:pPr>
      <w:spacing w:before="0" w:after="60"/>
      <w:jc w:val="center"/>
      <w:outlineLvl w:val="1"/>
    </w:pPr>
    <w:rPr>
      <w:rFonts w:ascii="Cambria" w:hAnsi="Cambria" w:cs="Cambria"/>
    </w:rPr>
  </w:style>
  <w:style w:type="paragraph" w:styleId="Recuodecorpodetexto3">
    <w:name w:val="Recuo de corpo de texto 3"/>
    <w:basedOn w:val="Normal"/>
    <w:qFormat/>
    <w:pPr>
      <w:spacing w:before="0" w:after="120"/>
      <w:ind w:hanging="0" w:start="283" w:end="0"/>
    </w:pPr>
    <w:rPr>
      <w:sz w:val="16"/>
      <w:szCs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/Relationships>
</file>

<file path=word/_rels/header1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_rels/header2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LibreOffice/25.8.7.2$Linux_X86_64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2014-01-07T10:35:00Z</dcterms:created>
  <dc:creator>Uso Part</dc:creator>
  <dc:description/>
  <cp:keywords/>
  <dc:language>pt-BR</dc:language>
  <cp:lastModifiedBy>User</cp:lastModifiedBy>
  <cp:lastPrinted>2024-03-26T11:29:00Z</cp:lastPrinted>
  <dcterms:modified xsi:type="dcterms:W3CDTF">2026-03-31T21:50:00Z</dcterms:modified>
  <cp:revision>25</cp:revision>
  <dc:subject/>
  <dc:title>PREFEITURA MUNICIPAL DE BOM JESUS DA LAPA</dc:title>
</cp:coreProperties>
</file>