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1E503B">
      <w:pPr>
        <w:pStyle w:val="2"/>
      </w:pPr>
      <w:r>
        <w:t>Redshift Cost Analysis – UA Account</w:t>
      </w:r>
    </w:p>
    <w:p w14:paraId="49547C85">
      <w:r>
        <w:rPr>
          <w:b/>
        </w:rPr>
        <w:t>Objective</w:t>
      </w:r>
      <w:r>
        <w:rPr>
          <w:b/>
        </w:rPr>
        <w:br w:type="textWrapping"/>
      </w:r>
      <w:r>
        <w:t>Analyze Amazon Redshift cost in the UA account and identify the resource generating the cost.</w:t>
      </w:r>
    </w:p>
    <w:p w14:paraId="51E553F3">
      <w:pPr>
        <w:pStyle w:val="3"/>
      </w:pPr>
      <w:r>
        <w:t>1. Cost Summary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60DD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B62B6EF">
            <w:pPr>
              <w:spacing w:after="0" w:line="240" w:lineRule="auto"/>
            </w:pPr>
            <w:r>
              <w:t>Parameter</w:t>
            </w:r>
          </w:p>
        </w:tc>
        <w:tc>
          <w:tcPr>
            <w:tcW w:w="4320" w:type="dxa"/>
          </w:tcPr>
          <w:p w14:paraId="008CD5B6">
            <w:pPr>
              <w:spacing w:after="0" w:line="240" w:lineRule="auto"/>
            </w:pPr>
            <w:r>
              <w:t>Value</w:t>
            </w:r>
          </w:p>
        </w:tc>
      </w:tr>
      <w:tr w14:paraId="03A12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10D6052">
            <w:pPr>
              <w:spacing w:after="0" w:line="240" w:lineRule="auto"/>
            </w:pPr>
            <w:r>
              <w:t>Date Range</w:t>
            </w:r>
          </w:p>
        </w:tc>
        <w:tc>
          <w:tcPr>
            <w:tcW w:w="4320" w:type="dxa"/>
          </w:tcPr>
          <w:p w14:paraId="1990934C">
            <w:pPr>
              <w:spacing w:after="0" w:line="240" w:lineRule="auto"/>
            </w:pPr>
            <w:r>
              <w:t>01 Jan 2026 – 30 Jun 2026</w:t>
            </w:r>
          </w:p>
        </w:tc>
      </w:tr>
      <w:tr w14:paraId="6BA47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3828A22">
            <w:pPr>
              <w:spacing w:after="0" w:line="240" w:lineRule="auto"/>
            </w:pPr>
            <w:r>
              <w:t>Total Redshift Cost</w:t>
            </w:r>
          </w:p>
        </w:tc>
        <w:tc>
          <w:tcPr>
            <w:tcW w:w="4320" w:type="dxa"/>
          </w:tcPr>
          <w:p w14:paraId="4C07D13C">
            <w:pPr>
              <w:spacing w:after="0" w:line="240" w:lineRule="auto"/>
            </w:pPr>
            <w:r>
              <w:t>$1,457.88</w:t>
            </w:r>
          </w:p>
        </w:tc>
      </w:tr>
      <w:tr w14:paraId="2B3AE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F40FC4E">
            <w:pPr>
              <w:spacing w:after="0" w:line="240" w:lineRule="auto"/>
            </w:pPr>
            <w:r>
              <w:t>Average Monthly Cost</w:t>
            </w:r>
          </w:p>
        </w:tc>
        <w:tc>
          <w:tcPr>
            <w:tcW w:w="4320" w:type="dxa"/>
          </w:tcPr>
          <w:p w14:paraId="239F1B16">
            <w:pPr>
              <w:spacing w:after="0" w:line="240" w:lineRule="auto"/>
            </w:pPr>
            <w:r>
              <w:t>$242.98</w:t>
            </w:r>
          </w:p>
        </w:tc>
      </w:tr>
      <w:tr w14:paraId="1A614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39328A8">
            <w:pPr>
              <w:spacing w:after="0" w:line="240" w:lineRule="auto"/>
            </w:pPr>
            <w:r>
              <w:t>Service</w:t>
            </w:r>
          </w:p>
        </w:tc>
        <w:tc>
          <w:tcPr>
            <w:tcW w:w="4320" w:type="dxa"/>
          </w:tcPr>
          <w:p w14:paraId="3EDB0CC9">
            <w:pPr>
              <w:spacing w:after="0" w:line="240" w:lineRule="auto"/>
            </w:pPr>
            <w:r>
              <w:t>Amazon Redshift</w:t>
            </w:r>
          </w:p>
        </w:tc>
      </w:tr>
    </w:tbl>
    <w:p w14:paraId="540551C7"/>
    <w:p w14:paraId="774919A6">
      <w:pPr>
        <w:pStyle w:val="3"/>
        <w:rPr>
          <w:rFonts w:hint="default"/>
          <w:lang w:val="en-US"/>
        </w:rPr>
      </w:pPr>
      <w:r>
        <w:drawing>
          <wp:inline distT="0" distB="0" distL="114300" distR="114300">
            <wp:extent cx="5485765" cy="2504440"/>
            <wp:effectExtent l="0" t="0" r="635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F663E">
      <w:pPr>
        <w:pStyle w:val="3"/>
      </w:pPr>
      <w:r>
        <w:t>2. Usage Type Breakdown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B30E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1EE9B5F">
            <w:pPr>
              <w:spacing w:after="0" w:line="240" w:lineRule="auto"/>
            </w:pPr>
            <w:r>
              <w:t>Usage Type</w:t>
            </w:r>
          </w:p>
        </w:tc>
        <w:tc>
          <w:tcPr>
            <w:tcW w:w="4320" w:type="dxa"/>
          </w:tcPr>
          <w:p w14:paraId="543D3D4C">
            <w:pPr>
              <w:spacing w:after="0" w:line="240" w:lineRule="auto"/>
            </w:pPr>
            <w:r>
              <w:t>Cost (USD)</w:t>
            </w:r>
          </w:p>
        </w:tc>
      </w:tr>
      <w:tr w14:paraId="2688C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9F7819">
            <w:pPr>
              <w:spacing w:after="0" w:line="240" w:lineRule="auto"/>
            </w:pPr>
            <w:r>
              <w:t>USE1-Redshift:ServerlessUsage</w:t>
            </w:r>
          </w:p>
        </w:tc>
        <w:tc>
          <w:tcPr>
            <w:tcW w:w="4320" w:type="dxa"/>
          </w:tcPr>
          <w:p w14:paraId="0CFE7CF9">
            <w:pPr>
              <w:spacing w:after="0" w:line="240" w:lineRule="auto"/>
            </w:pPr>
            <w:r>
              <w:t>$1,456.97</w:t>
            </w:r>
          </w:p>
        </w:tc>
      </w:tr>
      <w:tr w14:paraId="28470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1BF1797">
            <w:pPr>
              <w:spacing w:after="0" w:line="240" w:lineRule="auto"/>
            </w:pPr>
            <w:r>
              <w:t>USE1-RMS:Serverless</w:t>
            </w:r>
          </w:p>
        </w:tc>
        <w:tc>
          <w:tcPr>
            <w:tcW w:w="4320" w:type="dxa"/>
          </w:tcPr>
          <w:p w14:paraId="1E000C30">
            <w:pPr>
              <w:spacing w:after="0" w:line="240" w:lineRule="auto"/>
            </w:pPr>
            <w:r>
              <w:t>$0.91</w:t>
            </w:r>
          </w:p>
        </w:tc>
      </w:tr>
    </w:tbl>
    <w:p w14:paraId="23337BCE"/>
    <w:p w14:paraId="7A61D87A">
      <w:r>
        <w:t>Observation: Almost all Redshift cost is generated by Redshift Serverless compute usage.</w:t>
      </w:r>
    </w:p>
    <w:p w14:paraId="7E16DE70">
      <w:pPr>
        <w:pStyle w:val="3"/>
      </w:pPr>
      <w:r>
        <w:drawing>
          <wp:inline distT="0" distB="0" distL="114300" distR="114300">
            <wp:extent cx="5482590" cy="2249805"/>
            <wp:effectExtent l="0" t="0" r="3810" b="171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224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CBB7F">
      <w:pPr>
        <w:pStyle w:val="3"/>
      </w:pPr>
      <w:r>
        <w:t>3. Resource Details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14ED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42A6BB6">
            <w:pPr>
              <w:spacing w:after="0" w:line="240" w:lineRule="auto"/>
            </w:pPr>
            <w:r>
              <w:t>Resource</w:t>
            </w:r>
          </w:p>
        </w:tc>
        <w:tc>
          <w:tcPr>
            <w:tcW w:w="4320" w:type="dxa"/>
          </w:tcPr>
          <w:p w14:paraId="7EBF7329">
            <w:pPr>
              <w:spacing w:after="0" w:line="240" w:lineRule="auto"/>
            </w:pPr>
            <w:r>
              <w:t>Value</w:t>
            </w:r>
          </w:p>
        </w:tc>
      </w:tr>
      <w:tr w14:paraId="75F7E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EEE89CC">
            <w:pPr>
              <w:spacing w:after="0" w:line="240" w:lineRule="auto"/>
            </w:pPr>
            <w:r>
              <w:t>Service Type</w:t>
            </w:r>
          </w:p>
        </w:tc>
        <w:tc>
          <w:tcPr>
            <w:tcW w:w="4320" w:type="dxa"/>
          </w:tcPr>
          <w:p w14:paraId="6E7CF1D8">
            <w:pPr>
              <w:spacing w:after="0" w:line="240" w:lineRule="auto"/>
            </w:pPr>
            <w:r>
              <w:t>Amazon Redshift Serverless</w:t>
            </w:r>
          </w:p>
        </w:tc>
      </w:tr>
      <w:tr w14:paraId="7721F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20D269">
            <w:pPr>
              <w:spacing w:after="0" w:line="240" w:lineRule="auto"/>
            </w:pPr>
            <w:r>
              <w:t>Namespace</w:t>
            </w:r>
          </w:p>
        </w:tc>
        <w:tc>
          <w:tcPr>
            <w:tcW w:w="4320" w:type="dxa"/>
          </w:tcPr>
          <w:p w14:paraId="711EC320">
            <w:pPr>
              <w:spacing w:after="0" w:line="240" w:lineRule="auto"/>
            </w:pPr>
            <w:r>
              <w:t>ezfdw-ua-ns</w:t>
            </w:r>
          </w:p>
        </w:tc>
      </w:tr>
      <w:tr w14:paraId="30424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0C40B02">
            <w:pPr>
              <w:spacing w:after="0" w:line="240" w:lineRule="auto"/>
            </w:pPr>
            <w:r>
              <w:t>Workgroup</w:t>
            </w:r>
          </w:p>
        </w:tc>
        <w:tc>
          <w:tcPr>
            <w:tcW w:w="4320" w:type="dxa"/>
          </w:tcPr>
          <w:p w14:paraId="0D377730">
            <w:pPr>
              <w:spacing w:after="0" w:line="240" w:lineRule="auto"/>
            </w:pPr>
            <w:r>
              <w:t>ezfdw-ua-wg</w:t>
            </w:r>
          </w:p>
        </w:tc>
      </w:tr>
      <w:tr w14:paraId="4CED4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AF32D82">
            <w:pPr>
              <w:spacing w:after="0" w:line="240" w:lineRule="auto"/>
            </w:pPr>
            <w:r>
              <w:t>Status</w:t>
            </w:r>
          </w:p>
        </w:tc>
        <w:tc>
          <w:tcPr>
            <w:tcW w:w="4320" w:type="dxa"/>
          </w:tcPr>
          <w:p w14:paraId="3863E096">
            <w:pPr>
              <w:spacing w:after="0" w:line="240" w:lineRule="auto"/>
            </w:pPr>
            <w:r>
              <w:t>Available</w:t>
            </w:r>
          </w:p>
        </w:tc>
      </w:tr>
      <w:tr w14:paraId="2E0F6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BD1C058">
            <w:pPr>
              <w:spacing w:after="0" w:line="240" w:lineRule="auto"/>
            </w:pPr>
            <w:r>
              <w:t>Region</w:t>
            </w:r>
          </w:p>
        </w:tc>
        <w:tc>
          <w:tcPr>
            <w:tcW w:w="4320" w:type="dxa"/>
          </w:tcPr>
          <w:p w14:paraId="2558A29C">
            <w:pPr>
              <w:spacing w:after="0" w:line="240" w:lineRule="auto"/>
            </w:pPr>
            <w:r>
              <w:t>US East (N. Virginia)</w:t>
            </w:r>
          </w:p>
        </w:tc>
      </w:tr>
    </w:tbl>
    <w:p w14:paraId="44A4BA2F"/>
    <w:p w14:paraId="6E427CC8">
      <w:r>
        <w:drawing>
          <wp:inline distT="0" distB="0" distL="114300" distR="114300">
            <wp:extent cx="5351780" cy="2354580"/>
            <wp:effectExtent l="0" t="0" r="127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178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6EAAE">
      <w:pPr>
        <w:pStyle w:val="3"/>
      </w:pPr>
      <w:r>
        <w:t>5. Findings</w:t>
      </w:r>
    </w:p>
    <w:p w14:paraId="09328F39">
      <w:pPr>
        <w:pStyle w:val="23"/>
      </w:pPr>
      <w:r>
        <w:t>Total Redshift cost for the selected period is $1,457.88.</w:t>
      </w:r>
    </w:p>
    <w:p w14:paraId="4DAFC7A3">
      <w:pPr>
        <w:pStyle w:val="23"/>
      </w:pPr>
      <w:r>
        <w:t>99.94% of the cost is generated by USE1-Redshift:ServerlessUsage.</w:t>
      </w:r>
    </w:p>
    <w:p w14:paraId="0D57CFE0">
      <w:pPr>
        <w:pStyle w:val="23"/>
      </w:pPr>
      <w:r>
        <w:t>The active Serverless workgroup is ezfdw-ua-wg.</w:t>
      </w:r>
    </w:p>
    <w:p w14:paraId="6D85DB12">
      <w:pPr>
        <w:pStyle w:val="23"/>
      </w:pPr>
      <w:r>
        <w:t>Cost increased from $367.99 in May to $1,089.88 in June.</w:t>
      </w:r>
    </w:p>
    <w:p w14:paraId="5E16237A">
      <w:pPr>
        <w:pStyle w:val="3"/>
      </w:pPr>
      <w:r>
        <w:t>6. Recommendations</w:t>
      </w:r>
    </w:p>
    <w:p w14:paraId="020916DF">
      <w:pPr>
        <w:pStyle w:val="23"/>
      </w:pPr>
      <w:r>
        <w:t>Review Query History for ezfdw-ua-wg.</w:t>
      </w:r>
      <w:bookmarkStart w:id="0" w:name="_GoBack"/>
      <w:bookmarkEnd w:id="0"/>
    </w:p>
    <w:p w14:paraId="20ABB314">
      <w:pPr>
        <w:pStyle w:val="23"/>
      </w:pPr>
      <w:r>
        <w:t>Identify long-running or expensive queries.</w:t>
      </w:r>
    </w:p>
    <w:p w14:paraId="07BCADB0">
      <w:pPr>
        <w:pStyle w:val="23"/>
      </w:pPr>
      <w:r>
        <w:t>Configure Serverless usage limits.</w:t>
      </w:r>
    </w:p>
    <w:p w14:paraId="06CF3832">
      <w:pPr>
        <w:pStyle w:val="23"/>
      </w:pPr>
      <w:r>
        <w:t>Monitor Redshift costs regularly using Cost Explorer.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AC2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203</Words>
  <Characters>1241</Characters>
  <Lines>0</Lines>
  <Paragraphs>0</Paragraphs>
  <TotalTime>10</TotalTime>
  <ScaleCrop>false</ScaleCrop>
  <LinksUpToDate>false</LinksUpToDate>
  <CharactersWithSpaces>1380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Nimra shaheen</cp:lastModifiedBy>
  <dcterms:modified xsi:type="dcterms:W3CDTF">2026-07-31T15:37:25Z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eyJoZGlkIjoiZjg2NmY5ZDI3ZmIxMzNmYzc5ZWIxNTNiYzA2NjUxNWUiLCJ1c2VySWQiOiI4ODEzMzk0Mzc0NDc4In0=</vt:lpwstr>
  </property>
  <property fmtid="{D5CDD505-2E9C-101B-9397-08002B2CF9AE}" pid="3" name="KSOProductBuildVer">
    <vt:lpwstr>1033-12.1.0.27458</vt:lpwstr>
  </property>
  <property fmtid="{D5CDD505-2E9C-101B-9397-08002B2CF9AE}" pid="4" name="ICV">
    <vt:lpwstr>9B050197CD43411E9D903ADBB34A0B8F_13</vt:lpwstr>
  </property>
</Properties>
</file>