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33992" w14:textId="5C4241B4" w:rsidR="006D1224" w:rsidRPr="00913C94" w:rsidRDefault="000D5274" w:rsidP="000902EE">
      <w:pPr>
        <w:spacing w:before="120" w:after="120"/>
        <w:jc w:val="both"/>
        <w:rPr>
          <w:rFonts w:ascii="Georgia" w:hAnsi="Georgia"/>
          <w:b/>
          <w:bCs/>
          <w:i/>
          <w:iCs/>
          <w:sz w:val="22"/>
          <w:lang w:val="en-US"/>
        </w:rPr>
      </w:pPr>
      <w:proofErr w:type="spellStart"/>
      <w:r w:rsidRPr="00913C94">
        <w:rPr>
          <w:rFonts w:ascii="Georgia" w:hAnsi="Georgia"/>
          <w:b/>
          <w:bCs/>
          <w:i/>
          <w:iCs/>
          <w:sz w:val="22"/>
          <w:lang w:val="en-US"/>
        </w:rPr>
        <w:t>Uwagi</w:t>
      </w:r>
      <w:proofErr w:type="spellEnd"/>
      <w:r w:rsidRPr="00913C94">
        <w:rPr>
          <w:rFonts w:ascii="Georgia" w:hAnsi="Georgia"/>
          <w:b/>
          <w:bCs/>
          <w:i/>
          <w:iCs/>
          <w:sz w:val="22"/>
          <w:lang w:val="en-US"/>
        </w:rPr>
        <w:t xml:space="preserve"> </w:t>
      </w:r>
      <w:proofErr w:type="spellStart"/>
      <w:r w:rsidRPr="00913C94">
        <w:rPr>
          <w:rFonts w:ascii="Georgia" w:hAnsi="Georgia"/>
          <w:b/>
          <w:bCs/>
          <w:i/>
          <w:iCs/>
          <w:sz w:val="22"/>
          <w:lang w:val="en-US"/>
        </w:rPr>
        <w:t>ogólne</w:t>
      </w:r>
      <w:proofErr w:type="spellEnd"/>
    </w:p>
    <w:p w14:paraId="3D25FEFB" w14:textId="77777777" w:rsidR="000D5274" w:rsidRDefault="000D5274" w:rsidP="000902EE">
      <w:pPr>
        <w:spacing w:before="120" w:after="120"/>
        <w:jc w:val="both"/>
        <w:rPr>
          <w:rFonts w:ascii="Georgia" w:hAnsi="Georgia"/>
          <w:sz w:val="22"/>
          <w:lang w:val="en-US"/>
        </w:rPr>
      </w:pPr>
    </w:p>
    <w:p w14:paraId="3F3CC2B5" w14:textId="7DC44E84" w:rsidR="000D5274" w:rsidRPr="000D5274" w:rsidRDefault="000D5274" w:rsidP="000902EE">
      <w:pPr>
        <w:pStyle w:val="Akapitzlist"/>
        <w:numPr>
          <w:ilvl w:val="0"/>
          <w:numId w:val="1"/>
        </w:numPr>
        <w:spacing w:before="120" w:after="120"/>
        <w:contextualSpacing w:val="0"/>
        <w:jc w:val="both"/>
        <w:rPr>
          <w:rFonts w:ascii="Georgia" w:hAnsi="Georgia"/>
          <w:b/>
          <w:bCs/>
          <w:sz w:val="22"/>
        </w:rPr>
      </w:pPr>
      <w:r w:rsidRPr="000D5274">
        <w:rPr>
          <w:rFonts w:ascii="Georgia" w:hAnsi="Georgia"/>
          <w:b/>
          <w:bCs/>
          <w:sz w:val="22"/>
        </w:rPr>
        <w:t>Klasyfikacja narzędzia – system wysokiego ryzyka</w:t>
      </w:r>
    </w:p>
    <w:p w14:paraId="0D10CDB7" w14:textId="0A109926" w:rsidR="000D5274" w:rsidRDefault="000D5274" w:rsidP="000902EE">
      <w:pPr>
        <w:pStyle w:val="Akapitzlist"/>
        <w:spacing w:before="120" w:after="120"/>
        <w:contextualSpacing w:val="0"/>
        <w:jc w:val="both"/>
        <w:rPr>
          <w:rFonts w:ascii="Georgia" w:hAnsi="Georgia"/>
          <w:sz w:val="22"/>
        </w:rPr>
      </w:pPr>
      <w:r w:rsidRPr="000D5274">
        <w:rPr>
          <w:rFonts w:ascii="Georgia" w:hAnsi="Georgia"/>
          <w:sz w:val="22"/>
        </w:rPr>
        <w:t>Narzędzie opisane w umowie</w:t>
      </w:r>
      <w:r>
        <w:rPr>
          <w:rFonts w:ascii="Georgia" w:hAnsi="Georgia"/>
          <w:sz w:val="22"/>
        </w:rPr>
        <w:t xml:space="preserve">, tj. </w:t>
      </w:r>
      <w:r w:rsidRPr="000D5274">
        <w:rPr>
          <w:rFonts w:ascii="Georgia" w:hAnsi="Georgia"/>
          <w:sz w:val="22"/>
        </w:rPr>
        <w:t>oprogramowanie AI do automatycznej analizy i weryfikacji CV kandydatów</w:t>
      </w:r>
      <w:r>
        <w:rPr>
          <w:rFonts w:ascii="Georgia" w:hAnsi="Georgia"/>
          <w:sz w:val="22"/>
        </w:rPr>
        <w:t xml:space="preserve">, </w:t>
      </w:r>
      <w:r w:rsidRPr="000D5274">
        <w:rPr>
          <w:rFonts w:ascii="Georgia" w:hAnsi="Georgia"/>
          <w:sz w:val="22"/>
        </w:rPr>
        <w:t>mieści się w kategorii systemów wysokiego ryzyka (high-</w:t>
      </w:r>
      <w:proofErr w:type="spellStart"/>
      <w:r w:rsidRPr="000D5274">
        <w:rPr>
          <w:rFonts w:ascii="Georgia" w:hAnsi="Georgia"/>
          <w:sz w:val="22"/>
        </w:rPr>
        <w:t>risk</w:t>
      </w:r>
      <w:proofErr w:type="spellEnd"/>
      <w:r w:rsidRPr="000D5274">
        <w:rPr>
          <w:rFonts w:ascii="Georgia" w:hAnsi="Georgia"/>
          <w:sz w:val="22"/>
        </w:rPr>
        <w:t xml:space="preserve"> AI </w:t>
      </w:r>
      <w:proofErr w:type="spellStart"/>
      <w:r w:rsidRPr="000D5274">
        <w:rPr>
          <w:rFonts w:ascii="Georgia" w:hAnsi="Georgia"/>
          <w:sz w:val="22"/>
        </w:rPr>
        <w:t>systems</w:t>
      </w:r>
      <w:proofErr w:type="spellEnd"/>
      <w:r w:rsidRPr="000D5274">
        <w:rPr>
          <w:rFonts w:ascii="Georgia" w:hAnsi="Georgia"/>
          <w:sz w:val="22"/>
        </w:rPr>
        <w:t>) zgodnie z An</w:t>
      </w:r>
      <w:r>
        <w:rPr>
          <w:rFonts w:ascii="Georgia" w:hAnsi="Georgia"/>
          <w:sz w:val="22"/>
        </w:rPr>
        <w:t xml:space="preserve">eksem </w:t>
      </w:r>
      <w:r w:rsidRPr="000D5274">
        <w:rPr>
          <w:rFonts w:ascii="Georgia" w:hAnsi="Georgia"/>
          <w:sz w:val="22"/>
        </w:rPr>
        <w:t>III AI A</w:t>
      </w:r>
      <w:r>
        <w:rPr>
          <w:rFonts w:ascii="Georgia" w:hAnsi="Georgia"/>
          <w:sz w:val="22"/>
        </w:rPr>
        <w:t>ktu</w:t>
      </w:r>
      <w:r w:rsidRPr="000D5274">
        <w:rPr>
          <w:rFonts w:ascii="Georgia" w:hAnsi="Georgia"/>
          <w:sz w:val="22"/>
        </w:rPr>
        <w:t>, punkt 4(a). Systemy AI używane do rekrutacji i selekcji osób są klasyfikowane jako wysokiego ryzyka, ponieważ mogą istotnie wpływać na perspektywy kariery i prawa pracownicze oraz utrwalać dyskryminację historyczn</w:t>
      </w:r>
      <w:r>
        <w:rPr>
          <w:rFonts w:ascii="Georgia" w:hAnsi="Georgia"/>
          <w:sz w:val="22"/>
        </w:rPr>
        <w:t xml:space="preserve">ą. </w:t>
      </w:r>
      <w:r w:rsidR="00A5766C">
        <w:rPr>
          <w:rFonts w:ascii="Georgia" w:hAnsi="Georgia"/>
          <w:sz w:val="22"/>
        </w:rPr>
        <w:t>Należy przeprowadzić analizę ryzyka</w:t>
      </w:r>
    </w:p>
    <w:p w14:paraId="666CFC85" w14:textId="41E1C8FD" w:rsidR="000D5274" w:rsidRPr="000D5274" w:rsidRDefault="00980376" w:rsidP="000902EE">
      <w:pPr>
        <w:pStyle w:val="Akapitzlist"/>
        <w:numPr>
          <w:ilvl w:val="0"/>
          <w:numId w:val="1"/>
        </w:numPr>
        <w:spacing w:before="120" w:after="120"/>
        <w:contextualSpacing w:val="0"/>
        <w:jc w:val="both"/>
        <w:rPr>
          <w:rFonts w:ascii="Georgia" w:hAnsi="Georgia"/>
          <w:b/>
          <w:bCs/>
          <w:sz w:val="22"/>
        </w:rPr>
      </w:pPr>
      <w:r>
        <w:rPr>
          <w:rFonts w:ascii="Georgia" w:hAnsi="Georgia"/>
          <w:b/>
          <w:bCs/>
          <w:sz w:val="22"/>
        </w:rPr>
        <w:t>O</w:t>
      </w:r>
      <w:r w:rsidR="000D5274" w:rsidRPr="000D5274">
        <w:rPr>
          <w:rFonts w:ascii="Georgia" w:hAnsi="Georgia"/>
          <w:b/>
          <w:bCs/>
          <w:sz w:val="22"/>
        </w:rPr>
        <w:t>bowiązk</w:t>
      </w:r>
      <w:r>
        <w:rPr>
          <w:rFonts w:ascii="Georgia" w:hAnsi="Georgia"/>
          <w:b/>
          <w:bCs/>
          <w:sz w:val="22"/>
        </w:rPr>
        <w:t>i</w:t>
      </w:r>
      <w:r w:rsidR="000D5274" w:rsidRPr="000D5274">
        <w:rPr>
          <w:rFonts w:ascii="Georgia" w:hAnsi="Georgia"/>
          <w:b/>
          <w:bCs/>
          <w:sz w:val="22"/>
        </w:rPr>
        <w:t xml:space="preserve"> dostawcy systemów wysokiego ryzyka</w:t>
      </w:r>
    </w:p>
    <w:p w14:paraId="021B0300" w14:textId="77777777" w:rsidR="00154EF4" w:rsidRPr="00913C94" w:rsidRDefault="00003FA5" w:rsidP="00154EF4">
      <w:pPr>
        <w:pStyle w:val="Akapitzlist"/>
        <w:spacing w:before="120" w:after="120"/>
        <w:contextualSpacing w:val="0"/>
        <w:jc w:val="both"/>
        <w:rPr>
          <w:rFonts w:ascii="Georgia" w:hAnsi="Georgia"/>
          <w:sz w:val="22"/>
        </w:rPr>
      </w:pPr>
      <w:r w:rsidRPr="00913C94">
        <w:rPr>
          <w:rFonts w:ascii="Georgia" w:hAnsi="Georgia"/>
          <w:sz w:val="22"/>
        </w:rPr>
        <w:t>Jeśli system AI wprowadzony do obrotu/oddany do użytku przed 2.08.2026</w:t>
      </w:r>
      <w:r w:rsidR="00A5766C" w:rsidRPr="00913C94">
        <w:rPr>
          <w:rFonts w:ascii="Georgia" w:hAnsi="Georgia"/>
          <w:sz w:val="22"/>
        </w:rPr>
        <w:t xml:space="preserve"> – AI Akt stosuje się tylko przy istotnych zmianach – kwestia monitorowania systemu.</w:t>
      </w:r>
    </w:p>
    <w:p w14:paraId="2402DB4B" w14:textId="77777777" w:rsidR="00154EF4" w:rsidRDefault="00154EF4" w:rsidP="00154EF4">
      <w:pPr>
        <w:pStyle w:val="Akapitzlist"/>
        <w:spacing w:before="120" w:after="120"/>
        <w:contextualSpacing w:val="0"/>
        <w:jc w:val="both"/>
        <w:rPr>
          <w:rFonts w:ascii="Georgia" w:hAnsi="Georgia"/>
          <w:b/>
          <w:bCs/>
          <w:sz w:val="22"/>
        </w:rPr>
      </w:pPr>
    </w:p>
    <w:p w14:paraId="36771CE2" w14:textId="614EB857" w:rsidR="00677CE9" w:rsidRPr="00913C94" w:rsidRDefault="00677CE9" w:rsidP="00913C94">
      <w:pPr>
        <w:spacing w:before="120" w:after="120"/>
        <w:jc w:val="both"/>
        <w:rPr>
          <w:rFonts w:ascii="Georgia" w:hAnsi="Georgia"/>
          <w:b/>
          <w:bCs/>
          <w:i/>
          <w:iCs/>
          <w:sz w:val="22"/>
        </w:rPr>
      </w:pPr>
      <w:r w:rsidRPr="00913C94">
        <w:rPr>
          <w:rFonts w:ascii="Georgia" w:hAnsi="Georgia"/>
          <w:b/>
          <w:bCs/>
          <w:i/>
          <w:iCs/>
          <w:sz w:val="22"/>
        </w:rPr>
        <w:t xml:space="preserve">Uwagi szczegółowe do postanowień </w:t>
      </w:r>
    </w:p>
    <w:p w14:paraId="21C22D7E" w14:textId="77777777" w:rsidR="00A56B60" w:rsidRDefault="00A56B60" w:rsidP="00A56B60">
      <w:pPr>
        <w:pStyle w:val="Akapitzlist"/>
        <w:spacing w:before="120" w:after="120"/>
        <w:contextualSpacing w:val="0"/>
        <w:jc w:val="both"/>
        <w:rPr>
          <w:rFonts w:ascii="Georgia" w:hAnsi="Georgia"/>
          <w:b/>
          <w:bCs/>
          <w:sz w:val="22"/>
        </w:rPr>
      </w:pPr>
    </w:p>
    <w:p w14:paraId="52D191F8" w14:textId="119BD189" w:rsidR="0016738E" w:rsidRPr="00A56BDE" w:rsidRDefault="0016738E" w:rsidP="00A56BDE">
      <w:pPr>
        <w:pStyle w:val="Akapitzlist"/>
        <w:numPr>
          <w:ilvl w:val="0"/>
          <w:numId w:val="11"/>
        </w:numPr>
        <w:spacing w:before="120" w:after="120"/>
        <w:contextualSpacing w:val="0"/>
        <w:jc w:val="both"/>
        <w:rPr>
          <w:rFonts w:ascii="Georgia" w:hAnsi="Georgia"/>
          <w:b/>
          <w:bCs/>
          <w:sz w:val="22"/>
        </w:rPr>
      </w:pPr>
      <w:r>
        <w:rPr>
          <w:rFonts w:ascii="Georgia" w:hAnsi="Georgia"/>
          <w:b/>
          <w:bCs/>
          <w:sz w:val="22"/>
        </w:rPr>
        <w:t>Ograniczony zakres korzystania (§ 2.3)</w:t>
      </w:r>
    </w:p>
    <w:p w14:paraId="5995EDC4" w14:textId="01B64A6D" w:rsidR="0016738E" w:rsidRPr="00A56BDE" w:rsidRDefault="0016738E" w:rsidP="0016738E">
      <w:pPr>
        <w:pStyle w:val="Akapitzlist"/>
        <w:spacing w:before="120" w:after="120"/>
        <w:contextualSpacing w:val="0"/>
        <w:jc w:val="both"/>
        <w:rPr>
          <w:rFonts w:ascii="Georgia" w:hAnsi="Georgia"/>
          <w:sz w:val="22"/>
        </w:rPr>
      </w:pPr>
      <w:r w:rsidRPr="00A56BDE">
        <w:rPr>
          <w:rFonts w:ascii="Georgia" w:hAnsi="Georgia"/>
          <w:sz w:val="22"/>
        </w:rPr>
        <w:t>Nie obejmuje rekrutacji w spółkach z grupy</w:t>
      </w:r>
    </w:p>
    <w:p w14:paraId="665DACBD" w14:textId="77777777" w:rsidR="00A56BDE" w:rsidRDefault="00A56BDE" w:rsidP="00A56BDE">
      <w:pPr>
        <w:pStyle w:val="Akapitzlist"/>
        <w:spacing w:before="120" w:after="120"/>
        <w:contextualSpacing w:val="0"/>
        <w:jc w:val="both"/>
        <w:rPr>
          <w:rFonts w:ascii="Georgia" w:hAnsi="Georgia"/>
          <w:b/>
          <w:bCs/>
          <w:sz w:val="22"/>
        </w:rPr>
      </w:pPr>
    </w:p>
    <w:p w14:paraId="5B226D78" w14:textId="4B17AD3C" w:rsidR="00677CE9" w:rsidRPr="00677CE9" w:rsidRDefault="00677CE9" w:rsidP="000902EE">
      <w:pPr>
        <w:pStyle w:val="Akapitzlist"/>
        <w:numPr>
          <w:ilvl w:val="0"/>
          <w:numId w:val="11"/>
        </w:numPr>
        <w:spacing w:before="120" w:after="120"/>
        <w:contextualSpacing w:val="0"/>
        <w:jc w:val="both"/>
        <w:rPr>
          <w:rFonts w:ascii="Georgia" w:hAnsi="Georgia"/>
          <w:b/>
          <w:bCs/>
          <w:sz w:val="22"/>
        </w:rPr>
      </w:pPr>
      <w:r w:rsidRPr="00677CE9">
        <w:rPr>
          <w:rFonts w:ascii="Georgia" w:hAnsi="Georgia"/>
          <w:b/>
          <w:bCs/>
          <w:sz w:val="22"/>
        </w:rPr>
        <w:t>Ryzykowna klauzula o wykorzystywaniu danych do trenowania (§2.4)</w:t>
      </w:r>
    </w:p>
    <w:p w14:paraId="05B6B137" w14:textId="77777777" w:rsidR="00962516" w:rsidRDefault="00962516" w:rsidP="00962516">
      <w:pPr>
        <w:spacing w:before="120" w:after="120"/>
        <w:jc w:val="both"/>
        <w:rPr>
          <w:rFonts w:ascii="Georgia" w:hAnsi="Georgia"/>
          <w:b/>
          <w:bCs/>
          <w:sz w:val="22"/>
        </w:rPr>
      </w:pPr>
    </w:p>
    <w:p w14:paraId="4CD9FF1A" w14:textId="5F0133E1" w:rsidR="00962516" w:rsidRDefault="00962516" w:rsidP="00962516">
      <w:pPr>
        <w:spacing w:before="120" w:after="120"/>
        <w:ind w:left="708"/>
        <w:jc w:val="both"/>
        <w:rPr>
          <w:rFonts w:ascii="Georgia" w:hAnsi="Georgia"/>
          <w:sz w:val="22"/>
        </w:rPr>
      </w:pPr>
      <w:r>
        <w:rPr>
          <w:rFonts w:ascii="Georgia" w:hAnsi="Georgia"/>
          <w:sz w:val="22"/>
        </w:rPr>
        <w:t xml:space="preserve">Rozwiązanie </w:t>
      </w:r>
      <w:r w:rsidR="00874F6A">
        <w:rPr>
          <w:rFonts w:ascii="Georgia" w:hAnsi="Georgia"/>
          <w:sz w:val="22"/>
        </w:rPr>
        <w:t>„</w:t>
      </w:r>
      <w:proofErr w:type="spellStart"/>
      <w:r w:rsidR="00874F6A">
        <w:rPr>
          <w:rFonts w:ascii="Georgia" w:hAnsi="Georgia"/>
          <w:sz w:val="22"/>
        </w:rPr>
        <w:t>opt</w:t>
      </w:r>
      <w:proofErr w:type="spellEnd"/>
      <w:r w:rsidR="00874F6A">
        <w:rPr>
          <w:rFonts w:ascii="Georgia" w:hAnsi="Georgia"/>
          <w:sz w:val="22"/>
        </w:rPr>
        <w:t xml:space="preserve"> out” jest problematyczne dla organizacji. Wymaga </w:t>
      </w:r>
      <w:r w:rsidR="0016738E">
        <w:rPr>
          <w:rFonts w:ascii="Georgia" w:hAnsi="Georgia"/>
          <w:sz w:val="22"/>
        </w:rPr>
        <w:t>monitorowania. Może być przypadkowo wyłączone.</w:t>
      </w:r>
    </w:p>
    <w:p w14:paraId="558C047F" w14:textId="77777777" w:rsidR="0016738E" w:rsidRPr="00962516" w:rsidRDefault="0016738E" w:rsidP="00962516">
      <w:pPr>
        <w:spacing w:before="120" w:after="120"/>
        <w:ind w:left="708"/>
        <w:jc w:val="both"/>
        <w:rPr>
          <w:rFonts w:ascii="Georgia" w:hAnsi="Georgia"/>
          <w:sz w:val="22"/>
        </w:rPr>
      </w:pPr>
    </w:p>
    <w:p w14:paraId="2F612E0A" w14:textId="32505841" w:rsidR="00B8265D" w:rsidRDefault="00B8265D" w:rsidP="000902EE">
      <w:pPr>
        <w:pStyle w:val="Akapitzlist"/>
        <w:numPr>
          <w:ilvl w:val="0"/>
          <w:numId w:val="11"/>
        </w:numPr>
        <w:spacing w:before="120" w:after="120"/>
        <w:contextualSpacing w:val="0"/>
        <w:jc w:val="both"/>
        <w:rPr>
          <w:rFonts w:ascii="Georgia" w:hAnsi="Georgia"/>
          <w:b/>
          <w:bCs/>
          <w:sz w:val="22"/>
        </w:rPr>
      </w:pPr>
      <w:r>
        <w:rPr>
          <w:rFonts w:ascii="Georgia" w:hAnsi="Georgia"/>
          <w:b/>
          <w:bCs/>
          <w:sz w:val="22"/>
        </w:rPr>
        <w:t>Umowa powierzenia (§4) do weryfikacji. Brak uzasadnienia, że art. 22 RODO jest spełniony. Oceny może dokonać tylko administrator.</w:t>
      </w:r>
    </w:p>
    <w:p w14:paraId="46E125C7" w14:textId="77777777" w:rsidR="00B8265D" w:rsidRDefault="00B8265D" w:rsidP="00B8265D">
      <w:pPr>
        <w:pStyle w:val="Akapitzlist"/>
        <w:spacing w:before="120" w:after="120"/>
        <w:contextualSpacing w:val="0"/>
        <w:jc w:val="both"/>
        <w:rPr>
          <w:rFonts w:ascii="Georgia" w:hAnsi="Georgia"/>
          <w:b/>
          <w:bCs/>
          <w:sz w:val="22"/>
        </w:rPr>
      </w:pPr>
    </w:p>
    <w:p w14:paraId="31116E9A" w14:textId="2526447E" w:rsidR="00E351C6" w:rsidRDefault="00035D99" w:rsidP="000902EE">
      <w:pPr>
        <w:pStyle w:val="Akapitzlist"/>
        <w:numPr>
          <w:ilvl w:val="0"/>
          <w:numId w:val="11"/>
        </w:numPr>
        <w:spacing w:before="120" w:after="120"/>
        <w:contextualSpacing w:val="0"/>
        <w:jc w:val="both"/>
        <w:rPr>
          <w:rFonts w:ascii="Georgia" w:hAnsi="Georgia"/>
          <w:b/>
          <w:bCs/>
          <w:sz w:val="22"/>
        </w:rPr>
      </w:pPr>
      <w:r>
        <w:rPr>
          <w:rFonts w:ascii="Georgia" w:hAnsi="Georgia"/>
          <w:b/>
          <w:bCs/>
          <w:sz w:val="22"/>
        </w:rPr>
        <w:t>Postanowienia dotyczące zawieszenia</w:t>
      </w:r>
    </w:p>
    <w:p w14:paraId="4B7538C3" w14:textId="77777777" w:rsidR="00035D99" w:rsidRPr="00035D99" w:rsidRDefault="00035D99" w:rsidP="00035D99">
      <w:pPr>
        <w:pStyle w:val="Akapitzlist"/>
        <w:rPr>
          <w:rFonts w:ascii="Georgia" w:hAnsi="Georgia"/>
          <w:b/>
          <w:bCs/>
          <w:sz w:val="22"/>
        </w:rPr>
      </w:pPr>
    </w:p>
    <w:p w14:paraId="50F7BF5D" w14:textId="6B3CFECE" w:rsidR="00035D99" w:rsidRPr="002C7A8E" w:rsidRDefault="00035D99" w:rsidP="00035D99">
      <w:pPr>
        <w:pStyle w:val="Akapitzlist"/>
        <w:spacing w:before="120" w:after="120"/>
        <w:contextualSpacing w:val="0"/>
        <w:jc w:val="both"/>
        <w:rPr>
          <w:rFonts w:ascii="Georgia" w:hAnsi="Georgia"/>
          <w:sz w:val="22"/>
        </w:rPr>
      </w:pPr>
      <w:r w:rsidRPr="002C7A8E">
        <w:rPr>
          <w:rFonts w:ascii="Georgia" w:hAnsi="Georgia"/>
          <w:sz w:val="22"/>
        </w:rPr>
        <w:t>Pkt a) jest nieprecyzyjny – warto dodać odesłanie do konkretnych dokumentów zasad</w:t>
      </w:r>
      <w:r w:rsidR="002C7A8E" w:rsidRPr="002C7A8E">
        <w:rPr>
          <w:rFonts w:ascii="Georgia" w:hAnsi="Georgia"/>
          <w:sz w:val="22"/>
        </w:rPr>
        <w:t>.</w:t>
      </w:r>
    </w:p>
    <w:p w14:paraId="04CCEAAF" w14:textId="4E97531E" w:rsidR="00E351C6" w:rsidRPr="001B5AE4" w:rsidRDefault="002C7A8E" w:rsidP="00E351C6">
      <w:pPr>
        <w:pStyle w:val="Akapitzlist"/>
        <w:rPr>
          <w:rFonts w:ascii="Georgia" w:hAnsi="Georgia"/>
          <w:sz w:val="22"/>
        </w:rPr>
      </w:pPr>
      <w:r w:rsidRPr="001B5AE4">
        <w:rPr>
          <w:rFonts w:ascii="Georgia" w:hAnsi="Georgia"/>
          <w:sz w:val="22"/>
        </w:rPr>
        <w:t>Obowiązek uiszczania opłaty licencyjnej</w:t>
      </w:r>
    </w:p>
    <w:p w14:paraId="5F7A71DD" w14:textId="71BE5DCE" w:rsidR="002C7A8E" w:rsidRPr="001B5AE4" w:rsidRDefault="002C7A8E" w:rsidP="00E351C6">
      <w:pPr>
        <w:pStyle w:val="Akapitzlist"/>
        <w:rPr>
          <w:rFonts w:ascii="Georgia" w:hAnsi="Georgia"/>
          <w:sz w:val="22"/>
        </w:rPr>
      </w:pPr>
      <w:r w:rsidRPr="001B5AE4">
        <w:rPr>
          <w:rFonts w:ascii="Georgia" w:hAnsi="Georgia"/>
          <w:sz w:val="22"/>
        </w:rPr>
        <w:t xml:space="preserve">Brak procedury w przypadku żądań organu </w:t>
      </w:r>
      <w:r w:rsidR="001B5AE4" w:rsidRPr="001B5AE4">
        <w:rPr>
          <w:rFonts w:ascii="Georgia" w:hAnsi="Georgia"/>
          <w:sz w:val="22"/>
        </w:rPr>
        <w:t>administracji publicznej</w:t>
      </w:r>
    </w:p>
    <w:p w14:paraId="465DCABF" w14:textId="1B1FE142" w:rsidR="00677CE9" w:rsidRPr="00677CE9" w:rsidRDefault="00677CE9" w:rsidP="000902EE">
      <w:pPr>
        <w:pStyle w:val="Akapitzlist"/>
        <w:numPr>
          <w:ilvl w:val="0"/>
          <w:numId w:val="11"/>
        </w:numPr>
        <w:spacing w:before="120" w:after="120"/>
        <w:contextualSpacing w:val="0"/>
        <w:jc w:val="both"/>
        <w:rPr>
          <w:rFonts w:ascii="Georgia" w:hAnsi="Georgia"/>
          <w:b/>
          <w:bCs/>
          <w:sz w:val="22"/>
        </w:rPr>
      </w:pPr>
      <w:r w:rsidRPr="00677CE9">
        <w:rPr>
          <w:rFonts w:ascii="Georgia" w:hAnsi="Georgia"/>
          <w:b/>
          <w:bCs/>
          <w:sz w:val="22"/>
        </w:rPr>
        <w:t>Niewystarczające postanowienia o odpowiedzialności (§8)</w:t>
      </w:r>
    </w:p>
    <w:p w14:paraId="5539DC3B" w14:textId="2DDCFBCE" w:rsidR="001B5AE4" w:rsidRDefault="00677CE9" w:rsidP="000902EE">
      <w:pPr>
        <w:pStyle w:val="Akapitzlist"/>
        <w:spacing w:before="120" w:after="120"/>
        <w:contextualSpacing w:val="0"/>
        <w:jc w:val="both"/>
        <w:rPr>
          <w:rFonts w:ascii="Georgia" w:hAnsi="Georgia"/>
          <w:sz w:val="22"/>
        </w:rPr>
      </w:pPr>
      <w:r w:rsidRPr="00677CE9">
        <w:rPr>
          <w:rFonts w:ascii="Georgia" w:hAnsi="Georgia"/>
          <w:sz w:val="22"/>
        </w:rPr>
        <w:t>§8.</w:t>
      </w:r>
      <w:r w:rsidR="001B5AE4">
        <w:rPr>
          <w:rFonts w:ascii="Georgia" w:hAnsi="Georgia"/>
          <w:sz w:val="22"/>
        </w:rPr>
        <w:t xml:space="preserve">1 Wyłączenie odpowiedzialności dostawcy w przypadku błędnego działania </w:t>
      </w:r>
      <w:proofErr w:type="spellStart"/>
      <w:r w:rsidR="001B5AE4">
        <w:rPr>
          <w:rFonts w:ascii="Georgia" w:hAnsi="Georgia"/>
          <w:sz w:val="22"/>
        </w:rPr>
        <w:t>ustemu</w:t>
      </w:r>
      <w:proofErr w:type="spellEnd"/>
      <w:r w:rsidR="001B5AE4">
        <w:rPr>
          <w:rFonts w:ascii="Georgia" w:hAnsi="Georgia"/>
          <w:sz w:val="22"/>
        </w:rPr>
        <w:t xml:space="preserve"> (np. z powodu dyskryminacji lub halucynacji). </w:t>
      </w:r>
    </w:p>
    <w:p w14:paraId="1737D755" w14:textId="690ED657" w:rsidR="00677CE9" w:rsidRPr="00677CE9" w:rsidRDefault="004619EA" w:rsidP="000902EE">
      <w:pPr>
        <w:pStyle w:val="Akapitzlist"/>
        <w:spacing w:before="120" w:after="120"/>
        <w:contextualSpacing w:val="0"/>
        <w:jc w:val="both"/>
        <w:rPr>
          <w:rFonts w:ascii="Georgia" w:hAnsi="Georgia"/>
          <w:sz w:val="22"/>
        </w:rPr>
      </w:pPr>
      <w:r w:rsidRPr="00677CE9">
        <w:rPr>
          <w:rFonts w:ascii="Georgia" w:hAnsi="Georgia"/>
          <w:sz w:val="22"/>
        </w:rPr>
        <w:t>§8.</w:t>
      </w:r>
      <w:r>
        <w:rPr>
          <w:rFonts w:ascii="Georgia" w:hAnsi="Georgia"/>
          <w:sz w:val="22"/>
        </w:rPr>
        <w:t xml:space="preserve">4 </w:t>
      </w:r>
      <w:r w:rsidR="00677CE9" w:rsidRPr="00677CE9">
        <w:rPr>
          <w:rFonts w:ascii="Georgia" w:hAnsi="Georgia"/>
          <w:sz w:val="22"/>
        </w:rPr>
        <w:t xml:space="preserve">zawiera klauzulę </w:t>
      </w:r>
      <w:proofErr w:type="spellStart"/>
      <w:r w:rsidR="00677CE9" w:rsidRPr="00677CE9">
        <w:rPr>
          <w:rFonts w:ascii="Georgia" w:hAnsi="Georgia"/>
          <w:sz w:val="22"/>
        </w:rPr>
        <w:t>indemnifikacyjną</w:t>
      </w:r>
      <w:proofErr w:type="spellEnd"/>
      <w:r w:rsidR="00677CE9" w:rsidRPr="00677CE9">
        <w:rPr>
          <w:rFonts w:ascii="Georgia" w:hAnsi="Georgia"/>
          <w:sz w:val="22"/>
        </w:rPr>
        <w:t>, jednak</w:t>
      </w:r>
      <w:r w:rsidR="002373CE">
        <w:rPr>
          <w:rFonts w:ascii="Georgia" w:hAnsi="Georgia"/>
          <w:sz w:val="22"/>
        </w:rPr>
        <w:t xml:space="preserve"> dotyczy Narzędzia, nie </w:t>
      </w:r>
      <w:proofErr w:type="spellStart"/>
      <w:r w:rsidR="002373CE">
        <w:rPr>
          <w:rFonts w:ascii="Georgia" w:hAnsi="Georgia"/>
          <w:sz w:val="22"/>
        </w:rPr>
        <w:t>outputu</w:t>
      </w:r>
      <w:proofErr w:type="spellEnd"/>
    </w:p>
    <w:p w14:paraId="4A8FD702" w14:textId="3822B885" w:rsidR="2853870A" w:rsidRDefault="2853870A" w:rsidP="1563B045">
      <w:pPr>
        <w:pStyle w:val="Akapitzlist"/>
        <w:numPr>
          <w:ilvl w:val="0"/>
          <w:numId w:val="11"/>
        </w:numPr>
        <w:spacing w:before="120" w:after="120"/>
        <w:contextualSpacing w:val="0"/>
        <w:jc w:val="both"/>
        <w:rPr>
          <w:rFonts w:ascii="Georgia" w:hAnsi="Georgia"/>
          <w:b/>
          <w:bCs/>
          <w:sz w:val="22"/>
        </w:rPr>
      </w:pPr>
      <w:r w:rsidRPr="1563B045">
        <w:rPr>
          <w:rFonts w:ascii="Georgia" w:hAnsi="Georgia"/>
          <w:b/>
          <w:bCs/>
          <w:sz w:val="22"/>
        </w:rPr>
        <w:t>Brak zapisu na sąd polubowny (§9)</w:t>
      </w:r>
    </w:p>
    <w:p w14:paraId="1BE03D26" w14:textId="0FE1DF3C" w:rsidR="02F99120" w:rsidRDefault="02F99120" w:rsidP="1563B045">
      <w:pPr>
        <w:pStyle w:val="Akapitzlist"/>
        <w:spacing w:before="120" w:after="120"/>
        <w:contextualSpacing w:val="0"/>
        <w:jc w:val="both"/>
        <w:rPr>
          <w:rFonts w:ascii="Georgia" w:eastAsia="Calibri" w:hAnsi="Georgia" w:cs="Arial"/>
          <w:sz w:val="22"/>
        </w:rPr>
      </w:pPr>
      <w:r w:rsidRPr="1563B045">
        <w:rPr>
          <w:rFonts w:ascii="Georgia" w:eastAsia="Calibri" w:hAnsi="Georgia" w:cs="Arial"/>
          <w:sz w:val="22"/>
        </w:rPr>
        <w:t>W umowach licencyjnych SaaS zapis na polskie sądy powszechne jest nieefektywny ze względu na przewlekłość postępowania (3-5 lat do prawomocnego wyroku) oraz brak specjalizacji sędziów w technologiach cloud i AI. Arbitraż zapewnia rozstrzygnięcie w krótszym czasie, dostęp do arbitrów oraz biegłych prywatnych specjalizujących się w prawie IT. Poufność postępowania arbitrażowego chroni dodatkowo tajemnice przedsiębiorstwa i reputację stron.</w:t>
      </w:r>
    </w:p>
    <w:p w14:paraId="041C17CF" w14:textId="44A23EEF" w:rsidR="1563B045" w:rsidRDefault="1563B045" w:rsidP="1563B045">
      <w:pPr>
        <w:pStyle w:val="Akapitzlist"/>
        <w:spacing w:before="120" w:after="120"/>
        <w:contextualSpacing w:val="0"/>
        <w:jc w:val="both"/>
        <w:rPr>
          <w:rFonts w:ascii="Georgia" w:hAnsi="Georgia"/>
          <w:b/>
          <w:bCs/>
          <w:sz w:val="22"/>
        </w:rPr>
      </w:pPr>
    </w:p>
    <w:p w14:paraId="24EDDF21" w14:textId="7E031BAD" w:rsidR="000902EE" w:rsidRPr="000902EE" w:rsidRDefault="000902EE" w:rsidP="000902EE">
      <w:pPr>
        <w:pStyle w:val="Akapitzlist"/>
        <w:numPr>
          <w:ilvl w:val="0"/>
          <w:numId w:val="11"/>
        </w:numPr>
        <w:spacing w:before="120" w:after="120"/>
        <w:contextualSpacing w:val="0"/>
        <w:jc w:val="both"/>
        <w:rPr>
          <w:rFonts w:ascii="Georgia" w:hAnsi="Georgia"/>
          <w:b/>
          <w:bCs/>
          <w:sz w:val="22"/>
        </w:rPr>
      </w:pPr>
      <w:r>
        <w:rPr>
          <w:rFonts w:ascii="Georgia" w:hAnsi="Georgia"/>
          <w:b/>
          <w:bCs/>
          <w:sz w:val="22"/>
        </w:rPr>
        <w:t>Potencjalne nieuczciwe klauzule (</w:t>
      </w:r>
      <w:r w:rsidRPr="000902EE">
        <w:rPr>
          <w:rFonts w:ascii="Georgia" w:hAnsi="Georgia"/>
          <w:b/>
          <w:bCs/>
          <w:sz w:val="22"/>
        </w:rPr>
        <w:t xml:space="preserve">art. 13 Data </w:t>
      </w:r>
      <w:proofErr w:type="spellStart"/>
      <w:r w:rsidRPr="000902EE">
        <w:rPr>
          <w:rFonts w:ascii="Georgia" w:hAnsi="Georgia"/>
          <w:b/>
          <w:bCs/>
          <w:sz w:val="22"/>
        </w:rPr>
        <w:t>Act</w:t>
      </w:r>
      <w:proofErr w:type="spellEnd"/>
      <w:r w:rsidRPr="000902EE">
        <w:rPr>
          <w:rFonts w:ascii="Georgia" w:hAnsi="Georgia"/>
          <w:b/>
          <w:bCs/>
          <w:sz w:val="22"/>
        </w:rPr>
        <w:t>)</w:t>
      </w:r>
    </w:p>
    <w:p w14:paraId="5495AE9B" w14:textId="72EAED26" w:rsidR="000902EE" w:rsidRPr="000902EE" w:rsidRDefault="00BC47B9" w:rsidP="000902EE">
      <w:pPr>
        <w:pStyle w:val="Akapitzlist"/>
        <w:spacing w:before="120" w:after="120"/>
        <w:contextualSpacing w:val="0"/>
        <w:jc w:val="both"/>
        <w:rPr>
          <w:rFonts w:ascii="Georgia" w:hAnsi="Georgia"/>
          <w:sz w:val="22"/>
        </w:rPr>
      </w:pPr>
      <w:r>
        <w:rPr>
          <w:rFonts w:ascii="Georgia" w:hAnsi="Georgia"/>
          <w:sz w:val="22"/>
        </w:rPr>
        <w:t xml:space="preserve">Brak regulacji dot. praw do danych klienta. Brak regulacji dot. wyjścia z usługi. </w:t>
      </w:r>
      <w:r w:rsidR="000902EE" w:rsidRPr="000902EE">
        <w:rPr>
          <w:rFonts w:ascii="Georgia" w:hAnsi="Georgia"/>
          <w:sz w:val="22"/>
        </w:rPr>
        <w:t xml:space="preserve">Następujące postanowienia mogą zostać uznane za </w:t>
      </w:r>
      <w:r w:rsidR="000902EE">
        <w:rPr>
          <w:rFonts w:ascii="Georgia" w:hAnsi="Georgia"/>
          <w:sz w:val="22"/>
        </w:rPr>
        <w:t>„</w:t>
      </w:r>
      <w:proofErr w:type="spellStart"/>
      <w:r w:rsidR="000902EE" w:rsidRPr="000902EE">
        <w:rPr>
          <w:rFonts w:ascii="Georgia" w:hAnsi="Georgia"/>
          <w:sz w:val="22"/>
        </w:rPr>
        <w:t>unfair</w:t>
      </w:r>
      <w:proofErr w:type="spellEnd"/>
      <w:r w:rsidR="000902EE" w:rsidRPr="000902EE">
        <w:rPr>
          <w:rFonts w:ascii="Georgia" w:hAnsi="Georgia"/>
          <w:sz w:val="22"/>
        </w:rPr>
        <w:t>” i niewiążące:</w:t>
      </w:r>
    </w:p>
    <w:p w14:paraId="0D58644D" w14:textId="77777777" w:rsidR="000902EE" w:rsidRPr="000902EE" w:rsidRDefault="000902EE" w:rsidP="000902EE">
      <w:pPr>
        <w:pStyle w:val="Akapitzlist"/>
        <w:numPr>
          <w:ilvl w:val="0"/>
          <w:numId w:val="16"/>
        </w:numPr>
        <w:spacing w:before="120" w:after="120"/>
        <w:contextualSpacing w:val="0"/>
        <w:jc w:val="both"/>
        <w:rPr>
          <w:rFonts w:ascii="Georgia" w:hAnsi="Georgia"/>
          <w:sz w:val="22"/>
        </w:rPr>
      </w:pPr>
      <w:r w:rsidRPr="000902EE">
        <w:rPr>
          <w:rFonts w:ascii="Georgia" w:hAnsi="Georgia"/>
          <w:sz w:val="22"/>
        </w:rPr>
        <w:t>§2.4 – Wykorzystanie danych do treningu AI</w:t>
      </w:r>
    </w:p>
    <w:p w14:paraId="653D2E8D" w14:textId="77777777" w:rsidR="000902EE" w:rsidRPr="000902EE" w:rsidRDefault="000902EE" w:rsidP="000902EE">
      <w:pPr>
        <w:pStyle w:val="Akapitzlist"/>
        <w:spacing w:before="120" w:after="120"/>
        <w:ind w:left="1440"/>
        <w:contextualSpacing w:val="0"/>
        <w:jc w:val="both"/>
        <w:rPr>
          <w:rFonts w:ascii="Georgia" w:hAnsi="Georgia"/>
          <w:sz w:val="22"/>
        </w:rPr>
      </w:pPr>
      <w:r w:rsidRPr="000902EE">
        <w:rPr>
          <w:rFonts w:ascii="Georgia" w:hAnsi="Georgia"/>
          <w:sz w:val="22"/>
        </w:rPr>
        <w:t>Problem: Domyślna zgoda (</w:t>
      </w:r>
      <w:proofErr w:type="spellStart"/>
      <w:r w:rsidRPr="000902EE">
        <w:rPr>
          <w:rFonts w:ascii="Georgia" w:hAnsi="Georgia"/>
          <w:sz w:val="22"/>
        </w:rPr>
        <w:t>opt</w:t>
      </w:r>
      <w:proofErr w:type="spellEnd"/>
      <w:r w:rsidRPr="000902EE">
        <w:rPr>
          <w:rFonts w:ascii="Georgia" w:hAnsi="Georgia"/>
          <w:sz w:val="22"/>
        </w:rPr>
        <w:t xml:space="preserve">-out) na wykorzystanie danych biznesowych klienta może być uznana za </w:t>
      </w:r>
      <w:proofErr w:type="spellStart"/>
      <w:r w:rsidRPr="000902EE">
        <w:rPr>
          <w:rFonts w:ascii="Georgia" w:hAnsi="Georgia"/>
          <w:sz w:val="22"/>
        </w:rPr>
        <w:t>unfair</w:t>
      </w:r>
      <w:proofErr w:type="spellEnd"/>
      <w:r w:rsidRPr="000902EE">
        <w:rPr>
          <w:rFonts w:ascii="Georgia" w:hAnsi="Georgia"/>
          <w:sz w:val="22"/>
        </w:rPr>
        <w:t xml:space="preserve">. Powinno być </w:t>
      </w:r>
      <w:proofErr w:type="spellStart"/>
      <w:r w:rsidRPr="000902EE">
        <w:rPr>
          <w:rFonts w:ascii="Georgia" w:hAnsi="Georgia"/>
          <w:sz w:val="22"/>
        </w:rPr>
        <w:t>opt</w:t>
      </w:r>
      <w:proofErr w:type="spellEnd"/>
      <w:r w:rsidRPr="000902EE">
        <w:rPr>
          <w:rFonts w:ascii="Georgia" w:hAnsi="Georgia"/>
          <w:sz w:val="22"/>
        </w:rPr>
        <w:t>-in.</w:t>
      </w:r>
    </w:p>
    <w:p w14:paraId="772FB51B" w14:textId="77777777" w:rsidR="000902EE" w:rsidRPr="000902EE" w:rsidRDefault="000902EE" w:rsidP="000902EE">
      <w:pPr>
        <w:pStyle w:val="Akapitzlist"/>
        <w:numPr>
          <w:ilvl w:val="0"/>
          <w:numId w:val="16"/>
        </w:numPr>
        <w:spacing w:before="120" w:after="120"/>
        <w:contextualSpacing w:val="0"/>
        <w:jc w:val="both"/>
        <w:rPr>
          <w:rFonts w:ascii="Georgia" w:hAnsi="Georgia"/>
          <w:sz w:val="22"/>
        </w:rPr>
      </w:pPr>
      <w:r w:rsidRPr="000902EE">
        <w:rPr>
          <w:rFonts w:ascii="Georgia" w:hAnsi="Georgia"/>
          <w:sz w:val="22"/>
        </w:rPr>
        <w:t>§7.3 – Obowiązek płacenia przy zawieszeniu</w:t>
      </w:r>
    </w:p>
    <w:p w14:paraId="4DC9B888" w14:textId="77777777" w:rsidR="000902EE" w:rsidRPr="000902EE" w:rsidRDefault="000902EE" w:rsidP="000902EE">
      <w:pPr>
        <w:pStyle w:val="Akapitzlist"/>
        <w:spacing w:before="120" w:after="120"/>
        <w:ind w:left="1440"/>
        <w:contextualSpacing w:val="0"/>
        <w:jc w:val="both"/>
        <w:rPr>
          <w:rFonts w:ascii="Georgia" w:hAnsi="Georgia"/>
          <w:sz w:val="22"/>
        </w:rPr>
      </w:pPr>
      <w:r w:rsidRPr="000902EE">
        <w:rPr>
          <w:rFonts w:ascii="Georgia" w:hAnsi="Georgia"/>
          <w:sz w:val="22"/>
        </w:rPr>
        <w:t xml:space="preserve">Problem: Nieadekwatne rozszerzenie odpowiedzialności klienta – </w:t>
      </w:r>
      <w:proofErr w:type="spellStart"/>
      <w:r w:rsidRPr="000902EE">
        <w:rPr>
          <w:rFonts w:ascii="Georgia" w:hAnsi="Georgia"/>
          <w:sz w:val="22"/>
        </w:rPr>
        <w:t>unfair</w:t>
      </w:r>
      <w:proofErr w:type="spellEnd"/>
      <w:r w:rsidRPr="000902EE">
        <w:rPr>
          <w:rFonts w:ascii="Georgia" w:hAnsi="Georgia"/>
          <w:sz w:val="22"/>
        </w:rPr>
        <w:t>.</w:t>
      </w:r>
    </w:p>
    <w:p w14:paraId="46552B5A" w14:textId="77777777" w:rsidR="000902EE" w:rsidRPr="000902EE" w:rsidRDefault="000902EE" w:rsidP="000902EE">
      <w:pPr>
        <w:pStyle w:val="Akapitzlist"/>
        <w:numPr>
          <w:ilvl w:val="0"/>
          <w:numId w:val="16"/>
        </w:numPr>
        <w:spacing w:before="120" w:after="120"/>
        <w:contextualSpacing w:val="0"/>
        <w:jc w:val="both"/>
        <w:rPr>
          <w:rFonts w:ascii="Georgia" w:hAnsi="Georgia"/>
          <w:sz w:val="22"/>
        </w:rPr>
      </w:pPr>
      <w:r w:rsidRPr="000902EE">
        <w:rPr>
          <w:rFonts w:ascii="Georgia" w:hAnsi="Georgia"/>
          <w:sz w:val="22"/>
        </w:rPr>
        <w:t>§8.4 – Wyłączność zobowiązania</w:t>
      </w:r>
    </w:p>
    <w:p w14:paraId="0AFD5B7B" w14:textId="77777777" w:rsidR="000902EE" w:rsidRPr="000902EE" w:rsidRDefault="000902EE" w:rsidP="000902EE">
      <w:pPr>
        <w:pStyle w:val="Akapitzlist"/>
        <w:spacing w:before="120" w:after="120"/>
        <w:ind w:left="1440"/>
        <w:contextualSpacing w:val="0"/>
        <w:jc w:val="both"/>
        <w:rPr>
          <w:rFonts w:ascii="Georgia" w:hAnsi="Georgia"/>
          <w:sz w:val="22"/>
        </w:rPr>
      </w:pPr>
      <w:r w:rsidRPr="000902EE">
        <w:rPr>
          <w:rFonts w:ascii="Georgia" w:hAnsi="Georgia"/>
          <w:sz w:val="22"/>
        </w:rPr>
        <w:t xml:space="preserve">Problem: Wyłączenie innych środków ochrony prawnej – </w:t>
      </w:r>
      <w:proofErr w:type="spellStart"/>
      <w:r w:rsidRPr="000902EE">
        <w:rPr>
          <w:rFonts w:ascii="Georgia" w:hAnsi="Georgia"/>
          <w:sz w:val="22"/>
        </w:rPr>
        <w:t>unfair</w:t>
      </w:r>
      <w:proofErr w:type="spellEnd"/>
      <w:r w:rsidRPr="000902EE">
        <w:rPr>
          <w:rFonts w:ascii="Georgia" w:hAnsi="Georgia"/>
          <w:sz w:val="22"/>
        </w:rPr>
        <w:t>.</w:t>
      </w:r>
    </w:p>
    <w:p w14:paraId="1D88BD49" w14:textId="77777777" w:rsidR="000902EE" w:rsidRPr="00677CE9" w:rsidRDefault="000902EE" w:rsidP="000902EE">
      <w:pPr>
        <w:pStyle w:val="Akapitzlist"/>
        <w:spacing w:before="120" w:after="120"/>
        <w:contextualSpacing w:val="0"/>
        <w:jc w:val="both"/>
        <w:rPr>
          <w:rFonts w:ascii="Georgia" w:hAnsi="Georgia"/>
          <w:sz w:val="22"/>
        </w:rPr>
      </w:pPr>
    </w:p>
    <w:sectPr w:rsidR="000902EE" w:rsidRPr="00677CE9" w:rsidSect="00950DB3">
      <w:headerReference w:type="first" r:id="rId10"/>
      <w:pgSz w:w="11906" w:h="16838"/>
      <w:pgMar w:top="1701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0FB07" w14:textId="77777777" w:rsidR="00640E6E" w:rsidRDefault="00640E6E" w:rsidP="00026599">
      <w:r>
        <w:separator/>
      </w:r>
    </w:p>
  </w:endnote>
  <w:endnote w:type="continuationSeparator" w:id="0">
    <w:p w14:paraId="440FB48C" w14:textId="77777777" w:rsidR="00640E6E" w:rsidRDefault="00640E6E" w:rsidP="000265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DA7B8" w14:textId="77777777" w:rsidR="00640E6E" w:rsidRDefault="00640E6E" w:rsidP="00026599">
      <w:r>
        <w:separator/>
      </w:r>
    </w:p>
  </w:footnote>
  <w:footnote w:type="continuationSeparator" w:id="0">
    <w:p w14:paraId="676FC599" w14:textId="77777777" w:rsidR="00640E6E" w:rsidRDefault="00640E6E" w:rsidP="000265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8B7CA" w14:textId="5AD1E14D" w:rsidR="00677CE9" w:rsidRDefault="00677CE9">
    <w:pPr>
      <w:pStyle w:val="Nagwek"/>
    </w:pPr>
    <w:r w:rsidRPr="00677CE9">
      <w:rPr>
        <w:b/>
        <w:bCs/>
      </w:rPr>
      <w:t xml:space="preserve">Zajęcie nr </w:t>
    </w:r>
    <w:r>
      <w:rPr>
        <w:b/>
        <w:bCs/>
      </w:rPr>
      <w:t>4</w:t>
    </w:r>
    <w:r w:rsidRPr="00677CE9">
      <w:rPr>
        <w:b/>
        <w:bCs/>
      </w:rPr>
      <w:t xml:space="preserve"> - Rozpoznanie potrzeb i </w:t>
    </w:r>
    <w:proofErr w:type="spellStart"/>
    <w:r w:rsidRPr="00677CE9">
      <w:rPr>
        <w:b/>
        <w:bCs/>
      </w:rPr>
      <w:t>ryzyk</w:t>
    </w:r>
    <w:proofErr w:type="spellEnd"/>
    <w:r w:rsidRPr="00677CE9">
      <w:rPr>
        <w:b/>
        <w:bCs/>
      </w:rPr>
      <w:t> związanych z AI w organizacji </w:t>
    </w:r>
    <w:r w:rsidRPr="00677CE9">
      <w:t> </w:t>
    </w:r>
  </w:p>
  <w:p w14:paraId="5207D496" w14:textId="7AE7377B" w:rsidR="00677CE9" w:rsidRPr="00677CE9" w:rsidRDefault="00677CE9">
    <w:pPr>
      <w:pStyle w:val="Nagwek"/>
      <w:rPr>
        <w:b/>
        <w:bCs/>
      </w:rPr>
    </w:pPr>
    <w:proofErr w:type="spellStart"/>
    <w:r w:rsidRPr="00677CE9">
      <w:rPr>
        <w:b/>
        <w:bCs/>
      </w:rPr>
      <w:t>Outline</w:t>
    </w:r>
    <w:proofErr w:type="spellEnd"/>
    <w:r w:rsidRPr="00677CE9">
      <w:rPr>
        <w:b/>
        <w:bCs/>
      </w:rPr>
      <w:t xml:space="preserve"> – nie do druku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756EE"/>
    <w:multiLevelType w:val="multilevel"/>
    <w:tmpl w:val="5024F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D58CC"/>
    <w:multiLevelType w:val="multilevel"/>
    <w:tmpl w:val="A148C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BA6D6A"/>
    <w:multiLevelType w:val="multilevel"/>
    <w:tmpl w:val="94EA5F8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7C7878"/>
    <w:multiLevelType w:val="hybridMultilevel"/>
    <w:tmpl w:val="60527EE6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E81FAD"/>
    <w:multiLevelType w:val="multilevel"/>
    <w:tmpl w:val="AF0A9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7133EF"/>
    <w:multiLevelType w:val="multilevel"/>
    <w:tmpl w:val="465C8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E633C9"/>
    <w:multiLevelType w:val="multilevel"/>
    <w:tmpl w:val="A89CD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8C178E"/>
    <w:multiLevelType w:val="hybridMultilevel"/>
    <w:tmpl w:val="58B4896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117FEA"/>
    <w:multiLevelType w:val="multilevel"/>
    <w:tmpl w:val="F6EED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976CF5"/>
    <w:multiLevelType w:val="hybridMultilevel"/>
    <w:tmpl w:val="60527EE6"/>
    <w:lvl w:ilvl="0" w:tplc="04150019">
      <w:start w:val="1"/>
      <w:numFmt w:val="lowerLetter"/>
      <w:lvlText w:val="%1.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0B481E"/>
    <w:multiLevelType w:val="multilevel"/>
    <w:tmpl w:val="B5A64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F52A81"/>
    <w:multiLevelType w:val="hybridMultilevel"/>
    <w:tmpl w:val="60527EE6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6B3B71"/>
    <w:multiLevelType w:val="multilevel"/>
    <w:tmpl w:val="3EE42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5367DF"/>
    <w:multiLevelType w:val="hybridMultilevel"/>
    <w:tmpl w:val="58B4896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230907"/>
    <w:multiLevelType w:val="multilevel"/>
    <w:tmpl w:val="E6CEF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176266"/>
    <w:multiLevelType w:val="hybridMultilevel"/>
    <w:tmpl w:val="60527EE6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2768679">
    <w:abstractNumId w:val="13"/>
  </w:num>
  <w:num w:numId="2" w16cid:durableId="1196038225">
    <w:abstractNumId w:val="0"/>
  </w:num>
  <w:num w:numId="3" w16cid:durableId="2018000724">
    <w:abstractNumId w:val="4"/>
  </w:num>
  <w:num w:numId="4" w16cid:durableId="1126046438">
    <w:abstractNumId w:val="10"/>
  </w:num>
  <w:num w:numId="5" w16cid:durableId="1651323930">
    <w:abstractNumId w:val="6"/>
  </w:num>
  <w:num w:numId="6" w16cid:durableId="1321344548">
    <w:abstractNumId w:val="14"/>
  </w:num>
  <w:num w:numId="7" w16cid:durableId="408890275">
    <w:abstractNumId w:val="12"/>
  </w:num>
  <w:num w:numId="8" w16cid:durableId="2120758415">
    <w:abstractNumId w:val="8"/>
  </w:num>
  <w:num w:numId="9" w16cid:durableId="503209223">
    <w:abstractNumId w:val="1"/>
  </w:num>
  <w:num w:numId="10" w16cid:durableId="851334222">
    <w:abstractNumId w:val="2"/>
  </w:num>
  <w:num w:numId="11" w16cid:durableId="1377701465">
    <w:abstractNumId w:val="7"/>
  </w:num>
  <w:num w:numId="12" w16cid:durableId="933904863">
    <w:abstractNumId w:val="9"/>
  </w:num>
  <w:num w:numId="13" w16cid:durableId="2016415823">
    <w:abstractNumId w:val="3"/>
  </w:num>
  <w:num w:numId="14" w16cid:durableId="1562716772">
    <w:abstractNumId w:val="11"/>
  </w:num>
  <w:num w:numId="15" w16cid:durableId="822233080">
    <w:abstractNumId w:val="5"/>
  </w:num>
  <w:num w:numId="16" w16cid:durableId="77811025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586"/>
    <w:rsid w:val="00003FA5"/>
    <w:rsid w:val="00026599"/>
    <w:rsid w:val="00035D99"/>
    <w:rsid w:val="00041583"/>
    <w:rsid w:val="000902EE"/>
    <w:rsid w:val="00094BB7"/>
    <w:rsid w:val="000A6302"/>
    <w:rsid w:val="000D0DBA"/>
    <w:rsid w:val="000D5274"/>
    <w:rsid w:val="00102375"/>
    <w:rsid w:val="00153168"/>
    <w:rsid w:val="00154EF4"/>
    <w:rsid w:val="0016738E"/>
    <w:rsid w:val="00173C2D"/>
    <w:rsid w:val="001B5AE4"/>
    <w:rsid w:val="002373CE"/>
    <w:rsid w:val="00253599"/>
    <w:rsid w:val="002C7A8E"/>
    <w:rsid w:val="00423497"/>
    <w:rsid w:val="004619EA"/>
    <w:rsid w:val="00465F16"/>
    <w:rsid w:val="004839A6"/>
    <w:rsid w:val="004D7490"/>
    <w:rsid w:val="004E06AE"/>
    <w:rsid w:val="005A667D"/>
    <w:rsid w:val="00640E6E"/>
    <w:rsid w:val="00642BDF"/>
    <w:rsid w:val="00647E33"/>
    <w:rsid w:val="00677CE9"/>
    <w:rsid w:val="00685586"/>
    <w:rsid w:val="006B4B05"/>
    <w:rsid w:val="006D1224"/>
    <w:rsid w:val="00707056"/>
    <w:rsid w:val="0078787B"/>
    <w:rsid w:val="00792FF3"/>
    <w:rsid w:val="007E1131"/>
    <w:rsid w:val="00814C10"/>
    <w:rsid w:val="008439A8"/>
    <w:rsid w:val="00874F6A"/>
    <w:rsid w:val="00875186"/>
    <w:rsid w:val="008936D1"/>
    <w:rsid w:val="00913C94"/>
    <w:rsid w:val="00950DB3"/>
    <w:rsid w:val="00962516"/>
    <w:rsid w:val="00980376"/>
    <w:rsid w:val="0099212A"/>
    <w:rsid w:val="009D43BA"/>
    <w:rsid w:val="00A55274"/>
    <w:rsid w:val="00A56B60"/>
    <w:rsid w:val="00A56BDE"/>
    <w:rsid w:val="00A5766C"/>
    <w:rsid w:val="00AA6476"/>
    <w:rsid w:val="00AC47D9"/>
    <w:rsid w:val="00AF115E"/>
    <w:rsid w:val="00B274EF"/>
    <w:rsid w:val="00B8265D"/>
    <w:rsid w:val="00BC47B9"/>
    <w:rsid w:val="00C93F8C"/>
    <w:rsid w:val="00CA475C"/>
    <w:rsid w:val="00CB1878"/>
    <w:rsid w:val="00CD1146"/>
    <w:rsid w:val="00D252AD"/>
    <w:rsid w:val="00D3619B"/>
    <w:rsid w:val="00D90AE3"/>
    <w:rsid w:val="00DD29B6"/>
    <w:rsid w:val="00E06C38"/>
    <w:rsid w:val="00E351C6"/>
    <w:rsid w:val="00E554FD"/>
    <w:rsid w:val="00F07B52"/>
    <w:rsid w:val="00F37FB4"/>
    <w:rsid w:val="00FB593C"/>
    <w:rsid w:val="00FE4398"/>
    <w:rsid w:val="02F99120"/>
    <w:rsid w:val="1563B045"/>
    <w:rsid w:val="2853870A"/>
    <w:rsid w:val="74B94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9CCA42"/>
  <w15:chartTrackingRefBased/>
  <w15:docId w15:val="{05B3CBC3-D581-43C4-A3EF-F658514E1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99212A"/>
    <w:pPr>
      <w:spacing w:after="0" w:line="240" w:lineRule="auto"/>
    </w:pPr>
    <w:rPr>
      <w:rFonts w:ascii="Times New Roman" w:hAnsi="Times New Roman"/>
      <w:sz w:val="2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855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6855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8558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8558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8558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8558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8558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8558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8558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99212A"/>
    <w:pPr>
      <w:tabs>
        <w:tab w:val="center" w:pos="4536"/>
        <w:tab w:val="right" w:pos="9072"/>
      </w:tabs>
    </w:pPr>
    <w:rPr>
      <w:rFonts w:ascii="Georgia" w:hAnsi="Georgia"/>
      <w:sz w:val="22"/>
    </w:rPr>
  </w:style>
  <w:style w:type="character" w:customStyle="1" w:styleId="NagwekZnak">
    <w:name w:val="Nagłówek Znak"/>
    <w:basedOn w:val="Domylnaczcionkaakapitu"/>
    <w:link w:val="Nagwek"/>
    <w:uiPriority w:val="99"/>
    <w:rsid w:val="0099212A"/>
    <w:rPr>
      <w:rFonts w:ascii="Georgia" w:hAnsi="Georgia"/>
    </w:rPr>
  </w:style>
  <w:style w:type="paragraph" w:styleId="Stopka">
    <w:name w:val="footer"/>
    <w:basedOn w:val="Normalny"/>
    <w:link w:val="StopkaZnak"/>
    <w:uiPriority w:val="99"/>
    <w:unhideWhenUsed/>
    <w:rsid w:val="0099212A"/>
    <w:pPr>
      <w:tabs>
        <w:tab w:val="center" w:pos="4536"/>
        <w:tab w:val="right" w:pos="9072"/>
      </w:tabs>
    </w:pPr>
    <w:rPr>
      <w:rFonts w:ascii="Georgia" w:hAnsi="Georgia"/>
      <w:sz w:val="22"/>
    </w:rPr>
  </w:style>
  <w:style w:type="character" w:customStyle="1" w:styleId="StopkaZnak">
    <w:name w:val="Stopka Znak"/>
    <w:basedOn w:val="Domylnaczcionkaakapitu"/>
    <w:link w:val="Stopka"/>
    <w:uiPriority w:val="99"/>
    <w:rsid w:val="0099212A"/>
    <w:rPr>
      <w:rFonts w:ascii="Georgia" w:hAnsi="Georgia"/>
    </w:rPr>
  </w:style>
  <w:style w:type="paragraph" w:styleId="Zwykytekst">
    <w:name w:val="Plain Text"/>
    <w:basedOn w:val="Normalny"/>
    <w:link w:val="ZwykytekstZnak"/>
    <w:uiPriority w:val="99"/>
    <w:unhideWhenUsed/>
    <w:rsid w:val="00D90AE3"/>
    <w:rPr>
      <w:rFonts w:ascii="Consolas" w:hAnsi="Consolas"/>
      <w:sz w:val="21"/>
      <w:szCs w:val="21"/>
    </w:rPr>
  </w:style>
  <w:style w:type="character" w:customStyle="1" w:styleId="ZwykytekstZnak">
    <w:name w:val="Zwykły tekst Znak"/>
    <w:basedOn w:val="Domylnaczcionkaakapitu"/>
    <w:link w:val="Zwykytekst"/>
    <w:uiPriority w:val="99"/>
    <w:rsid w:val="00D90AE3"/>
    <w:rPr>
      <w:rFonts w:ascii="Consolas" w:hAnsi="Consolas"/>
      <w:sz w:val="21"/>
      <w:szCs w:val="21"/>
    </w:rPr>
  </w:style>
  <w:style w:type="character" w:customStyle="1" w:styleId="Nagwek1Znak">
    <w:name w:val="Nagłówek 1 Znak"/>
    <w:basedOn w:val="Domylnaczcionkaakapitu"/>
    <w:link w:val="Nagwek1"/>
    <w:uiPriority w:val="9"/>
    <w:rsid w:val="0068558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68558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8558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85586"/>
    <w:rPr>
      <w:rFonts w:eastAsiaTheme="majorEastAsia" w:cstheme="majorBidi"/>
      <w:i/>
      <w:iCs/>
      <w:color w:val="365F91" w:themeColor="accent1" w:themeShade="BF"/>
      <w:sz w:val="24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85586"/>
    <w:rPr>
      <w:rFonts w:eastAsiaTheme="majorEastAsia" w:cstheme="majorBidi"/>
      <w:color w:val="365F91" w:themeColor="accent1" w:themeShade="BF"/>
      <w:sz w:val="24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85586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85586"/>
    <w:rPr>
      <w:rFonts w:eastAsiaTheme="majorEastAsia" w:cstheme="majorBidi"/>
      <w:color w:val="595959" w:themeColor="text1" w:themeTint="A6"/>
      <w:sz w:val="24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85586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85586"/>
    <w:rPr>
      <w:rFonts w:eastAsiaTheme="majorEastAsia" w:cstheme="majorBidi"/>
      <w:color w:val="272727" w:themeColor="text1" w:themeTint="D8"/>
      <w:sz w:val="24"/>
    </w:rPr>
  </w:style>
  <w:style w:type="paragraph" w:styleId="Tytu">
    <w:name w:val="Title"/>
    <w:basedOn w:val="Normalny"/>
    <w:next w:val="Normalny"/>
    <w:link w:val="TytuZnak"/>
    <w:uiPriority w:val="10"/>
    <w:qFormat/>
    <w:rsid w:val="006855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855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8558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855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855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85586"/>
    <w:rPr>
      <w:rFonts w:ascii="Times New Roman" w:hAnsi="Times New Roman"/>
      <w:i/>
      <w:iCs/>
      <w:color w:val="404040" w:themeColor="text1" w:themeTint="BF"/>
      <w:sz w:val="24"/>
    </w:rPr>
  </w:style>
  <w:style w:type="paragraph" w:styleId="Akapitzlist">
    <w:name w:val="List Paragraph"/>
    <w:basedOn w:val="Normalny"/>
    <w:uiPriority w:val="34"/>
    <w:qFormat/>
    <w:rsid w:val="00685586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85586"/>
    <w:rPr>
      <w:i/>
      <w:iCs/>
      <w:color w:val="365F9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8558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85586"/>
    <w:rPr>
      <w:rFonts w:ascii="Times New Roman" w:hAnsi="Times New Roman"/>
      <w:i/>
      <w:iCs/>
      <w:color w:val="365F91" w:themeColor="accent1" w:themeShade="BF"/>
      <w:sz w:val="24"/>
    </w:rPr>
  </w:style>
  <w:style w:type="character" w:styleId="Odwoanieintensywne">
    <w:name w:val="Intense Reference"/>
    <w:basedOn w:val="Domylnaczcionkaakapitu"/>
    <w:uiPriority w:val="32"/>
    <w:qFormat/>
    <w:rsid w:val="0068558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491772AD92D8D45BE9A6699E8F07BDF" ma:contentTypeVersion="11" ma:contentTypeDescription="Utwórz nowy dokument." ma:contentTypeScope="" ma:versionID="3ca76552c5fc8d0f033f83b14c4120be">
  <xsd:schema xmlns:xsd="http://www.w3.org/2001/XMLSchema" xmlns:xs="http://www.w3.org/2001/XMLSchema" xmlns:p="http://schemas.microsoft.com/office/2006/metadata/properties" xmlns:ns2="ee278746-6069-43a4-be33-5cefcb70eaa5" xmlns:ns3="168dcb90-2102-42b8-9daa-11c3510e010d" targetNamespace="http://schemas.microsoft.com/office/2006/metadata/properties" ma:root="true" ma:fieldsID="9a3b346362f7cb9142b065c0373fe42c" ns2:_="" ns3:_="">
    <xsd:import namespace="ee278746-6069-43a4-be33-5cefcb70eaa5"/>
    <xsd:import namespace="168dcb90-2102-42b8-9daa-11c3510e010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278746-6069-43a4-be33-5cefcb70ea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Tagi obrazów" ma:readOnly="false" ma:fieldId="{5cf76f15-5ced-4ddc-b409-7134ff3c332f}" ma:taxonomyMulti="true" ma:sspId="5d2333d5-8b4b-4cfa-95dd-27b2bdfed91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8dcb90-2102-42b8-9daa-11c3510e010d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9d4efc0-b2a6-4951-b9bf-7b430f1309d7}" ma:internalName="TaxCatchAll" ma:showField="CatchAllData" ma:web="168dcb90-2102-42b8-9daa-11c3510e01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68dcb90-2102-42b8-9daa-11c3510e010d" xsi:nil="true"/>
    <lcf76f155ced4ddcb4097134ff3c332f xmlns="ee278746-6069-43a4-be33-5cefcb70eaa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97ADED4-8403-4FFD-8170-72142A07ACB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8ABEFE5-2630-4788-857E-83ABEF4CCD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278746-6069-43a4-be33-5cefcb70eaa5"/>
    <ds:schemaRef ds:uri="168dcb90-2102-42b8-9daa-11c3510e01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767728A-772E-4436-AF10-D05547FF8C4B}">
  <ds:schemaRefs>
    <ds:schemaRef ds:uri="http://schemas.microsoft.com/office/2006/metadata/properties"/>
    <ds:schemaRef ds:uri="http://schemas.microsoft.com/office/infopath/2007/PartnerControls"/>
    <ds:schemaRef ds:uri="168dcb90-2102-42b8-9daa-11c3510e010d"/>
    <ds:schemaRef ds:uri="ee278746-6069-43a4-be33-5cefcb70ea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360</Words>
  <Characters>2335</Characters>
  <Application>Microsoft Office Word</Application>
  <DocSecurity>0</DocSecurity>
  <Lines>44</Lines>
  <Paragraphs>30</Paragraphs>
  <ScaleCrop>false</ScaleCrop>
  <Company>SK&amp;S</Company>
  <LinksUpToDate>false</LinksUpToDate>
  <CharactersWithSpaces>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Tujakowska, Anna</dc:creator>
  <cp:keywords/>
  <dc:description/>
  <cp:lastModifiedBy>Szeliga, Agata</cp:lastModifiedBy>
  <cp:revision>24</cp:revision>
  <dcterms:created xsi:type="dcterms:W3CDTF">2026-01-28T13:38:00Z</dcterms:created>
  <dcterms:modified xsi:type="dcterms:W3CDTF">2026-01-28T17:36:00Z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0x010100B491772AD92D8D45BE9A6699E8F07BDF</vt:lpwstr>
  </property>
  <property fmtid="{D5CDD505-2E9C-101B-9397-08002B2CF9AE}" pid="3" name="MSIP_Label_028c4b5d-286d-42b8-8b48-4ab6019e7b6f_Enabled">
    <vt:lpwstr>true</vt:lpwstr>
  </property>
  <property fmtid="{D5CDD505-2E9C-101B-9397-08002B2CF9AE}" pid="4" name="MSIP_Label_028c4b5d-286d-42b8-8b48-4ab6019e7b6f_SetDate">
    <vt:lpwstr>2026-01-28T15:01:46Z</vt:lpwstr>
  </property>
  <property fmtid="{D5CDD505-2E9C-101B-9397-08002B2CF9AE}" pid="5" name="MSIP_Label_028c4b5d-286d-42b8-8b48-4ab6019e7b6f_Method">
    <vt:lpwstr>Standard</vt:lpwstr>
  </property>
  <property fmtid="{D5CDD505-2E9C-101B-9397-08002B2CF9AE}" pid="6" name="MSIP_Label_028c4b5d-286d-42b8-8b48-4ab6019e7b6f_Name">
    <vt:lpwstr>General</vt:lpwstr>
  </property>
  <property fmtid="{D5CDD505-2E9C-101B-9397-08002B2CF9AE}" pid="7" name="MSIP_Label_028c4b5d-286d-42b8-8b48-4ab6019e7b6f_SiteId">
    <vt:lpwstr>c65bd3d6-c3e5-4900-952b-db590ae92917</vt:lpwstr>
  </property>
  <property fmtid="{D5CDD505-2E9C-101B-9397-08002B2CF9AE}" pid="8" name="MSIP_Label_028c4b5d-286d-42b8-8b48-4ab6019e7b6f_ActionId">
    <vt:lpwstr>3325acb3-4a1e-4236-b833-43258ffb0c69</vt:lpwstr>
  </property>
  <property fmtid="{D5CDD505-2E9C-101B-9397-08002B2CF9AE}" pid="9" name="MSIP_Label_028c4b5d-286d-42b8-8b48-4ab6019e7b6f_ContentBits">
    <vt:lpwstr>0</vt:lpwstr>
  </property>
  <property fmtid="{D5CDD505-2E9C-101B-9397-08002B2CF9AE}" pid="10" name="MSIP_Label_028c4b5d-286d-42b8-8b48-4ab6019e7b6f_Tag">
    <vt:lpwstr>10, 3, 0, 1</vt:lpwstr>
  </property>
  <property fmtid="{D5CDD505-2E9C-101B-9397-08002B2CF9AE}" pid="11" name="MediaServiceImageTags">
    <vt:lpwstr/>
  </property>
  <property fmtid="{D5CDD505-2E9C-101B-9397-08002B2CF9AE}" pid="12" name="docLang">
    <vt:lpwstr>pl</vt:lpwstr>
  </property>
</Properties>
</file>