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288" w:lineRule="auto"/>
        <w:jc w:val="both"/>
        <w:rPr>
          <w:rFonts w:hint="eastAsia" w:ascii="宋体" w:hAnsi="宋体"/>
          <w:color w:val="000000"/>
          <w:sz w:val="16"/>
          <w:lang w:val="zh-CN"/>
        </w:rPr>
      </w:pPr>
      <w:r>
        <w:rPr>
          <w:rFonts w:hint="eastAsia" w:ascii="宋体" w:hAnsi="宋体"/>
          <w:color w:val="000000"/>
          <w:sz w:val="16"/>
          <w:lang w:val="zh-CN"/>
        </w:rPr>
        <w:t>1.AP 4个射频模块 分别管理4个方向的设备，时间槽0同时发送4个同步包.</w:t>
      </w:r>
    </w:p>
    <w:p>
      <w:pPr>
        <w:spacing w:beforeLines="0" w:afterLines="0" w:line="288" w:lineRule="auto"/>
        <w:jc w:val="both"/>
        <w:rPr>
          <w:rFonts w:hint="eastAsia" w:ascii="宋体" w:hAnsi="宋体"/>
          <w:color w:val="000000"/>
          <w:sz w:val="16"/>
          <w:lang w:val="zh-CN"/>
        </w:rPr>
      </w:pPr>
      <w:r>
        <w:rPr>
          <w:rFonts w:hint="eastAsia" w:ascii="宋体" w:hAnsi="宋体"/>
          <w:color w:val="000000"/>
          <w:sz w:val="16"/>
          <w:lang w:val="zh-CN"/>
        </w:rPr>
        <w:t>2.</w:t>
      </w:r>
      <w:r>
        <w:rPr>
          <w:rFonts w:hint="eastAsia" w:ascii="宋体" w:hAnsi="宋体"/>
          <w:color w:val="000000"/>
          <w:sz w:val="16"/>
          <w:lang w:val="en-US" w:eastAsia="zh-CN"/>
        </w:rPr>
        <w:t>需要导入的</w:t>
      </w:r>
      <w:r>
        <w:rPr>
          <w:rFonts w:hint="eastAsia" w:ascii="宋体" w:hAnsi="宋体"/>
          <w:color w:val="000000"/>
          <w:sz w:val="16"/>
          <w:lang w:val="zh-CN"/>
        </w:rPr>
        <w:t xml:space="preserve">设备配置信息： </w:t>
      </w:r>
    </w:p>
    <w:tbl>
      <w:tblPr>
        <w:tblStyle w:val="4"/>
        <w:tblpPr w:leftFromText="180" w:rightFromText="180" w:vertAnchor="text" w:horzAnchor="page" w:tblpX="2080" w:tblpY="55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 w:line="288" w:lineRule="auto"/>
              <w:jc w:val="both"/>
              <w:rPr>
                <w:rFonts w:hint="eastAsia" w:ascii="宋体" w:hAnsi="宋体"/>
                <w:color w:val="000000"/>
                <w:sz w:val="16"/>
                <w:vertAlign w:val="baseline"/>
                <w:lang w:val="zh-CN"/>
              </w:rPr>
            </w:pPr>
            <w:r>
              <w:rPr>
                <w:rFonts w:hint="eastAsia"/>
                <w:lang w:val="en-US" w:eastAsia="zh-CN"/>
              </w:rPr>
              <w:t>检测器id</w:t>
            </w:r>
          </w:p>
        </w:tc>
        <w:tc>
          <w:tcPr>
            <w:tcW w:w="2952" w:type="dxa"/>
          </w:tcPr>
          <w:p>
            <w:pPr>
              <w:widowControl w:val="0"/>
              <w:spacing w:beforeLines="0" w:afterLines="0" w:line="288" w:lineRule="auto"/>
              <w:jc w:val="both"/>
              <w:rPr>
                <w:rFonts w:hint="eastAsia" w:ascii="宋体" w:hAnsi="宋体"/>
                <w:color w:val="000000"/>
                <w:sz w:val="16"/>
                <w:vertAlign w:val="baseline"/>
                <w:lang w:val="zh-CN"/>
              </w:rPr>
            </w:pPr>
            <w:r>
              <w:rPr>
                <w:rFonts w:hint="eastAsia"/>
                <w:lang w:val="en-US" w:eastAsia="zh-CN"/>
              </w:rPr>
              <w:t>父RP_id</w:t>
            </w:r>
          </w:p>
        </w:tc>
        <w:tc>
          <w:tcPr>
            <w:tcW w:w="2952" w:type="dxa"/>
          </w:tcPr>
          <w:p>
            <w:pPr>
              <w:widowControl w:val="0"/>
              <w:spacing w:beforeLines="0" w:afterLines="0" w:line="288" w:lineRule="auto"/>
              <w:jc w:val="both"/>
              <w:rPr>
                <w:rFonts w:hint="eastAsia" w:ascii="宋体" w:hAnsi="宋体"/>
                <w:color w:val="000000"/>
                <w:sz w:val="16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 w:line="288" w:lineRule="auto"/>
              <w:jc w:val="both"/>
              <w:rPr>
                <w:rFonts w:hint="eastAsia" w:ascii="宋体" w:hAnsi="宋体"/>
                <w:color w:val="000000"/>
                <w:sz w:val="16"/>
                <w:vertAlign w:val="baseline"/>
                <w:lang w:val="zh-CN"/>
              </w:rPr>
            </w:pPr>
            <w:r>
              <w:rPr>
                <w:rFonts w:hint="eastAsia"/>
                <w:lang w:val="en-US" w:eastAsia="zh-CN"/>
              </w:rPr>
              <w:t>RP_id</w:t>
            </w:r>
          </w:p>
        </w:tc>
        <w:tc>
          <w:tcPr>
            <w:tcW w:w="2952" w:type="dxa"/>
          </w:tcPr>
          <w:p>
            <w:pPr>
              <w:widowControl w:val="0"/>
              <w:spacing w:beforeLines="0" w:afterLines="0" w:line="288" w:lineRule="auto"/>
              <w:jc w:val="both"/>
              <w:rPr>
                <w:rFonts w:hint="eastAsia" w:ascii="宋体" w:hAnsi="宋体"/>
                <w:color w:val="000000"/>
                <w:sz w:val="16"/>
                <w:vertAlign w:val="baseline"/>
                <w:lang w:val="zh-CN"/>
              </w:rPr>
            </w:pPr>
            <w:r>
              <w:rPr>
                <w:rFonts w:hint="eastAsia"/>
                <w:lang w:val="en-US" w:eastAsia="zh-CN"/>
              </w:rPr>
              <w:t>父RP_id</w:t>
            </w:r>
          </w:p>
        </w:tc>
        <w:tc>
          <w:tcPr>
            <w:tcW w:w="2952" w:type="dxa"/>
          </w:tcPr>
          <w:p>
            <w:pPr>
              <w:widowControl w:val="0"/>
              <w:rPr>
                <w:rFonts w:hint="eastAsia" w:ascii="宋体" w:hAnsi="宋体"/>
                <w:color w:val="000000"/>
                <w:sz w:val="16"/>
                <w:vertAlign w:val="baseline"/>
                <w:lang w:val="zh-CN"/>
              </w:rPr>
            </w:pPr>
            <w:r>
              <w:rPr>
                <w:rFonts w:hint="eastAsia"/>
                <w:lang w:val="en-US" w:eastAsia="zh-CN"/>
              </w:rPr>
              <w:t>对应射频编号(0-3)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3.rp和sensor 拥有实际通道和配置通道两个参数，只有入网后 并且收到同步包由配置模式变为正常模式后 ，向AP发送确认信息，收到对应ACK后，将实际通道改为配置通道。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/>
          <w:color w:val="000000"/>
          <w:sz w:val="16"/>
          <w:lang w:val="zh-CN"/>
        </w:rPr>
      </w:pPr>
      <w:r>
        <w:rPr>
          <w:rFonts w:hint="eastAsia" w:ascii="宋体" w:hAnsi="宋体"/>
          <w:color w:val="000000"/>
          <w:sz w:val="16"/>
          <w:lang w:val="en-US" w:eastAsia="zh-CN"/>
        </w:rPr>
        <w:t>AP获取到rp和sensor拓扑图和1级RP所属射频之后，开始分配每个rp和sensor的时间槽，其中RP需要分配起始时间槽和拥有时间槽个数，其中起始时间槽默认为RP的时间槽。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/>
          <w:color w:val="000000"/>
          <w:sz w:val="16"/>
          <w:lang w:val="zh-CN"/>
        </w:rPr>
      </w:pPr>
      <w:r>
        <w:rPr>
          <w:rFonts w:hint="eastAsia" w:ascii="宋体" w:hAnsi="宋体"/>
          <w:color w:val="000000"/>
          <w:sz w:val="16"/>
          <w:lang w:val="en-US" w:eastAsia="zh-CN"/>
        </w:rPr>
        <w:t>如果需要进行路口配置，人工点击进入配置模式。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/>
          <w:color w:val="000000"/>
          <w:sz w:val="16"/>
          <w:lang w:val="zh-CN"/>
        </w:rPr>
      </w:pPr>
      <w:r>
        <w:rPr>
          <w:rFonts w:hint="eastAsia" w:ascii="宋体" w:hAnsi="宋体"/>
          <w:color w:val="000000"/>
          <w:sz w:val="16"/>
          <w:lang w:val="zh-CN"/>
        </w:rPr>
        <w:t>AP发送同步包，</w:t>
      </w:r>
      <w:r>
        <w:rPr>
          <w:rFonts w:hint="eastAsia" w:ascii="宋体" w:hAnsi="宋体"/>
          <w:color w:val="000000"/>
          <w:sz w:val="16"/>
          <w:lang w:val="en-US" w:eastAsia="zh-CN"/>
        </w:rPr>
        <w:t>自带AP_id ，</w:t>
      </w:r>
      <w:r>
        <w:rPr>
          <w:rFonts w:hint="eastAsia" w:ascii="宋体" w:hAnsi="宋体"/>
          <w:color w:val="000000"/>
          <w:sz w:val="16"/>
          <w:lang w:val="zh-CN"/>
        </w:rPr>
        <w:t>每秒轮换一次RP_id，同步包模式为配置模式，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/>
          <w:color w:val="000000"/>
          <w:sz w:val="16"/>
          <w:lang w:val="en-US" w:eastAsia="zh-CN"/>
        </w:rPr>
      </w:pPr>
      <w:r>
        <w:rPr>
          <w:rFonts w:hint="eastAsia" w:ascii="宋体" w:hAnsi="宋体"/>
          <w:color w:val="000000"/>
          <w:sz w:val="16"/>
          <w:lang w:val="en-US" w:eastAsia="zh-CN"/>
        </w:rPr>
        <w:t>RP收到同步包并且带有自己的ID，记录下该AP_id，并且入网，入网后发送状态包，只打开自己拥有的时间槽。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/>
          <w:color w:val="000000"/>
          <w:sz w:val="16"/>
          <w:lang w:val="en-US" w:eastAsia="zh-CN"/>
        </w:rPr>
      </w:pPr>
      <w:r>
        <w:rPr>
          <w:rFonts w:hint="eastAsia" w:ascii="宋体" w:hAnsi="宋体"/>
          <w:color w:val="000000"/>
          <w:sz w:val="16"/>
          <w:lang w:val="en-US" w:eastAsia="zh-CN"/>
        </w:rPr>
        <w:t>收到RP的状态包之后检查 RP的配置通道，起始时间槽 时间槽个数等参数是否和AP配置表相同 不同则启动设置命令。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/>
          <w:color w:val="000000"/>
          <w:sz w:val="16"/>
          <w:lang w:val="en-US" w:eastAsia="zh-CN"/>
        </w:rPr>
      </w:pPr>
      <w:r>
        <w:rPr>
          <w:rFonts w:hint="eastAsia" w:ascii="宋体" w:hAnsi="宋体"/>
          <w:color w:val="000000"/>
          <w:sz w:val="16"/>
          <w:lang w:val="en-US" w:eastAsia="zh-CN"/>
        </w:rPr>
        <w:t>Sensor收到配置同步包可立即入网，并且找到ap或者rp拥有的时间槽发送自己的状态包，状态包包含自己的实际时间槽，配置通道等信息。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/>
          <w:color w:val="000000"/>
          <w:sz w:val="16"/>
          <w:lang w:val="en-US" w:eastAsia="zh-CN"/>
        </w:rPr>
      </w:pPr>
      <w:r>
        <w:rPr>
          <w:rFonts w:hint="eastAsia" w:ascii="宋体" w:hAnsi="宋体"/>
          <w:color w:val="000000"/>
          <w:sz w:val="16"/>
          <w:lang w:val="en-US" w:eastAsia="zh-CN"/>
        </w:rPr>
        <w:t>收到sensor状态包之后，检查sensor 配置通道 实际时间槽是否跟AP配置表相同，不同则启动设置命令。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/>
          <w:color w:val="000000"/>
          <w:sz w:val="16"/>
          <w:lang w:val="en-US" w:eastAsia="zh-CN"/>
        </w:rPr>
      </w:pPr>
      <w:r>
        <w:rPr>
          <w:rFonts w:hint="eastAsia" w:ascii="宋体" w:hAnsi="宋体"/>
          <w:color w:val="000000"/>
          <w:sz w:val="16"/>
          <w:lang w:val="en-US" w:eastAsia="zh-CN"/>
        </w:rPr>
        <w:t>AP统计配置表中的rp和sensor 对比上报参数是否和配置参数相同，如果全部相同则切换同步包为正常模式，收到所有rp和sensor确认之后，如果ap实际通道和配置通道不同，切换为配置通道。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/>
          <w:color w:val="000000"/>
          <w:sz w:val="16"/>
          <w:lang w:val="en-US" w:eastAsia="zh-CN"/>
        </w:rPr>
      </w:pPr>
      <w:r>
        <w:rPr>
          <w:rFonts w:hint="eastAsia" w:ascii="宋体" w:hAnsi="宋体"/>
          <w:color w:val="000000"/>
          <w:sz w:val="16"/>
          <w:lang w:val="en-US" w:eastAsia="zh-CN"/>
        </w:rPr>
        <w:t>RP和sensor收到正常同步包后，必须判断其所拥有的时间槽和自己吻合才能入网。</w:t>
      </w: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  <w:r>
        <w:rPr>
          <w:rFonts w:hint="eastAsia" w:ascii="宋体" w:hAnsi="宋体"/>
          <w:color w:val="000000"/>
          <w:sz w:val="16"/>
          <w:lang w:val="en-US" w:eastAsia="zh-CN"/>
        </w:rPr>
        <w:t>Ap Gprs模块管理方法：</w:t>
      </w:r>
    </w:p>
    <w:p>
      <w:pPr>
        <w:numPr>
          <w:ilvl w:val="0"/>
          <w:numId w:val="2"/>
        </w:numPr>
        <w:jc w:val="both"/>
        <w:rPr>
          <w:rFonts w:hint="eastAsia" w:ascii="宋体" w:hAnsi="宋体"/>
          <w:color w:val="000000"/>
          <w:sz w:val="16"/>
          <w:lang w:val="en-US" w:eastAsia="zh-CN"/>
        </w:rPr>
      </w:pPr>
      <w:r>
        <w:rPr>
          <w:rFonts w:hint="eastAsia" w:ascii="宋体" w:hAnsi="宋体"/>
          <w:color w:val="000000"/>
          <w:sz w:val="16"/>
          <w:lang w:val="en-US" w:eastAsia="zh-CN"/>
        </w:rPr>
        <w:t>Uart空闲中断触发接受一包数据完成标志，将数据写入缓冲区。重置DMA接收。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CFAE"/>
    <w:multiLevelType w:val="singleLevel"/>
    <w:tmpl w:val="591ACFA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624E7"/>
    <w:multiLevelType w:val="singleLevel"/>
    <w:tmpl w:val="593624E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D6A58"/>
    <w:rsid w:val="04B304CC"/>
    <w:rsid w:val="10D87C2E"/>
    <w:rsid w:val="11B153C1"/>
    <w:rsid w:val="11F0575A"/>
    <w:rsid w:val="12EA4B1A"/>
    <w:rsid w:val="31701149"/>
    <w:rsid w:val="46210B58"/>
    <w:rsid w:val="74A07455"/>
    <w:rsid w:val="79B25E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2017-06-06T06:42:34Z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