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F42" w:rsidRPr="000A6DCA" w:rsidRDefault="00317F42" w:rsidP="003B1183">
      <w:pPr>
        <w:pStyle w:val="Titre1"/>
      </w:pPr>
      <w:r w:rsidRPr="000A6DCA">
        <w:t>Abstract</w:t>
      </w:r>
    </w:p>
    <w:p w:rsidR="00524217" w:rsidRPr="000A6DCA" w:rsidRDefault="00CF3484" w:rsidP="003B1183">
      <w:pPr>
        <w:pStyle w:val="Titre1"/>
        <w:numPr>
          <w:ilvl w:val="0"/>
          <w:numId w:val="6"/>
        </w:numPr>
        <w:rPr>
          <w:b/>
        </w:rPr>
      </w:pPr>
      <w:r w:rsidRPr="000A6DCA">
        <w:rPr>
          <w:b/>
        </w:rPr>
        <w:t>Introduction</w:t>
      </w:r>
    </w:p>
    <w:p w:rsidR="00594994" w:rsidRDefault="00776699" w:rsidP="003B1183">
      <w:pPr>
        <w:spacing w:line="480" w:lineRule="auto"/>
        <w:jc w:val="both"/>
        <w:rPr>
          <w:rFonts w:ascii="Arial" w:hAnsi="Arial" w:cs="Arial"/>
          <w:sz w:val="24"/>
          <w:szCs w:val="24"/>
          <w:lang w:val="en-GB"/>
        </w:rPr>
      </w:pPr>
      <w:r>
        <w:rPr>
          <w:rFonts w:ascii="Arial" w:hAnsi="Arial" w:cs="Arial"/>
          <w:sz w:val="24"/>
          <w:szCs w:val="24"/>
          <w:lang w:val="en-GB"/>
        </w:rPr>
        <w:t xml:space="preserve">According to the World Bank, organic waste accounts for approximately 44-46% by mass of total municipal waste production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{"citationID":"BXmsaqtc","properties":{"formattedCitation":"(Kaza et al., 2018)","plainCitation":"(Kaza et al., 2018)","noteIndex":0},"citationItems":[{"id":576,"uris":["http://zotero.org/users/8751290/items/PNJZX2DG"],"itemData":{"id":576,"type":"book","abstract":"By 2050, the world is expected to generate 3.40 billion tons of waste annually, increasing drastically from today’s 2.01 billion tons. What a Waste 2.0: A Global Snapshot of Solid Waste Management to 2050 aggregates extensive solid waste data at the national and urban levels. It estimates and projects waste generation to 2030 and 2050. Beyond the core data metrics from waste generation to disposal, the report provides information on waste management costs, revenues, and tariffs; special wastes; regulations; public communication; administrative and operational models; and the informal sector.","ISBN":"978-1-4648-1329-0","note":"DOI: 10.1596/978-1-4648-1329-0","publisher":"Washington, DC: World Bank","source":"openknowledge.worldbank.org","title":"What a Waste 2.0: A Global Snapshot of Solid Waste Management to 2050","title-short":"What a Waste 2.0","URL":"http://hdl.handle.net/10986/30317","author":[{"family":"Kaza","given":"Silpa"},{"family":"Yao","given":"Lisa C."},{"family":"Bhada-Tata","given":"Perinaz"},{"family":"Van Woerden","given":"Frank"}],"accessed":{"date-parts":[["2023",11,3]]},"issued":{"date-parts":[["2018",9,20]]},"citation-key":"kaza2018"}}],"schema":"https://github.com/citation-style-language/schema/raw/master/csl-citation.json"} </w:instrText>
      </w:r>
      <w:r>
        <w:rPr>
          <w:rFonts w:ascii="Arial" w:hAnsi="Arial" w:cs="Arial"/>
          <w:sz w:val="24"/>
          <w:szCs w:val="24"/>
          <w:lang w:val="en-GB"/>
        </w:rPr>
        <w:fldChar w:fldCharType="separate"/>
      </w:r>
      <w:r w:rsidRPr="00776699">
        <w:rPr>
          <w:rFonts w:ascii="Arial" w:hAnsi="Arial" w:cs="Arial"/>
          <w:sz w:val="24"/>
          <w:lang w:val="en-GB"/>
        </w:rPr>
        <w:t>(</w:t>
      </w:r>
      <w:proofErr w:type="spellStart"/>
      <w:r w:rsidRPr="00776699">
        <w:rPr>
          <w:rFonts w:ascii="Arial" w:hAnsi="Arial" w:cs="Arial"/>
          <w:sz w:val="24"/>
          <w:lang w:val="en-GB"/>
        </w:rPr>
        <w:t>Kaza</w:t>
      </w:r>
      <w:proofErr w:type="spellEnd"/>
      <w:r w:rsidRPr="00776699">
        <w:rPr>
          <w:rFonts w:ascii="Arial" w:hAnsi="Arial" w:cs="Arial"/>
          <w:sz w:val="24"/>
          <w:lang w:val="en-GB"/>
        </w:rPr>
        <w:t xml:space="preserve"> et al., 2018)</w:t>
      </w:r>
      <w:r>
        <w:rPr>
          <w:rFonts w:ascii="Arial" w:hAnsi="Arial" w:cs="Arial"/>
          <w:sz w:val="24"/>
          <w:szCs w:val="24"/>
          <w:lang w:val="en-GB"/>
        </w:rPr>
        <w:fldChar w:fldCharType="end"/>
      </w:r>
      <w:r>
        <w:rPr>
          <w:rFonts w:ascii="Arial" w:hAnsi="Arial" w:cs="Arial"/>
          <w:sz w:val="24"/>
          <w:szCs w:val="24"/>
          <w:lang w:val="en-GB"/>
        </w:rPr>
        <w:t xml:space="preserve">. Managing this fraction remains a key challenge for local decision-makers, especially with regulations evolving toward circular economy. </w:t>
      </w:r>
      <w:r w:rsidR="00CD268B">
        <w:rPr>
          <w:rFonts w:ascii="Arial" w:hAnsi="Arial" w:cs="Arial"/>
          <w:sz w:val="24"/>
          <w:szCs w:val="24"/>
          <w:lang w:val="en-GB"/>
        </w:rPr>
        <w:t>The most</w:t>
      </w:r>
      <w:r w:rsidR="005B5A70">
        <w:rPr>
          <w:rFonts w:ascii="Arial" w:hAnsi="Arial" w:cs="Arial"/>
          <w:sz w:val="24"/>
          <w:szCs w:val="24"/>
          <w:lang w:val="en-GB"/>
        </w:rPr>
        <w:t xml:space="preserve"> widely used technologies for treating biowaste are</w:t>
      </w:r>
      <w:r w:rsidR="00063F3A">
        <w:rPr>
          <w:rFonts w:ascii="Arial" w:hAnsi="Arial" w:cs="Arial"/>
          <w:sz w:val="24"/>
          <w:szCs w:val="24"/>
          <w:lang w:val="en-GB"/>
        </w:rPr>
        <w:t xml:space="preserve"> </w:t>
      </w:r>
      <w:proofErr w:type="spellStart"/>
      <w:r w:rsidR="00063F3A">
        <w:rPr>
          <w:rFonts w:ascii="Arial" w:hAnsi="Arial" w:cs="Arial"/>
          <w:sz w:val="24"/>
          <w:szCs w:val="24"/>
          <w:lang w:val="en-GB"/>
        </w:rPr>
        <w:t>are</w:t>
      </w:r>
      <w:proofErr w:type="spellEnd"/>
      <w:r w:rsidR="00063F3A">
        <w:rPr>
          <w:rFonts w:ascii="Arial" w:hAnsi="Arial" w:cs="Arial"/>
          <w:sz w:val="24"/>
          <w:szCs w:val="24"/>
          <w:lang w:val="en-GB"/>
        </w:rPr>
        <w:t xml:space="preserve"> </w:t>
      </w:r>
      <w:r>
        <w:rPr>
          <w:rFonts w:ascii="Arial" w:hAnsi="Arial" w:cs="Arial"/>
          <w:sz w:val="24"/>
          <w:szCs w:val="24"/>
          <w:lang w:val="en-GB"/>
        </w:rPr>
        <w:t>anaerobic digestion and composting</w:t>
      </w:r>
      <w:r w:rsidR="005B5A70">
        <w:rPr>
          <w:rFonts w:ascii="Arial" w:hAnsi="Arial" w:cs="Arial"/>
          <w:sz w:val="24"/>
          <w:szCs w:val="24"/>
          <w:lang w:val="en-GB"/>
        </w:rPr>
        <w:t xml:space="preserve"> </w:t>
      </w:r>
      <w:r w:rsidR="005B5A70">
        <w:rPr>
          <w:rFonts w:ascii="Arial" w:hAnsi="Arial" w:cs="Arial"/>
          <w:sz w:val="24"/>
          <w:szCs w:val="24"/>
          <w:lang w:val="en-GB"/>
        </w:rPr>
        <w:fldChar w:fldCharType="begin"/>
      </w:r>
      <w:r w:rsidR="005B5A70">
        <w:rPr>
          <w:rFonts w:ascii="Arial" w:hAnsi="Arial" w:cs="Arial"/>
          <w:sz w:val="24"/>
          <w:szCs w:val="24"/>
          <w:lang w:val="en-GB"/>
        </w:rPr>
        <w:instrText xml:space="preserve"> ADDIN ZOTERO_ITEM CSL_CITATION {"citationID":"VdPHvhTg","properties":{"formattedCitation":"(Gilbert and Siebert, 2022)","plainCitation":"(Gilbert and Siebert, 2022)","noteIndex":0},"citationItems":[{"id":734,"uris":["http://zotero.org/users/8751290/items/XUT3T9KE"],"itemData":{"id":734,"type":"report","title":"Compost and digestate for a circular bioeconomy. Overview of Bio-Waste collection, treatmet and markets across Europe","author":[{"family":"Gilbert","given":"Jane"},{"family":"Siebert","given":"Stefanie"}],"issued":{"date-parts":[["2022"]]},"citation-key":"gilbert2022"}}],"schema":"https://github.com/citation-style-language/schema/raw/master/csl-citation.json"} </w:instrText>
      </w:r>
      <w:r w:rsidR="005B5A70">
        <w:rPr>
          <w:rFonts w:ascii="Arial" w:hAnsi="Arial" w:cs="Arial"/>
          <w:sz w:val="24"/>
          <w:szCs w:val="24"/>
          <w:lang w:val="en-GB"/>
        </w:rPr>
        <w:fldChar w:fldCharType="separate"/>
      </w:r>
      <w:r w:rsidR="005B5A70" w:rsidRPr="005B5A70">
        <w:rPr>
          <w:rFonts w:ascii="Arial" w:hAnsi="Arial" w:cs="Arial"/>
          <w:sz w:val="24"/>
          <w:lang w:val="en-GB"/>
        </w:rPr>
        <w:t>(Gilbert and Siebert, 2022)</w:t>
      </w:r>
      <w:r w:rsidR="005B5A70">
        <w:rPr>
          <w:rFonts w:ascii="Arial" w:hAnsi="Arial" w:cs="Arial"/>
          <w:sz w:val="24"/>
          <w:szCs w:val="24"/>
          <w:lang w:val="en-GB"/>
        </w:rPr>
        <w:fldChar w:fldCharType="end"/>
      </w:r>
      <w:r>
        <w:rPr>
          <w:rFonts w:ascii="Arial" w:hAnsi="Arial" w:cs="Arial"/>
          <w:sz w:val="24"/>
          <w:szCs w:val="24"/>
          <w:lang w:val="en-GB"/>
        </w:rPr>
        <w:t xml:space="preserve">. These </w:t>
      </w:r>
      <w:r w:rsidR="00BA1229">
        <w:rPr>
          <w:rFonts w:ascii="Arial" w:hAnsi="Arial" w:cs="Arial"/>
          <w:sz w:val="24"/>
          <w:szCs w:val="24"/>
          <w:lang w:val="en-GB"/>
        </w:rPr>
        <w:t>processes</w:t>
      </w:r>
      <w:r>
        <w:rPr>
          <w:rFonts w:ascii="Arial" w:hAnsi="Arial" w:cs="Arial"/>
          <w:sz w:val="24"/>
          <w:szCs w:val="24"/>
          <w:lang w:val="en-GB"/>
        </w:rPr>
        <w:t xml:space="preserve"> </w:t>
      </w:r>
      <w:r w:rsidR="005B5A70">
        <w:rPr>
          <w:rFonts w:ascii="Arial" w:hAnsi="Arial" w:cs="Arial"/>
          <w:sz w:val="24"/>
          <w:szCs w:val="24"/>
          <w:lang w:val="en-GB"/>
        </w:rPr>
        <w:t xml:space="preserve">may </w:t>
      </w:r>
      <w:r>
        <w:rPr>
          <w:rFonts w:ascii="Arial" w:hAnsi="Arial" w:cs="Arial"/>
          <w:sz w:val="24"/>
          <w:szCs w:val="24"/>
          <w:lang w:val="en-GB"/>
        </w:rPr>
        <w:t xml:space="preserve">have </w:t>
      </w:r>
      <w:r w:rsidR="00BA1229">
        <w:rPr>
          <w:rFonts w:ascii="Arial" w:hAnsi="Arial" w:cs="Arial"/>
          <w:sz w:val="24"/>
          <w:szCs w:val="24"/>
          <w:lang w:val="en-GB"/>
        </w:rPr>
        <w:t>different configurations</w:t>
      </w:r>
      <w:r>
        <w:rPr>
          <w:rFonts w:ascii="Arial" w:hAnsi="Arial" w:cs="Arial"/>
          <w:sz w:val="24"/>
          <w:szCs w:val="24"/>
          <w:lang w:val="en-GB"/>
        </w:rPr>
        <w:t xml:space="preserve">, </w:t>
      </w:r>
      <w:r w:rsidR="00BA1229">
        <w:rPr>
          <w:rFonts w:ascii="Arial" w:hAnsi="Arial" w:cs="Arial"/>
          <w:sz w:val="24"/>
          <w:szCs w:val="24"/>
          <w:lang w:val="en-GB"/>
        </w:rPr>
        <w:t>depending on their scale</w:t>
      </w:r>
      <w:r>
        <w:rPr>
          <w:rFonts w:ascii="Arial" w:hAnsi="Arial" w:cs="Arial"/>
          <w:sz w:val="24"/>
          <w:szCs w:val="24"/>
          <w:lang w:val="en-GB"/>
        </w:rPr>
        <w:t xml:space="preserve"> (for example home </w:t>
      </w:r>
      <w:r w:rsidR="00BA1229">
        <w:rPr>
          <w:rFonts w:ascii="Arial" w:hAnsi="Arial" w:cs="Arial"/>
          <w:sz w:val="24"/>
          <w:szCs w:val="24"/>
          <w:lang w:val="en-GB"/>
        </w:rPr>
        <w:t xml:space="preserve">versus industrial </w:t>
      </w:r>
      <w:r>
        <w:rPr>
          <w:rFonts w:ascii="Arial" w:hAnsi="Arial" w:cs="Arial"/>
          <w:sz w:val="24"/>
          <w:szCs w:val="24"/>
          <w:lang w:val="en-GB"/>
        </w:rPr>
        <w:t xml:space="preserve">composting), </w:t>
      </w:r>
      <w:r w:rsidR="00BA1229">
        <w:rPr>
          <w:rFonts w:ascii="Arial" w:hAnsi="Arial" w:cs="Arial"/>
          <w:sz w:val="24"/>
          <w:szCs w:val="24"/>
          <w:lang w:val="en-GB"/>
        </w:rPr>
        <w:t>as well as on the type of by-products generated</w:t>
      </w:r>
      <w:r>
        <w:rPr>
          <w:rFonts w:ascii="Arial" w:hAnsi="Arial" w:cs="Arial"/>
          <w:sz w:val="24"/>
          <w:szCs w:val="24"/>
          <w:lang w:val="en-GB"/>
        </w:rPr>
        <w:t xml:space="preserve"> (particularly </w:t>
      </w:r>
      <w:r w:rsidR="00BA1229">
        <w:rPr>
          <w:rFonts w:ascii="Arial" w:hAnsi="Arial" w:cs="Arial"/>
          <w:sz w:val="24"/>
          <w:szCs w:val="24"/>
          <w:lang w:val="en-GB"/>
        </w:rPr>
        <w:t>in the case of anaerobic digestion</w:t>
      </w:r>
      <w:r>
        <w:rPr>
          <w:rFonts w:ascii="Arial" w:hAnsi="Arial" w:cs="Arial"/>
          <w:sz w:val="24"/>
          <w:szCs w:val="24"/>
          <w:lang w:val="en-GB"/>
        </w:rPr>
        <w:t>,</w:t>
      </w:r>
      <w:r w:rsidR="00BA1229">
        <w:rPr>
          <w:rFonts w:ascii="Arial" w:hAnsi="Arial" w:cs="Arial"/>
          <w:sz w:val="24"/>
          <w:szCs w:val="24"/>
          <w:lang w:val="en-GB"/>
        </w:rPr>
        <w:t xml:space="preserve"> </w:t>
      </w:r>
      <w:r>
        <w:rPr>
          <w:rFonts w:ascii="Arial" w:hAnsi="Arial" w:cs="Arial"/>
          <w:sz w:val="24"/>
          <w:szCs w:val="24"/>
          <w:lang w:val="en-GB"/>
        </w:rPr>
        <w:t xml:space="preserve">biogas can be converted into electricity, heat, or </w:t>
      </w:r>
      <w:r w:rsidR="00BA1229">
        <w:rPr>
          <w:rFonts w:ascii="Arial" w:hAnsi="Arial" w:cs="Arial"/>
          <w:sz w:val="24"/>
          <w:szCs w:val="24"/>
          <w:lang w:val="en-GB"/>
        </w:rPr>
        <w:t xml:space="preserve">upgraded to </w:t>
      </w:r>
      <w:r>
        <w:rPr>
          <w:rFonts w:ascii="Arial" w:hAnsi="Arial" w:cs="Arial"/>
          <w:sz w:val="24"/>
          <w:szCs w:val="24"/>
          <w:lang w:val="en-GB"/>
        </w:rPr>
        <w:t>biomethane</w:t>
      </w:r>
      <w:r w:rsidR="009033E0">
        <w:rPr>
          <w:rFonts w:ascii="Arial" w:hAnsi="Arial" w:cs="Arial"/>
          <w:sz w:val="24"/>
          <w:szCs w:val="24"/>
          <w:lang w:val="en-GB"/>
        </w:rPr>
        <w:t xml:space="preserve"> </w:t>
      </w:r>
      <w:r w:rsidR="009033E0">
        <w:rPr>
          <w:rFonts w:ascii="Arial" w:hAnsi="Arial" w:cs="Arial"/>
          <w:sz w:val="24"/>
          <w:szCs w:val="24"/>
          <w:lang w:val="en-GB"/>
        </w:rPr>
        <w:fldChar w:fldCharType="begin"/>
      </w:r>
      <w:r w:rsidR="009033E0">
        <w:rPr>
          <w:rFonts w:ascii="Arial" w:hAnsi="Arial" w:cs="Arial"/>
          <w:sz w:val="24"/>
          <w:szCs w:val="24"/>
          <w:lang w:val="en-GB"/>
        </w:rPr>
        <w:instrText xml:space="preserve"> ADDIN ZOTERO_ITEM CSL_CITATION {"citationID":"PhnLJl0p","properties":{"formattedCitation":"(Kapoor et al., 2020)","plainCitation":"(Kapoor et al., 2020)","noteIndex":0},"citationItems":[{"id":480,"uris":["http://zotero.org/users/8751290/items/NAHJGU8R"],"itemData":{"id":480,"type":"article-journal","abstract":"The emission of greenhouse gases and global warming are the major environmental concerns that has affected the normal geochemical cycles and climate conditions on the earth. However, a controlled production, conversion and utilization of these gases for energy generation in day to day activities of human beings can solve the problem of climate change effectively. Biogas has been recognized as a source of renewable energy available to considerably accelerate the socio-economic development. It is a multifaceted fuel containing methane, carbon dioxide and water vapors with multiple utilization options. Biogas can be valorized either directly or indirectly for various applications like the production of value-added chemicals or as a replacement of natural gas. This review article provides an in-depth analysis of various biogas valorization methods (physical, chemical and biological) for its efficient and eco-friendly utilization. The review intends to fill-up the knowledge gap through critically reviewing biogas cleaning and upgrading methods for biomethane and bio-CO2 production for various applications including power plants, transport and value-added chemicals. The review article also highlights the conversion of biogas into fine chemicals and products of commercial importance. Chemical, biological and hybrid systems of biogas utilization are described in detail. The opportunities and impediments associated with the valorization of biogas, biomethane and bio-CO2 have also been discussed. The paper highlights that most of the approaches to the implementation of biogas are in their infancy stage. It also identifies the bottlenecks, policies and future research and developments that are still needed in this relatively emerging field.","container-title":"Journal of Cleaner Production","DOI":"10.1016/j.jclepro.2020.123052","ISSN":"0959-6526","journalAbbreviation":"Journal of Cleaner Production","language":"en","page":"123052","source":"ScienceDirect","title":"Advances in biogas valorization and utilization systems: A comprehensive review","title-short":"Advances in biogas valorization and utilization systems","volume":"273","author":[{"family":"Kapoor","given":"Rimika"},{"family":"Ghosh","given":"Pooja"},{"family":"Tyagi","given":"Bhawna"},{"family":"Vijay","given":"Virendra Kumar"},{"family":"Vijay","given":"Vandit"},{"family":"Thakur","given":"Indu Shekhar"},{"family":"Kamyab","given":"Hesam"},{"family":"Nguyen","given":"Dinh Duc"},{"family":"Kumar","given":"Ashok"}],"issued":{"date-parts":[["2020",11,10]]},"citation-key":"kapoor2020"}}],"schema":"https://github.com/citation-style-language/schema/raw/master/csl-citation.json"} </w:instrText>
      </w:r>
      <w:r w:rsidR="009033E0">
        <w:rPr>
          <w:rFonts w:ascii="Arial" w:hAnsi="Arial" w:cs="Arial"/>
          <w:sz w:val="24"/>
          <w:szCs w:val="24"/>
          <w:lang w:val="en-GB"/>
        </w:rPr>
        <w:fldChar w:fldCharType="separate"/>
      </w:r>
      <w:r w:rsidR="009033E0" w:rsidRPr="00D709B6">
        <w:rPr>
          <w:rFonts w:ascii="Arial" w:hAnsi="Arial" w:cs="Arial"/>
          <w:sz w:val="24"/>
          <w:lang w:val="en-GB"/>
        </w:rPr>
        <w:t>(Kapoor et al., 2020)</w:t>
      </w:r>
      <w:r w:rsidR="009033E0">
        <w:rPr>
          <w:rFonts w:ascii="Arial" w:hAnsi="Arial" w:cs="Arial"/>
          <w:sz w:val="24"/>
          <w:szCs w:val="24"/>
          <w:lang w:val="en-GB"/>
        </w:rPr>
        <w:fldChar w:fldCharType="end"/>
      </w:r>
      <w:r>
        <w:rPr>
          <w:rFonts w:ascii="Arial" w:hAnsi="Arial" w:cs="Arial"/>
          <w:sz w:val="24"/>
          <w:szCs w:val="24"/>
          <w:lang w:val="en-GB"/>
        </w:rPr>
        <w:t>).</w:t>
      </w:r>
      <w:r w:rsidR="00EF2DE0">
        <w:rPr>
          <w:rFonts w:ascii="Arial" w:hAnsi="Arial" w:cs="Arial"/>
          <w:sz w:val="24"/>
          <w:szCs w:val="24"/>
          <w:lang w:val="en-GB"/>
        </w:rPr>
        <w:t xml:space="preserve"> Nevertheless, the choice of an appropriate system should consider multiple factors specific to a territory, in order to ensure its viability</w:t>
      </w:r>
      <w:r w:rsidR="00594994">
        <w:rPr>
          <w:rFonts w:ascii="Arial" w:hAnsi="Arial" w:cs="Arial"/>
          <w:sz w:val="24"/>
          <w:szCs w:val="24"/>
          <w:lang w:val="en-GB"/>
        </w:rPr>
        <w:t xml:space="preserve"> </w:t>
      </w:r>
      <w:r w:rsidR="00594994">
        <w:rPr>
          <w:rFonts w:ascii="Arial" w:hAnsi="Arial" w:cs="Arial"/>
          <w:sz w:val="24"/>
          <w:szCs w:val="24"/>
          <w:lang w:val="en-GB"/>
        </w:rPr>
        <w:fldChar w:fldCharType="begin"/>
      </w:r>
      <w:r w:rsidR="00594994">
        <w:rPr>
          <w:rFonts w:ascii="Arial" w:hAnsi="Arial" w:cs="Arial"/>
          <w:sz w:val="24"/>
          <w:szCs w:val="24"/>
          <w:lang w:val="en-GB"/>
        </w:rPr>
        <w:instrText xml:space="preserve"> ADDIN ZOTERO_ITEM CSL_CITATION {"citationID":"x4YGlSs1","properties":{"formattedCitation":"(Anne et al., 2025)","plainCitation":"(Anne et al., 2025)","noteIndex":0},"citationItems":[{"id":728,"uris":["http://zotero.org/users/8751290/items/RQ2RBXKR"],"itemData":{"id":728,"type":"article-journal","container-title":"Waste and Biomass Valorization","DOI":"10.1007/s12649-024-02841-5","ISSN":"1877-2641, 1877-265X","issue":"6","journalAbbreviation":"Waste Biomass Valor","language":"en","page":"2985-2998","source":"DOI.org (Crossref)","title":"Bio-waste: A Unique and Valuable Resource with Significant Recovery, Prevention and Management Challenges","title-short":"Bio-waste","volume":"16","author":[{"family":"Anne","given":"Tremier"},{"family":"Julia","given":"Barrault"},{"family":"Rémy","given":"Bayard"},{"family":"Sylvaine","given":"Berger"},{"family":"Mathilde","given":"Besson"},{"family":"Manon","given":"Vivière Bevan"},{"family":"Isabelle","given":"Zdanevitch"},{"family":"Etienne","given":"Paul"}],"issued":{"date-parts":[["2025",6]]},"citation-key":"anne2025"}}],"schema":"https://github.com/citation-style-language/schema/raw/master/csl-citation.json"} </w:instrText>
      </w:r>
      <w:r w:rsidR="00594994">
        <w:rPr>
          <w:rFonts w:ascii="Arial" w:hAnsi="Arial" w:cs="Arial"/>
          <w:sz w:val="24"/>
          <w:szCs w:val="24"/>
          <w:lang w:val="en-GB"/>
        </w:rPr>
        <w:fldChar w:fldCharType="separate"/>
      </w:r>
      <w:r w:rsidR="00594994" w:rsidRPr="00594994">
        <w:rPr>
          <w:rFonts w:ascii="Arial" w:hAnsi="Arial" w:cs="Arial"/>
          <w:sz w:val="24"/>
          <w:lang w:val="en-GB"/>
        </w:rPr>
        <w:t>(Anne et al., 2025)</w:t>
      </w:r>
      <w:r w:rsidR="00594994">
        <w:rPr>
          <w:rFonts w:ascii="Arial" w:hAnsi="Arial" w:cs="Arial"/>
          <w:sz w:val="24"/>
          <w:szCs w:val="24"/>
          <w:lang w:val="en-GB"/>
        </w:rPr>
        <w:fldChar w:fldCharType="end"/>
      </w:r>
      <w:r w:rsidR="00EF2DE0">
        <w:rPr>
          <w:rFonts w:ascii="Arial" w:hAnsi="Arial" w:cs="Arial"/>
          <w:sz w:val="24"/>
          <w:szCs w:val="24"/>
          <w:lang w:val="en-GB"/>
        </w:rPr>
        <w:t>.</w:t>
      </w:r>
    </w:p>
    <w:p w:rsidR="00776699" w:rsidRDefault="00594994" w:rsidP="003B1183">
      <w:pPr>
        <w:spacing w:line="480" w:lineRule="auto"/>
        <w:jc w:val="both"/>
        <w:rPr>
          <w:rFonts w:ascii="Arial" w:hAnsi="Arial" w:cs="Arial"/>
          <w:sz w:val="24"/>
          <w:szCs w:val="24"/>
          <w:lang w:val="en-GB"/>
        </w:rPr>
      </w:pPr>
      <w:r>
        <w:rPr>
          <w:rFonts w:ascii="Arial" w:hAnsi="Arial" w:cs="Arial"/>
          <w:sz w:val="24"/>
          <w:szCs w:val="24"/>
          <w:lang w:val="en-GB"/>
        </w:rPr>
        <w:t xml:space="preserve">A key parameter in planning a biowaste management system is the available feedstock, which depends on both the quantity of waste generated and the fraction effectively sorted by citizens.  </w:t>
      </w:r>
      <w:r w:rsidRPr="00594994">
        <w:rPr>
          <w:rFonts w:ascii="Arial" w:hAnsi="Arial" w:cs="Arial"/>
          <w:sz w:val="24"/>
          <w:szCs w:val="24"/>
          <w:lang w:val="en-GB"/>
        </w:rPr>
        <w:t>In Europe, although source separation of biowaste has been mandatory since January 2024, significant disparities remain across countries. For example, the capture rate of food waste exceeds 70% in Italy, while it remains below 5% in Greece</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{"citationID":"RjEpuFs1","properties":{"formattedCitation":"(Favoino and Giavini, 2024)","plainCitation":"(Favoino and Giavini, 2024)","noteIndex":0},"citationItems":[{"id":729,"uris":["http://zotero.org/users/8751290/items/TC6KYDUD"],"itemData":{"id":729,"type":"report","title":"Bio-waste generation in the EU: Current capture levels and future potential","URL":"https://zerowasteeurope.eu/wp-content/uploads/2024/11/Nov24_ZWE-BIC_report_fullreport.pdf","author":[{"family":"Favoino","given":"Enzo"},{"family":"Giavini","given":"Michele"}],"issued":{"date-parts":[["2024"]]},"citation-key":"favoino2024"}}],"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w:t>
      </w:r>
      <w:proofErr w:type="spellStart"/>
      <w:r w:rsidRPr="00594994">
        <w:rPr>
          <w:rFonts w:ascii="Arial" w:hAnsi="Arial" w:cs="Arial"/>
          <w:sz w:val="24"/>
          <w:lang w:val="en-GB"/>
        </w:rPr>
        <w:t>Favoino</w:t>
      </w:r>
      <w:proofErr w:type="spellEnd"/>
      <w:r w:rsidRPr="00594994">
        <w:rPr>
          <w:rFonts w:ascii="Arial" w:hAnsi="Arial" w:cs="Arial"/>
          <w:sz w:val="24"/>
          <w:lang w:val="en-GB"/>
        </w:rPr>
        <w:t xml:space="preserve"> and </w:t>
      </w:r>
      <w:proofErr w:type="spellStart"/>
      <w:r w:rsidRPr="00594994">
        <w:rPr>
          <w:rFonts w:ascii="Arial" w:hAnsi="Arial" w:cs="Arial"/>
          <w:sz w:val="24"/>
          <w:lang w:val="en-GB"/>
        </w:rPr>
        <w:t>Giavini</w:t>
      </w:r>
      <w:proofErr w:type="spellEnd"/>
      <w:r w:rsidRPr="00594994">
        <w:rPr>
          <w:rFonts w:ascii="Arial" w:hAnsi="Arial" w:cs="Arial"/>
          <w:sz w:val="24"/>
          <w:lang w:val="en-GB"/>
        </w:rPr>
        <w:t>, 2024)</w:t>
      </w:r>
      <w:r>
        <w:rPr>
          <w:rFonts w:ascii="Arial" w:hAnsi="Arial" w:cs="Arial"/>
          <w:sz w:val="24"/>
          <w:szCs w:val="24"/>
          <w:lang w:val="en-GB"/>
        </w:rPr>
        <w:fldChar w:fldCharType="end"/>
      </w:r>
      <w:r>
        <w:rPr>
          <w:rFonts w:ascii="Arial" w:hAnsi="Arial" w:cs="Arial"/>
          <w:sz w:val="24"/>
          <w:szCs w:val="24"/>
          <w:lang w:val="en-GB"/>
        </w:rPr>
        <w:t>. Even within the same country, there is v</w:t>
      </w:r>
      <w:r w:rsidRPr="00594994">
        <w:rPr>
          <w:rFonts w:ascii="Arial" w:hAnsi="Arial" w:cs="Arial"/>
          <w:sz w:val="24"/>
          <w:szCs w:val="24"/>
          <w:lang w:val="en-GB"/>
        </w:rPr>
        <w:t xml:space="preserve">ariability </w:t>
      </w:r>
      <w:r>
        <w:rPr>
          <w:rFonts w:ascii="Arial" w:hAnsi="Arial" w:cs="Arial"/>
          <w:sz w:val="24"/>
          <w:szCs w:val="24"/>
          <w:lang w:val="en-GB"/>
        </w:rPr>
        <w:t>from one territory to another</w:t>
      </w:r>
      <w:r w:rsidRPr="00594994">
        <w:rPr>
          <w:rFonts w:ascii="Arial" w:hAnsi="Arial" w:cs="Arial"/>
          <w:sz w:val="24"/>
          <w:szCs w:val="24"/>
          <w:lang w:val="en-GB"/>
        </w:rPr>
        <w:t>. In France, in areas where separate collection systems are implemented, the amount of food waste collected ranged from 20 to 60 kg per capita in 2019</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{"citationID":"nAU4Kb7S","properties":{"formattedCitation":"(Gentric et al., 2022)","plainCitation":"(Gentric et al., 2022)","noteIndex":0},"citationItems":[{"id":730,"uris":["http://zotero.org/users/8751290/items/DZYXBPBP"],"itemData":{"id":730,"type":"report","title":"Évaluation de la généralisation du tri à la source des biodéchets","URL":"https://www.fnade.org/ressources/documents/source/1/4188-Evaluation-de-la-generalisation-du-tri-a-la-source-biodechets.pdf","author":[{"family":"Gentric","given":"Alexandra"},{"family":"MAHE","given":"Chloé"},{"family":"BELLENOUE","given":"Kristina"}],"issued":{"date-parts":[["2022"]]},"citation-key":"gentric2022"}}],"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w:t>
      </w:r>
      <w:proofErr w:type="spellStart"/>
      <w:r w:rsidRPr="00594994">
        <w:rPr>
          <w:rFonts w:ascii="Arial" w:hAnsi="Arial" w:cs="Arial"/>
          <w:sz w:val="24"/>
          <w:lang w:val="en-GB"/>
        </w:rPr>
        <w:t>Gentric</w:t>
      </w:r>
      <w:proofErr w:type="spellEnd"/>
      <w:r w:rsidRPr="00594994">
        <w:rPr>
          <w:rFonts w:ascii="Arial" w:hAnsi="Arial" w:cs="Arial"/>
          <w:sz w:val="24"/>
          <w:lang w:val="en-GB"/>
        </w:rPr>
        <w:t xml:space="preserve"> et al., 2022)</w:t>
      </w:r>
      <w:r>
        <w:rPr>
          <w:rFonts w:ascii="Arial" w:hAnsi="Arial" w:cs="Arial"/>
          <w:sz w:val="24"/>
          <w:szCs w:val="24"/>
          <w:lang w:val="en-GB"/>
        </w:rPr>
        <w:fldChar w:fldCharType="end"/>
      </w:r>
      <w:r w:rsidRPr="00594994">
        <w:rPr>
          <w:rFonts w:ascii="Arial" w:hAnsi="Arial" w:cs="Arial"/>
          <w:sz w:val="24"/>
          <w:szCs w:val="24"/>
          <w:lang w:val="en-GB"/>
        </w:rPr>
        <w:t>. This variability in feedstock availability highlights the challenges associated with selecting and sizing appropriate treatment systems.</w:t>
      </w:r>
    </w:p>
    <w:p w:rsidR="00594994" w:rsidRPr="00C3114E" w:rsidRDefault="00594994" w:rsidP="003B1183">
      <w:pPr>
        <w:spacing w:line="480" w:lineRule="auto"/>
        <w:jc w:val="both"/>
        <w:rPr>
          <w:rFonts w:ascii="Arial" w:hAnsi="Arial" w:cs="Arial"/>
          <w:sz w:val="24"/>
          <w:szCs w:val="24"/>
          <w:lang w:val="en-GB"/>
        </w:rPr>
      </w:pPr>
      <w:r w:rsidRPr="00594994">
        <w:rPr>
          <w:rFonts w:ascii="Arial" w:hAnsi="Arial" w:cs="Arial"/>
          <w:sz w:val="24"/>
          <w:szCs w:val="24"/>
          <w:lang w:val="en-GB"/>
        </w:rPr>
        <w:lastRenderedPageBreak/>
        <w:t xml:space="preserve">Another key issue for municipalities is the </w:t>
      </w:r>
      <w:r w:rsidR="007C4F26">
        <w:rPr>
          <w:rFonts w:ascii="Arial" w:hAnsi="Arial" w:cs="Arial"/>
          <w:sz w:val="24"/>
          <w:szCs w:val="24"/>
          <w:lang w:val="en-GB"/>
        </w:rPr>
        <w:t>level</w:t>
      </w:r>
      <w:r w:rsidRPr="00594994">
        <w:rPr>
          <w:rFonts w:ascii="Arial" w:hAnsi="Arial" w:cs="Arial"/>
          <w:sz w:val="24"/>
          <w:szCs w:val="24"/>
          <w:lang w:val="en-GB"/>
        </w:rPr>
        <w:t xml:space="preserve"> of centralization of the waste management system</w:t>
      </w:r>
      <w:r w:rsidR="007C4F26">
        <w:rPr>
          <w:rFonts w:ascii="Arial" w:hAnsi="Arial" w:cs="Arial"/>
          <w:sz w:val="24"/>
          <w:szCs w:val="24"/>
          <w:lang w:val="en-GB"/>
        </w:rPr>
        <w:t xml:space="preserve"> to be implemented</w:t>
      </w:r>
      <w:r w:rsidRPr="00594994">
        <w:rPr>
          <w:rFonts w:ascii="Arial" w:hAnsi="Arial" w:cs="Arial"/>
          <w:sz w:val="24"/>
          <w:szCs w:val="24"/>
          <w:lang w:val="en-GB"/>
        </w:rPr>
        <w:t xml:space="preserve">. Unlike decentralized solutions such as home composting, centralized systems involve the transport of waste, which generates both environmental and economic costs (Schoefs et al., 2024; Weidner et al., 2020). </w:t>
      </w:r>
      <w:r w:rsidR="007C4F26">
        <w:rPr>
          <w:rFonts w:ascii="Arial" w:hAnsi="Arial" w:cs="Arial"/>
          <w:sz w:val="24"/>
          <w:szCs w:val="24"/>
          <w:lang w:val="en-GB"/>
        </w:rPr>
        <w:t>I</w:t>
      </w:r>
      <w:r w:rsidRPr="00594994">
        <w:rPr>
          <w:rFonts w:ascii="Arial" w:hAnsi="Arial" w:cs="Arial"/>
          <w:sz w:val="24"/>
          <w:szCs w:val="24"/>
          <w:lang w:val="en-GB"/>
        </w:rPr>
        <w:t>n rural areas,</w:t>
      </w:r>
      <w:r w:rsidR="007C4F26">
        <w:rPr>
          <w:rFonts w:ascii="Arial" w:hAnsi="Arial" w:cs="Arial"/>
          <w:sz w:val="24"/>
          <w:szCs w:val="24"/>
          <w:lang w:val="en-GB"/>
        </w:rPr>
        <w:t xml:space="preserve"> the collection distance</w:t>
      </w:r>
      <w:r w:rsidRPr="00594994">
        <w:rPr>
          <w:rFonts w:ascii="Arial" w:hAnsi="Arial" w:cs="Arial"/>
          <w:sz w:val="24"/>
          <w:szCs w:val="24"/>
          <w:lang w:val="en-GB"/>
        </w:rPr>
        <w:t xml:space="preserve"> </w:t>
      </w:r>
      <w:r w:rsidR="007C4F26">
        <w:rPr>
          <w:rFonts w:ascii="Arial" w:hAnsi="Arial" w:cs="Arial"/>
          <w:sz w:val="24"/>
          <w:szCs w:val="24"/>
          <w:lang w:val="en-GB"/>
        </w:rPr>
        <w:t xml:space="preserve">is more pronounced due to </w:t>
      </w:r>
      <w:r w:rsidRPr="00594994">
        <w:rPr>
          <w:rFonts w:ascii="Arial" w:hAnsi="Arial" w:cs="Arial"/>
          <w:sz w:val="24"/>
          <w:szCs w:val="24"/>
          <w:lang w:val="en-GB"/>
        </w:rPr>
        <w:t>dispersed settlements (</w:t>
      </w:r>
      <w:proofErr w:type="spellStart"/>
      <w:r w:rsidRPr="00594994">
        <w:rPr>
          <w:rFonts w:ascii="Arial" w:hAnsi="Arial" w:cs="Arial"/>
          <w:sz w:val="24"/>
          <w:szCs w:val="24"/>
          <w:lang w:val="en-GB"/>
        </w:rPr>
        <w:t>ts</w:t>
      </w:r>
      <w:proofErr w:type="spellEnd"/>
      <w:r w:rsidRPr="00594994">
        <w:rPr>
          <w:rFonts w:ascii="Arial" w:hAnsi="Arial" w:cs="Arial"/>
          <w:sz w:val="24"/>
          <w:szCs w:val="24"/>
          <w:lang w:val="en-GB"/>
        </w:rPr>
        <w:t xml:space="preserve">-admin, 2024). However, centralized systems </w:t>
      </w:r>
      <w:r w:rsidR="007C4F26">
        <w:rPr>
          <w:rFonts w:ascii="Arial" w:hAnsi="Arial" w:cs="Arial"/>
          <w:sz w:val="24"/>
          <w:szCs w:val="24"/>
          <w:lang w:val="en-GB"/>
        </w:rPr>
        <w:t xml:space="preserve">have the advantage of generating higher value co-products </w:t>
      </w:r>
      <w:r w:rsidRPr="00594994">
        <w:rPr>
          <w:rFonts w:ascii="Arial" w:hAnsi="Arial" w:cs="Arial"/>
          <w:sz w:val="24"/>
          <w:szCs w:val="24"/>
          <w:lang w:val="en-GB"/>
        </w:rPr>
        <w:t>(Schoefs et al., 2024). Nevertheless, as highlighted by Anne et al. (2025), the deployment of such technologies ultimately depends on the existence of local outlets for these co-products.</w:t>
      </w:r>
    </w:p>
    <w:p w:rsidR="00403311" w:rsidRPr="00C3114E" w:rsidRDefault="00403311" w:rsidP="003B1183">
      <w:pPr>
        <w:spacing w:line="480" w:lineRule="auto"/>
        <w:jc w:val="both"/>
        <w:rPr>
          <w:rFonts w:ascii="Arial" w:hAnsi="Arial" w:cs="Arial"/>
          <w:sz w:val="24"/>
          <w:szCs w:val="24"/>
          <w:lang w:val="en-GB"/>
        </w:rPr>
      </w:pPr>
      <w:r w:rsidRPr="00C3114E">
        <w:rPr>
          <w:rFonts w:ascii="Arial" w:hAnsi="Arial" w:cs="Arial"/>
          <w:sz w:val="24"/>
          <w:szCs w:val="24"/>
          <w:lang w:val="en-GB"/>
        </w:rPr>
        <w:t>LCA of organic waste management</w:t>
      </w:r>
    </w:p>
    <w:p w:rsidR="00394A82" w:rsidRDefault="00B32ABF" w:rsidP="003B1183">
      <w:pPr>
        <w:spacing w:line="480" w:lineRule="auto"/>
        <w:jc w:val="both"/>
        <w:rPr>
          <w:rFonts w:ascii="Arial" w:hAnsi="Arial" w:cs="Arial"/>
          <w:sz w:val="24"/>
          <w:szCs w:val="24"/>
          <w:lang w:val="en-GB"/>
        </w:rPr>
      </w:pPr>
      <w:r w:rsidRPr="00B32ABF">
        <w:rPr>
          <w:rFonts w:ascii="Arial" w:hAnsi="Arial" w:cs="Arial"/>
          <w:sz w:val="24"/>
          <w:szCs w:val="24"/>
          <w:lang w:val="en-GB"/>
        </w:rPr>
        <w:t>From an environmental perspective, s</w:t>
      </w:r>
      <w:r>
        <w:rPr>
          <w:rFonts w:ascii="Arial" w:hAnsi="Arial" w:cs="Arial"/>
          <w:sz w:val="24"/>
          <w:szCs w:val="24"/>
          <w:lang w:val="en-GB"/>
        </w:rPr>
        <w:t xml:space="preserve">everal Life Cycle Assessment (LCA) studies have been conducted to compare different organic management systems and to attempt to identify the most suitable one. </w:t>
      </w:r>
      <w:r w:rsidRPr="00B32ABF">
        <w:rPr>
          <w:rFonts w:ascii="Arial" w:hAnsi="Arial" w:cs="Arial"/>
          <w:sz w:val="24"/>
          <w:szCs w:val="24"/>
          <w:lang w:val="en-GB"/>
        </w:rPr>
        <w:t xml:space="preserve">These comparisons typically involve an existing scenario and </w:t>
      </w:r>
      <w:r w:rsidR="0094350A">
        <w:rPr>
          <w:rFonts w:ascii="Arial" w:hAnsi="Arial" w:cs="Arial"/>
          <w:sz w:val="24"/>
          <w:szCs w:val="24"/>
          <w:lang w:val="en-GB"/>
        </w:rPr>
        <w:t>one or more</w:t>
      </w:r>
      <w:r>
        <w:rPr>
          <w:rFonts w:ascii="Arial" w:hAnsi="Arial" w:cs="Arial"/>
          <w:sz w:val="24"/>
          <w:szCs w:val="24"/>
          <w:lang w:val="en-GB"/>
        </w:rPr>
        <w:t xml:space="preserve"> alternatives (</w:t>
      </w:r>
      <w:r w:rsidR="005D13E2">
        <w:rPr>
          <w:rFonts w:ascii="Arial" w:hAnsi="Arial" w:cs="Arial"/>
          <w:sz w:val="24"/>
          <w:szCs w:val="24"/>
          <w:lang w:val="en-GB"/>
        </w:rPr>
        <w:fldChar w:fldCharType="begin"/>
      </w:r>
      <w:r w:rsidR="005D13E2">
        <w:rPr>
          <w:rFonts w:ascii="Arial" w:hAnsi="Arial" w:cs="Arial"/>
          <w:sz w:val="24"/>
          <w:szCs w:val="24"/>
          <w:lang w:val="en-GB"/>
        </w:rPr>
        <w:instrText xml:space="preserve"> ADDIN ZOTERO_ITEM CSL_CITATION {"citationID":"bRxgoEk4","properties":{"formattedCitation":"(Angelo et al., 2017; Behrooznia et al., 2020; Liu et al., 2022; Oliveira et al., 2017; Zeller et al., 2020)","plainCitation":"(Angelo et al., 2017; Behrooznia et al., 2020; Liu et al., 2022; Oliveira et al., 2017; Zeller et al., 2020)","noteIndex":0},"citationItems":[{"id":236,"uris":["http://zotero.org/users/8751290/items/AV62WS42"],"itemData":{"id":236,"type":"article-journal","container-title":"Journal of Cleaner Production","DOI":"10.1016/j.jclepro.2016.12.049","ISSN":"09596526","journalAbbreviation":"Journal of Cleaner Production","language":"en","page":"744-756","source":"DOI.org (Crossref)","title":"Life Cycle Assessment and Multi-criteria Decision Analysis: Selection of a strategy for domestic food waste management in Rio de Janeiro","title-short":"Life Cycle Assessment and Multi-criteria Decision Analysis","volume":"143","author":[{"family":"Angelo","given":"Ana Carolina Maia"},{"family":"Saraiva","given":"Anna Bernstad"},{"family":"Clímaco","given":"João Carlos Namorado"},{"family":"Infante","given":"Carlos Eduardo"},{"family":"Valle","given":"Rogerio"}],"issued":{"date-parts":[["2017",2]]},"citation-key":"angelo2017"}},{"id":152,"uris":["http://zotero.org/users/8751290/items/RDNBG7YJ"],"itemData":{"id":152,"type":"article-journal","container-title":"Journal of Cleaner Production","DOI":"10.1016/j.jclepro.2020.122217","ISSN":"09596526","journalAbbreviation":"Journal of Cleaner Production","language":"en","page":"122217","source":"DOI.org (Crossref)","title":"Comparative life cycle environmental impacts of two scenarios for managing an organic fraction of municipal solid waste in Rasht-Iran","volume":"268","author":[{"family":"Behrooznia","given":"Leyla"},{"family":"Sharifi","given":"Mohammad"},{"family":"Hosseinzadeh-Bandbafha","given":"Homa"}],"issued":{"date-parts":[["2020",9]]},"citation-key":"behrooznia2020"}},{"id":121,"uris":["http://zotero.org/users/8751290/items/BD4FID3I"],"itemData":{"id":121,"type":"article-journal","container-title":"Science of The Total Environment","DOI":"10.1016/j.scitotenv.2021.150751","ISSN":"00489697","journalAbbreviation":"Science of The Total Environment","language":"en","page":"150751","source":"DOI.org (Crossref)","title":"Assessment and projection of environmental impacts of food waste treatment in China from life cycle perspectives","volume":"807","author":[{"family":"Liu","given":"Min"},{"family":"Ogunmoroti","given":"Abiodun"},{"family":"Liu","given":"Wei"},{"family":"Li","given":"Muyang"},{"family":"Bi","given":"Mengyan"},{"family":"Liu","given":"Wenqiu"},{"family":"Cui","given":"Zhaojie"}],"issued":{"date-parts":[["2022",2]]},"citation-key":"liu2022"}},{"id":8,"uris":["http://zotero.org/users/8751290/items/U627W4VA"],"itemData":{"id":8,"type":"article-journal","abstract":"The correct disposal of the waste generated by human activities is one of the prevalent challenges that the world faces towards a sustainable development. The lack of suitable sites and the high cost of waste treatment have persuaded many municipalities to implement a policy for integrated waste management, which includes measures such as, source reduction, reuse, recycling, composting and final disposal in landfill. This study examined the alternatives for composting of the organic waste generated in the city of Bauru, in the state of São Paulo, which does not have a composting plant, and analyzed the environmental impacts of seven scenarios: current situation, in which all organic waste is disposed at the landfill; dispatch of the organic waste generated in the city to the closest municipality having a composting plant; construction of a composting plant in Bauru; use of home composting for 10%, 25%, 60% and 90% of organic waste. The method consisted of literature review, data collection among the company responsible for the waste management in the municipality, and the Life Cycle Assessment of the scenarios through the software IWM-2 for the Life Cycle Inventory and Recipe2008 conversion factors for the following impact categories: climate change, ozone depletion, particulate matter formation, and human and freshwater toxicity. The results showed that home composting must be followed by a reduction in the organic waste collection days, in order to have a positive effect in the greenhouse emissions derived from transportation and collection. Also home composting has a greater potential to reduce carbon dioxide equivalent emissions per mass of waste composted in comparison with composting plants. The use of transfer station can have a positive effect on composting plants that are located in other municipalities.","collection-title":"Sustainable Development of Energy, Water and Environmental Systems","container-title":"Journal of Cleaner Production","DOI":"10.1016/j.jclepro.2016.08.093","ISSN":"0959-6526","journalAbbreviation":"Journal of Cleaner Production","language":"en","page":"229-237","source":"ScienceDirect","title":"Environmental analysis of organic waste treatment focusing on composting scenarios","volume":"155","author":[{"family":"Oliveira","given":"Luiza S. B. L."},{"family":"Oliveira","given":"Deborah S. B. L."},{"family":"Bezerra","given":"Barbara Stolte"},{"family":"Silva Pereira","given":"Bárbara"},{"family":"Battistelle","given":"Rosane Aparecida Gomes"}],"issued":{"date-parts":[["2017",7,1]]},"citation-key":"oliveira2017"}},{"id":73,"uris":["http://zotero.org/users/8751290/items/478BDKB5"],"itemData":{"id":73,"type":"article-journal","abstract":"Biomass, biobased materials and food waste are considered priority areas for Europe's transition towards a circular economy (CE). Waste management is a central activity for this transition and offers multiple CE implementation options which should be evaluated from environmental perspective. The purpose of this work was to analyze the environmental consequences when redirecting biowaste flows from conventional to more circular management systems and to identify the CE option with the best environmental performance. We were particularly interested in studying the combined management of green and food waste, analyzing the challenges when introducing separate collection and different treatment processes, and evaluating the substitution potential for by-products. To determine environmental impacts, we performed a life cycle assessment (LCA) based on local data. Following the purpose analyzing a change in the system, we applied a consequential LCA and compared impacts from processes that are replaced with impacts from alternative management options such as co-composting, anaerobic digestion (AD) and decentralized composting. The LCA results show clear advantages for impacts on ecosystems and resource use for the local AD system with separate combined collection. The decentralized system shows </w:instrText>
      </w:r>
      <w:r w:rsidR="005D13E2" w:rsidRPr="005D13E2">
        <w:rPr>
          <w:rFonts w:ascii="Arial" w:hAnsi="Arial" w:cs="Arial"/>
          <w:sz w:val="24"/>
          <w:szCs w:val="24"/>
        </w:rPr>
        <w:instrText xml:space="preserve">reductions in resource use, whereas the industrial co-composting system has higher or similar impacts than the baseline scenario. We conclude that local systems with combined food and green waste management can show benefits if process emissions are properly managed and if by-products are used in applications with high substitution potentials. However, a change towards a CE does not necessarily result in environmental benefits. Our research highlights the complexity of biowaste systems and proposes a novel combination of local data, databases and models to handle this issue. With this research we are further contributing to the understanding of the combined management of food and green waste, which is a relevant, but so far under-researched, management option for cities.","container-title":"Science of The Total Environment","DOI":"10.1016/j.scitotenv.2020.140690","ISSN":"0048-9697","journalAbbreviation":"Science of The Total Environment","language":"en","page":"140690","source":"ScienceDirect","title":"Assessing the environmental performance for more local and more circular biowaste management options at city-region level","volume":"745","author":[{"family":"Zeller","given":"V."},{"family":"Lavigne","given":"C."},{"family":"D'Ans","given":"P."},{"family":"Towa","given":"E."},{"family":"Achten","given":"W. M. J."}],"issued":{"date-parts":[["2020",11,25]]},"citation-key":"zeller2020"}}],"schema":"https://github.com/citation-style-language/schema/raw/master/csl-citation.json"} </w:instrText>
      </w:r>
      <w:r w:rsidR="005D13E2">
        <w:rPr>
          <w:rFonts w:ascii="Arial" w:hAnsi="Arial" w:cs="Arial"/>
          <w:sz w:val="24"/>
          <w:szCs w:val="24"/>
          <w:lang w:val="en-GB"/>
        </w:rPr>
        <w:fldChar w:fldCharType="separate"/>
      </w:r>
      <w:r w:rsidR="005D13E2" w:rsidRPr="005D13E2">
        <w:rPr>
          <w:rFonts w:ascii="Arial" w:hAnsi="Arial" w:cs="Arial"/>
          <w:sz w:val="24"/>
        </w:rPr>
        <w:t xml:space="preserve">(Angelo et al., 2017; </w:t>
      </w:r>
      <w:proofErr w:type="spellStart"/>
      <w:r w:rsidR="005D13E2" w:rsidRPr="005D13E2">
        <w:rPr>
          <w:rFonts w:ascii="Arial" w:hAnsi="Arial" w:cs="Arial"/>
          <w:sz w:val="24"/>
        </w:rPr>
        <w:t>Behrooznia</w:t>
      </w:r>
      <w:proofErr w:type="spellEnd"/>
      <w:r w:rsidR="005D13E2" w:rsidRPr="005D13E2">
        <w:rPr>
          <w:rFonts w:ascii="Arial" w:hAnsi="Arial" w:cs="Arial"/>
          <w:sz w:val="24"/>
        </w:rPr>
        <w:t xml:space="preserve"> et al., 2020; Liu et al., 2022; Oliveira et al., 2017; Zeller et al., 2020)</w:t>
      </w:r>
      <w:r w:rsidR="005D13E2">
        <w:rPr>
          <w:rFonts w:ascii="Arial" w:hAnsi="Arial" w:cs="Arial"/>
          <w:sz w:val="24"/>
          <w:szCs w:val="24"/>
          <w:lang w:val="en-GB"/>
        </w:rPr>
        <w:fldChar w:fldCharType="end"/>
      </w:r>
      <w:r w:rsidRPr="005D13E2">
        <w:rPr>
          <w:rFonts w:ascii="Arial" w:hAnsi="Arial" w:cs="Arial"/>
          <w:sz w:val="24"/>
          <w:szCs w:val="24"/>
        </w:rPr>
        <w:t xml:space="preserve">), or </w:t>
      </w:r>
      <w:r w:rsidR="0094350A" w:rsidRPr="005D13E2">
        <w:rPr>
          <w:rFonts w:ascii="Arial" w:hAnsi="Arial" w:cs="Arial"/>
          <w:sz w:val="24"/>
          <w:szCs w:val="24"/>
        </w:rPr>
        <w:t xml:space="preserve">explore </w:t>
      </w:r>
      <w:r w:rsidRPr="005D13E2">
        <w:rPr>
          <w:rFonts w:ascii="Arial" w:hAnsi="Arial" w:cs="Arial"/>
          <w:sz w:val="24"/>
          <w:szCs w:val="24"/>
        </w:rPr>
        <w:t xml:space="preserve">multiple </w:t>
      </w:r>
      <w:proofErr w:type="spellStart"/>
      <w:r w:rsidRPr="005D13E2">
        <w:rPr>
          <w:rFonts w:ascii="Arial" w:hAnsi="Arial" w:cs="Arial"/>
          <w:sz w:val="24"/>
          <w:szCs w:val="24"/>
        </w:rPr>
        <w:t>hypothetical</w:t>
      </w:r>
      <w:proofErr w:type="spellEnd"/>
      <w:r w:rsidRPr="005D13E2">
        <w:rPr>
          <w:rFonts w:ascii="Arial" w:hAnsi="Arial" w:cs="Arial"/>
          <w:sz w:val="24"/>
          <w:szCs w:val="24"/>
        </w:rPr>
        <w:t xml:space="preserve"> scenarios (</w:t>
      </w:r>
      <w:r w:rsidR="005D13E2">
        <w:rPr>
          <w:rFonts w:ascii="Arial" w:hAnsi="Arial" w:cs="Arial"/>
          <w:sz w:val="24"/>
          <w:szCs w:val="24"/>
        </w:rPr>
        <w:fldChar w:fldCharType="begin"/>
      </w:r>
      <w:r w:rsidR="005D13E2">
        <w:rPr>
          <w:rFonts w:ascii="Arial" w:hAnsi="Arial" w:cs="Arial"/>
          <w:sz w:val="24"/>
          <w:szCs w:val="24"/>
        </w:rPr>
        <w:instrText xml:space="preserve"> ADDIN ZOTERO_ITEM CSL_CITATION {"citationID":"GsfoNSz7","properties":{"formattedCitation":"(Al-Rumaihi et al., 2020; Angouria-Tsorochidou et al., 2022; Ardolino et al., 2018; Ashraf et al., 2025; Bahramian et al., 2025; Weidner et al., 2020)","plainCitation":"(Al-Rumaihi et al., 2020; Angouria-Tsorochidou et al., 2022; Ardolino et al., 2018; Ashraf et al., 2025; Bahramian et al., 2025; Weidner et al., 2020)","noteIndex":0},"citationItems":[{"id":214,"uris":["http://zotero.org/users/8751290/items/R2662GW6"],"itemData":{"id":214,"type":"article-journal","abstract":"Food waste is a significant contributor to greenhouse gas emissions (GHG) and therefore global warming. As such, the management of food waste can play a fundamental role in the reduction of preventable emissions associated with food waste. In this study, life cycle assessment (LCA) has been used to evaluate and compare the environmental impact associated with two composting techniques for treating food waste using SimaPro software; windrow composting and the hybrid anaerobic digestion (AD) method. The study, based on a 1 tonne of food waste as a functional unit for a case study in the State of Qatar, concludes that anaerobic digestion combined composting presents a smaller environmental burden than windrow composting. The majority of the emissions generated are due to the use of fossil fuels during transportation, which correspond to approximately 60% of the total impact, followed by the impact of composting with 40% of the impact especially in terms of global warming potential. Environmental assessment impacts were the highest in windrow composting for the acidification impact category (9.39 × 10 − 1 kg SO2 eq). While for AD combined composting the impact was highest for the human toxicity impact category (3.47 × 10 kg 1,4 − DB eq).","container-title":"Sustainability","DOI":"10.3390/su12041595","ISSN":"2071-1050","issue":"4","language":"en","license":"http://creativecommons.org/licenses/by/3.0/","page":"1595","source":"www.mdpi.com","title":"Environmental Impact Assessment of Food Waste Management Using Two Composting Techniques","volume":"12","author":[{"family":"Al-Rumaihi","given":"Aisha"},{"family":"McKay","given":"Gordon"},{"family":"Mackey","given":"Hamish R."},{"family":"Al-Ansari","given":"Tareq"}],"issued":{"date-parts":[["2020",1]]},"citation-key":"al-rumaihi2020"}},{"id":230,"uris":["http://zotero.org/users/8751290/items/2N7AFRH7"],"itemData":{"id":230,"type":"article-journal","abstract":"The decentralization of waste management argues to support better planning, fair distribution of material and economic resources, and increased citizen participation. This study aims at assessing the environmental and economic performance of a decentralized biowaste management system, using the frameworks of life cycle assessment and net present value analysis. Five scenarios are designed to reflect the transition from an energy-centered biowaste management (scenario 1) towards a novel biorefinery system (scenario 2) and its expansion to a decentralized network (scenarios 3, 4, and 5) of small-scale plants treating urban biowaste. The global warming potential of the energy-centered system is 134 kg CO2 eq, while the biorefinery system offers mitigation of the global warming by -4324 kg CO2 eq t−1 biowaste treated. The decentralized network designed to capture 20% of the urban biowaste generated in Lyon Metropolitan (S5) provides environmental (S5a: -1983 kg CO2 eq, S5b: -1992 kg CO2 eq) and economic (S5a: 491€, S5b: 475€) benefits, especially when collection is performed with electric bikes (S5b) and the bio-products substitute resource and energy intensive equivalents in the market. Collection with electric bikes contributes to a low-carbon economy while significantly increases labor costs. The transition towards a bio-based economy can transform biowaste management into novel cascading biorefineries of multiple high-value products. Resilient and optimized system design can support low carbon economies and increase employment while being economically sustainable.","container-title":"Resources, Conservation and Recycling","DOI":"10.1016/j.resconrec.2021.105898","ISSN":"0921-3449","journalAbbreviation":"Resources, Conservation and Recycling","language":"en","page":"105898","source":"ScienceDirect","title":"Environmental and economic assessment of decentralized bioenergy and biorefinery networks treating urban biowaste","volume":"176","author":[{"family":"Angouria-Tsorochidou","given":"Elisavet"},{"family":"Teigiserova","given":"Dominika Alexa"},{"family":"Thomsen","given":"Marianne"}],"issued":{"date-parts":[["2022",1,1]]},"citation-key":"angouria-tsorochidou2022"}},{"id":22,"uris":["http://zotero.org/users/8751290/items/RN48HHST"],"itemData":{"id":22,"type":"article-journal","abstract":"The study aims to demonstrate the overall environmental sustainability of biomethane production by anaerobic digestion of the separately collected organic fraction of municipal solid waste. There is a great interest in the utilisation of biofuels produced from biowaste in the transport sector, due to the benefits of reduced pollutant emissions and diversified transport fuel supplies. An attributional, process-based life cycle assessment study quantifies and compares the potential environmental impacts of an anaerobic digestion plant, where the produced biogas is upgraded to biomethane for the transport sector instead that directly burned in a combined heat and power unit. The avoided impacts related to the utilisation of biomethane instead of diesel, petrol or natural gas have been evaluated with reference to a vehicle fleet made of passenger cars and small rigid trucks. They appear large enough to make the biomethane production the cleanest option for the management of biowaste. The global warming and non-renewable energy potentials of the Biowaste-to-Biomethane scenario improve of 79% and 36%, respectively, with reference to the Biowaste-to-Energy scenario. A sensitivity analysis evaluates the effect of several key parameters. Some of them are peculiar for the analysed application, such as the composition of the vehicle fleet, specific biomethane consumptions of these vehicles, and methane slip in the biogas upgrading unit. Some other parameters are more general, such as the final destination of solid digestate, gas engine efficiency, national electric energy mix. The results of the analysis provide data and information to policy-makers, planners and operators that would like or have to approach the management of the separately collected organic fraction of municipal solid waste. They also inform on the environmental advantages connected with the utilisation for road transportation of biomethane produced from this waste fraction.","container-title":"Journal of Cleaner Production","DOI":"10.1016/j.jclepro.2017.10.320","ISSN":"0959-6526","journalAbbreviation":"Journal of Cleaner Production","language":"en","page":"462-476","source":"ScienceDirect","title":"Biowaste-to-biomethane or biowaste-to-energy? An LCA study on anaerobic digestion of organic waste","title-short":"Biowaste-to-biomethane or biowaste-to-energy?","volume":"174","author":[{"family":"Ardolino","given":"Filomena"},{"family":"Parrillo","given":"Francesco"},{"family":"Arena","given":"Umberto"}],"issued":{"date-parts":[["2018",2,10]]},"citation-key":"ardolino2018a"}},{"id":711,"uris":["http://zotero.org/users/8751290/items/XKZI4AV9"],"itemData":{"id":711,"type":"article-journal","container-title":"Discover Sustainability","DOI":"10.1007/s43621-025-00923-5","ISSN":"2662-9984","issue":"1","journalAbbreviation":"Discov Sustain","language":"en","page":"138","source":"DOI.org (Crossref)","title":"Environmental life cycle assessments of decentralized municipal solid waste management: a novel waste-to-compost approach","title-short":"Environmental life cycle assessments of decentralized municipal solid waste management","volume":"6","author":[{"family":"Ashraf","given":"Azad Ibn"},{"family":"Mohareb","given":"Eugene"},{"family":"Vahdati","given":"Maria"},{"family":"Abbas","given":"Farhat"}],"issued":{"date-parts":[["2025",2,25]]},"citation-key":"ashraf2025"}},{"id":712,"uris":["http://zotero.org/users/8751290/items/2IJB3CK4"],"itemData":{"id":712,"type":"article-journal","abstract":"Effective management of household food waste (HFW) is essential for sustainability and aligning with Ireland’s waste reduction goals. This study evaluates the environmental and economic impacts of four HFW management scenarios—incineration, anaerobic digestion (AD) with digestate composting, AD with digestate incineration, and AD with digestate gasification—using life cycle assessment (LCA) and life cycle costing (LCC) analyses. The functional unit is 1000 tons of daily HFW treatment. The results show that AD scenarios offer significant environmental advantages over incineration, with AD combined with digestate composting identified as the most sustainable option. This scenario achieves the greatest reduction in greenhouse gas emissions and enhances nutrient recovery. Economically, while AD involves higher capital investments (€677,000–€2,033,000), its long-term cost effectiveness is demonstrated through LCCs ranging from €1,016,000 to €3,386,000, partially offset by revenues of €339,000–€677,000. The sensitivity analysis highlights opportunities for improvement, such as optimizing water use and reducing emissions from biogas engines. The findings provide actionable insights for policymakers, emphasizing the environmental and economic benefits of integrating AD with composting as a preferred strategy for HFW management.","container-title":"Recycling","DOI":"10.3390/recycling10030094","ISSN":"2313-4321","issue":"3","journalAbbreviation":"Recycling","language":"en","page":"94","source":"DOI.org (Crossref)","title":"An Environmental and Economic Assessment of Household Food Waste Management Scenarios in Ireland","volume":"10","author":[{"family":"Bahramian","given":"Majid"},{"family":"Krah","given":"Courage"},{"family":"Hynds","given":"Paul"},{"family":"Priyadarshini","given":"Anushree"}],"issued":{"date-parts":[["2025",5,9]]},"citation-key":"bahramian2025"}},{"id":92,"uris":["http://zotero.org/users/8751290/items/4MVBHPG4"],"itemData":{"id":92,"type":"article-journal","abstract":"The increasing concern with greenhouse gas emissions and nutrients cycling creates a need for cost-effective, practical and environmentally sensible biowaste management strategies. Centralized systems have struggled to comply with those needs. Decentralized systems, treating waste at source, promise local nutrient circularity and increased resource sovereignty. The large-scale performance of decentralized systems remains unclear, especially concerning the local sink capacity to assimilate the treatment products. This study aimed to compare centralized and decentralized systems for the region of Porto and assess whether creating additional urban farms could reduce costs and environmental impacts. Spatial analysis was used to assess waste generation, potential compost bin locations, peri-urban and potential urban farmland available, and collection and transport requirements. The carbon footprint of different scenarios was determined using life-cycle assessment. The results show that local composting led to cost savings over centralized systems. However, this system encompassed positive carbon emissions and most districts evidenced limited sink capacity for compost application. Additional urban farms added significant sink capacity, however, their impact on cost and carbon footprint was insignificant. The carbon footprint of centralized systems was heavily dependent on factors influencing collection such as population density, and affected by the renewable content of the electricity grid. Anaerobic digestion was the most climate-friendly option in the urban center and local composting in remote and less dense districts. Municipalities may benefit from tailoring the treatment systems to specific districts, creating additional jobs while reducing cost and climate impacts overall.","container-title":"Waste Management","DOI":"10.1016/j.wasman.2020.09.013","ISSN":"0956-053X","journalAbbreviation":"Waste Management","language":"en","page":"552-562","source":"ScienceDirect","title":"Comparison of local and centralized biowaste management strategies – A spatially-sensitive approach for the region of Porto","volume":"118","author":[{"family":"Weidner","given":"Till"},{"family":"Graça","given":"João"},{"family":"Machado","given":"Telmo"},{"family":"Yang","given":"Aidong"}],"issued":{"date-parts":[["2020",12,1]]},"citation-key":"weidner2020"}}],"schema":"https://github.com/citation-style-language/schema/raw/master/csl-citation.json"} </w:instrText>
      </w:r>
      <w:r w:rsidR="005D13E2">
        <w:rPr>
          <w:rFonts w:ascii="Arial" w:hAnsi="Arial" w:cs="Arial"/>
          <w:sz w:val="24"/>
          <w:szCs w:val="24"/>
        </w:rPr>
        <w:fldChar w:fldCharType="separate"/>
      </w:r>
      <w:r w:rsidR="005D13E2" w:rsidRPr="005D13E2">
        <w:rPr>
          <w:rFonts w:ascii="Arial" w:hAnsi="Arial" w:cs="Arial"/>
          <w:sz w:val="24"/>
        </w:rPr>
        <w:t>(Al-</w:t>
      </w:r>
      <w:proofErr w:type="spellStart"/>
      <w:r w:rsidR="005D13E2" w:rsidRPr="005D13E2">
        <w:rPr>
          <w:rFonts w:ascii="Arial" w:hAnsi="Arial" w:cs="Arial"/>
          <w:sz w:val="24"/>
        </w:rPr>
        <w:t>Rumaihi</w:t>
      </w:r>
      <w:proofErr w:type="spellEnd"/>
      <w:r w:rsidR="005D13E2" w:rsidRPr="005D13E2">
        <w:rPr>
          <w:rFonts w:ascii="Arial" w:hAnsi="Arial" w:cs="Arial"/>
          <w:sz w:val="24"/>
        </w:rPr>
        <w:t xml:space="preserve"> et al., 2020; </w:t>
      </w:r>
      <w:proofErr w:type="spellStart"/>
      <w:r w:rsidR="005D13E2" w:rsidRPr="005D13E2">
        <w:rPr>
          <w:rFonts w:ascii="Arial" w:hAnsi="Arial" w:cs="Arial"/>
          <w:sz w:val="24"/>
        </w:rPr>
        <w:t>Angouria-Tsorochidou</w:t>
      </w:r>
      <w:proofErr w:type="spellEnd"/>
      <w:r w:rsidR="005D13E2" w:rsidRPr="005D13E2">
        <w:rPr>
          <w:rFonts w:ascii="Arial" w:hAnsi="Arial" w:cs="Arial"/>
          <w:sz w:val="24"/>
        </w:rPr>
        <w:t xml:space="preserve"> et al., 2022; </w:t>
      </w:r>
      <w:proofErr w:type="spellStart"/>
      <w:r w:rsidR="005D13E2" w:rsidRPr="005D13E2">
        <w:rPr>
          <w:rFonts w:ascii="Arial" w:hAnsi="Arial" w:cs="Arial"/>
          <w:sz w:val="24"/>
        </w:rPr>
        <w:t>Ardolino</w:t>
      </w:r>
      <w:proofErr w:type="spellEnd"/>
      <w:r w:rsidR="005D13E2" w:rsidRPr="005D13E2">
        <w:rPr>
          <w:rFonts w:ascii="Arial" w:hAnsi="Arial" w:cs="Arial"/>
          <w:sz w:val="24"/>
        </w:rPr>
        <w:t xml:space="preserve"> et al., 2018; Ashraf et al., 2025; </w:t>
      </w:r>
      <w:proofErr w:type="spellStart"/>
      <w:r w:rsidR="005D13E2" w:rsidRPr="005D13E2">
        <w:rPr>
          <w:rFonts w:ascii="Arial" w:hAnsi="Arial" w:cs="Arial"/>
          <w:sz w:val="24"/>
        </w:rPr>
        <w:t>Bahramian</w:t>
      </w:r>
      <w:proofErr w:type="spellEnd"/>
      <w:r w:rsidR="005D13E2" w:rsidRPr="005D13E2">
        <w:rPr>
          <w:rFonts w:ascii="Arial" w:hAnsi="Arial" w:cs="Arial"/>
          <w:sz w:val="24"/>
        </w:rPr>
        <w:t xml:space="preserve"> et al., 2025; </w:t>
      </w:r>
      <w:proofErr w:type="spellStart"/>
      <w:r w:rsidR="005D13E2" w:rsidRPr="005D13E2">
        <w:rPr>
          <w:rFonts w:ascii="Arial" w:hAnsi="Arial" w:cs="Arial"/>
          <w:sz w:val="24"/>
        </w:rPr>
        <w:t>Weidner</w:t>
      </w:r>
      <w:proofErr w:type="spellEnd"/>
      <w:r w:rsidR="005D13E2" w:rsidRPr="005D13E2">
        <w:rPr>
          <w:rFonts w:ascii="Arial" w:hAnsi="Arial" w:cs="Arial"/>
          <w:sz w:val="24"/>
        </w:rPr>
        <w:t xml:space="preserve"> et al., 2020)</w:t>
      </w:r>
      <w:r w:rsidR="005D13E2">
        <w:rPr>
          <w:rFonts w:ascii="Arial" w:hAnsi="Arial" w:cs="Arial"/>
          <w:sz w:val="24"/>
          <w:szCs w:val="24"/>
        </w:rPr>
        <w:fldChar w:fldCharType="end"/>
      </w:r>
      <w:r w:rsidRPr="005D13E2">
        <w:rPr>
          <w:rFonts w:ascii="Arial" w:hAnsi="Arial" w:cs="Arial"/>
          <w:sz w:val="24"/>
          <w:szCs w:val="24"/>
        </w:rPr>
        <w:t xml:space="preserve">). </w:t>
      </w:r>
      <w:r w:rsidR="0094350A">
        <w:rPr>
          <w:rFonts w:ascii="Arial" w:hAnsi="Arial" w:cs="Arial"/>
          <w:sz w:val="24"/>
          <w:szCs w:val="24"/>
          <w:lang w:val="en-GB"/>
        </w:rPr>
        <w:t>In most cases</w:t>
      </w:r>
      <w:r w:rsidRPr="00B32ABF">
        <w:rPr>
          <w:rFonts w:ascii="Arial" w:hAnsi="Arial" w:cs="Arial"/>
          <w:sz w:val="24"/>
          <w:szCs w:val="24"/>
          <w:lang w:val="en-GB"/>
        </w:rPr>
        <w:t>, a scenario is defined by a single treatment t</w:t>
      </w:r>
      <w:r>
        <w:rPr>
          <w:rFonts w:ascii="Arial" w:hAnsi="Arial" w:cs="Arial"/>
          <w:sz w:val="24"/>
          <w:szCs w:val="24"/>
          <w:lang w:val="en-GB"/>
        </w:rPr>
        <w:t>echnology</w:t>
      </w:r>
      <w:r w:rsidR="00BF0371">
        <w:rPr>
          <w:rFonts w:ascii="Arial" w:hAnsi="Arial" w:cs="Arial"/>
          <w:sz w:val="24"/>
          <w:szCs w:val="24"/>
          <w:lang w:val="en-GB"/>
        </w:rPr>
        <w:t xml:space="preserve">, while </w:t>
      </w:r>
      <w:r w:rsidRPr="0094350A">
        <w:rPr>
          <w:rFonts w:ascii="Arial" w:hAnsi="Arial" w:cs="Arial"/>
          <w:sz w:val="24"/>
          <w:szCs w:val="24"/>
          <w:lang w:val="en-GB"/>
        </w:rPr>
        <w:t xml:space="preserve">environmental </w:t>
      </w:r>
      <w:r w:rsidR="0094350A" w:rsidRPr="0094350A">
        <w:rPr>
          <w:rFonts w:ascii="Arial" w:hAnsi="Arial" w:cs="Arial"/>
          <w:sz w:val="24"/>
          <w:szCs w:val="24"/>
          <w:lang w:val="en-GB"/>
        </w:rPr>
        <w:t xml:space="preserve">performance of </w:t>
      </w:r>
      <w:r w:rsidR="00BF0371">
        <w:rPr>
          <w:rFonts w:ascii="Arial" w:hAnsi="Arial" w:cs="Arial"/>
          <w:sz w:val="24"/>
          <w:szCs w:val="24"/>
          <w:lang w:val="en-GB"/>
        </w:rPr>
        <w:t>hybrid systems</w:t>
      </w:r>
      <w:r w:rsidR="0094350A" w:rsidRPr="0094350A">
        <w:rPr>
          <w:rFonts w:ascii="Arial" w:hAnsi="Arial" w:cs="Arial"/>
          <w:sz w:val="24"/>
          <w:szCs w:val="24"/>
          <w:lang w:val="en-GB"/>
        </w:rPr>
        <w:t xml:space="preserve"> is </w:t>
      </w:r>
      <w:r w:rsidR="00BF0371">
        <w:rPr>
          <w:rFonts w:ascii="Arial" w:hAnsi="Arial" w:cs="Arial"/>
          <w:sz w:val="24"/>
          <w:szCs w:val="24"/>
          <w:lang w:val="en-GB"/>
        </w:rPr>
        <w:t>rarely assessed</w:t>
      </w:r>
      <w:r w:rsidR="0094350A">
        <w:rPr>
          <w:rFonts w:ascii="Arial" w:hAnsi="Arial" w:cs="Arial"/>
          <w:sz w:val="24"/>
          <w:szCs w:val="24"/>
          <w:lang w:val="en-GB"/>
        </w:rPr>
        <w:t xml:space="preserve">. </w:t>
      </w:r>
      <w:r w:rsidR="0094350A" w:rsidRPr="0094350A">
        <w:rPr>
          <w:rFonts w:ascii="Arial" w:hAnsi="Arial" w:cs="Arial"/>
          <w:sz w:val="24"/>
          <w:szCs w:val="24"/>
          <w:lang w:val="en-GB"/>
        </w:rPr>
        <w:t>In practice, c</w:t>
      </w:r>
      <w:r w:rsidR="00BF0371">
        <w:rPr>
          <w:rFonts w:ascii="Arial" w:hAnsi="Arial" w:cs="Arial"/>
          <w:sz w:val="24"/>
          <w:szCs w:val="24"/>
          <w:lang w:val="en-GB"/>
        </w:rPr>
        <w:t>onventional</w:t>
      </w:r>
      <w:r w:rsidR="0094350A" w:rsidRPr="0094350A">
        <w:rPr>
          <w:rFonts w:ascii="Arial" w:hAnsi="Arial" w:cs="Arial"/>
          <w:sz w:val="24"/>
          <w:szCs w:val="24"/>
          <w:lang w:val="en-GB"/>
        </w:rPr>
        <w:t xml:space="preserve"> comparative LCA </w:t>
      </w:r>
      <w:r w:rsidR="00BF0371">
        <w:rPr>
          <w:rFonts w:ascii="Arial" w:hAnsi="Arial" w:cs="Arial"/>
          <w:sz w:val="24"/>
          <w:szCs w:val="24"/>
          <w:lang w:val="en-GB"/>
        </w:rPr>
        <w:t xml:space="preserve">approaches remain limited in their ability to </w:t>
      </w:r>
      <w:r w:rsidR="0094350A" w:rsidRPr="0094350A">
        <w:rPr>
          <w:rFonts w:ascii="Arial" w:hAnsi="Arial" w:cs="Arial"/>
          <w:sz w:val="24"/>
          <w:szCs w:val="24"/>
          <w:lang w:val="en-GB"/>
        </w:rPr>
        <w:t>allows to test a l</w:t>
      </w:r>
      <w:r w:rsidR="0094350A">
        <w:rPr>
          <w:rFonts w:ascii="Arial" w:hAnsi="Arial" w:cs="Arial"/>
          <w:sz w:val="24"/>
          <w:szCs w:val="24"/>
          <w:lang w:val="en-GB"/>
        </w:rPr>
        <w:t>imited strategy, which restricts the identification of near-optimal system configurations across a wide range of possibilities</w:t>
      </w:r>
      <w:r w:rsidR="00BF0371">
        <w:rPr>
          <w:rFonts w:ascii="Arial" w:hAnsi="Arial" w:cs="Arial"/>
          <w:sz w:val="24"/>
          <w:szCs w:val="24"/>
          <w:lang w:val="en-GB"/>
        </w:rPr>
        <w:t>.</w:t>
      </w:r>
    </w:p>
    <w:p w:rsidR="00094613" w:rsidRDefault="00057FCD" w:rsidP="003B1183">
      <w:pPr>
        <w:spacing w:line="480" w:lineRule="auto"/>
        <w:jc w:val="both"/>
        <w:rPr>
          <w:rFonts w:ascii="Arial" w:hAnsi="Arial" w:cs="Arial"/>
          <w:sz w:val="24"/>
          <w:szCs w:val="24"/>
          <w:lang w:val="en-GB"/>
        </w:rPr>
      </w:pPr>
      <w:r w:rsidRPr="00057FCD">
        <w:rPr>
          <w:rFonts w:ascii="Arial" w:hAnsi="Arial" w:cs="Arial"/>
          <w:sz w:val="24"/>
          <w:szCs w:val="24"/>
          <w:lang w:val="en-GB"/>
        </w:rPr>
        <w:t>Several optimization frameworks have been developed to overcome the limitations of conventional LCA and support the planning of waste management systems</w:t>
      </w:r>
      <w:r w:rsidR="00B37594" w:rsidRPr="00B37594">
        <w:rPr>
          <w:rFonts w:ascii="Arial" w:hAnsi="Arial" w:cs="Arial"/>
          <w:sz w:val="24"/>
          <w:szCs w:val="24"/>
          <w:lang w:val="en-GB"/>
        </w:rPr>
        <w:t xml:space="preserve">. Most of these approaches focus on municipal solid waste, treating biowaste as a specific </w:t>
      </w:r>
      <w:r w:rsidR="00B37594" w:rsidRPr="00B37594">
        <w:rPr>
          <w:rFonts w:ascii="Arial" w:hAnsi="Arial" w:cs="Arial"/>
          <w:sz w:val="24"/>
          <w:szCs w:val="24"/>
          <w:lang w:val="en-GB"/>
        </w:rPr>
        <w:lastRenderedPageBreak/>
        <w:t xml:space="preserve">stream for which the optimizer must identify an appropriate treatment pathway </w:t>
      </w:r>
      <w:r w:rsidR="00D90F29">
        <w:rPr>
          <w:rFonts w:ascii="Arial" w:hAnsi="Arial" w:cs="Arial"/>
          <w:sz w:val="24"/>
          <w:szCs w:val="24"/>
          <w:lang w:val="en-GB"/>
        </w:rPr>
        <w:fldChar w:fldCharType="begin"/>
      </w:r>
      <w:r w:rsidR="00D90F29">
        <w:rPr>
          <w:rFonts w:ascii="Arial" w:hAnsi="Arial" w:cs="Arial"/>
          <w:sz w:val="24"/>
          <w:szCs w:val="24"/>
          <w:lang w:val="en-GB"/>
        </w:rPr>
        <w:instrText xml:space="preserve"> ADDIN ZOTERO_ITEM CSL_CITATION {"citationID":"KSU1uqLX","properties":{"formattedCitation":"(M\\uc0\\u252{}nster et al., 2015; Roberts et al., 2018; Sardarmehni et al., 2022; Tascione et al., 2016)","plainCitation":"(Münster et al., 2015; Roberts et al., 2018; Sardarmehni et al., 2022; Tascione et al., 2016)","noteIndex":0},"citationItems":[{"id":1,"uris":["http://zotero.org/users/8751290/items/CDWNUFB9"],"itemData":{"id":1,"type":"article-journal","abstract":"This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Söderman","given":"M."}],"issued":{"date-parts":[["2015",4,1]]},"citation-key":"munster2015"}},{"id":107,"uris":["http://zotero.org/users/8751290/items/555W3IMV"],"itemData":{"id":107,"type":"article-journal","abstract":"Solid waste management (SWM) decision makers are under increasing pressure to implement strategies that are both cost effective and environmentally sound. Consequently, SWM has developed into a highly complex systemic planning problem and analytical tools are needed to assist in the development of more sustainable SWM strategies. Here, we present the Solid Waste Infrastructure Modelling System (SWIMS) software, which is the first non-linear dynamic, LCA-based optimisation tool for SWM that optimises for both economic and environmental performance. The environmental and economic costs of treating generated wastes at available treatment facilities are calculated through a series of life cycle process models, based on non-linear expressions defined for each waste material and each treatment process type. Possible treatment paths for waste streams are identified using a depth first search algorithm and a sequential evolutionary genetic algorithm is used to prioritise the order of these paths, in lieu of user defined optimisation criteria and constraints. SWIMS calculates waste arisings into the future and determines if it is possible to treat generated waste, while considering present and future constraints (e.g. capacity). If additional capacity is required, SWIMS will identify the optimum infrastructure solution to meet this capacity demand. A demonstrative case study of MSW management in GB from 2010 to 2050 is presented. Results suggest that sufficient capacity is available in existing and planned infrastructure to cope with future demand for SWM and meet national regulatory and legislative requirements with relatively little capital investment beyond 2020. SWIMS can be used to provide valuable information for SWM decision makers, particularly when used to analyse the effects of possible future national or regional policies.","container-title":"Journal of Cleaner Production","DOI":"10.1016/j.jclepro.2018.05.265","ISSN":"0959-6526","journalAbbreviation":"Journal of Cleaner Production","language":"en","page":"547-563","source":"ScienceDirect","title":"SWIMS: A dynamic life cycle-based optimisation and decision support tool for solid waste management","title-short":"SWIMS","volume":"196","author":[{"family":"Roberts","given":"Keiron P."},{"family":"Turner","given":"David A."},{"family":"Coello","given":"Jonathan"},{"family":"Stringfellow","given":"Anne M."},{"family":"Bello","given":"Ibrahim A."},{"family":"Powrie","given":"William"},{"family":"Watson","given":"Geoff V. R."}],"issued":{"date-parts":[["2018",9,20]]},"citation-key":"roberts2018"}},{"id":725,"uris":["http://zotero.org/users/8751290/item</w:instrText>
      </w:r>
      <w:r w:rsidR="00D90F29" w:rsidRPr="00D90F29">
        <w:rPr>
          <w:rFonts w:ascii="Arial" w:hAnsi="Arial" w:cs="Arial"/>
          <w:sz w:val="24"/>
          <w:szCs w:val="24"/>
        </w:rPr>
        <w:instrText>s/TSUVMQ8S"],"itemData":{"id":725,"type":"article-journal","container-title":"Journal of Industrial Ecology","DOI":"10.1111/jiec.13236","ISSN":"1088-1980, 1530-9290","issue":"3","journalAbbreviation":"J of Industrial Ecology","language":"en","page":"748-762","source":"DOI.org (Crossref)","title":"Solid waste optimization life</w:instrText>
      </w:r>
      <w:r w:rsidR="00D90F29" w:rsidRPr="00D90F29">
        <w:rPr>
          <w:rFonts w:ascii="Cambria Math" w:hAnsi="Cambria Math" w:cs="Cambria Math"/>
          <w:sz w:val="24"/>
          <w:szCs w:val="24"/>
        </w:rPr>
        <w:instrText>‐</w:instrText>
      </w:r>
      <w:r w:rsidR="00D90F29" w:rsidRPr="00D90F29">
        <w:rPr>
          <w:rFonts w:ascii="Arial" w:hAnsi="Arial" w:cs="Arial"/>
          <w:sz w:val="24"/>
          <w:szCs w:val="24"/>
        </w:rPr>
        <w:instrText xml:space="preserve">cycle framework in Python (SwolfPy)","volume":"26","author":[{"family":"Sardarmehni","given":"Mojtaba"},{"family":"Anchieta","given":"Pedro H. Chagas"},{"family":"Levis","given":"James W."}],"issued":{"date-parts":[["2022",6]]},"citation-key":"sardarmehni2022"}},{"id":723,"uris":["http://zotero.org/users/8751290/items/HB5CMYL2"],"itemData":{"id":723,"type":"article-journal","container-title":"Journal of Cleaner Production","DOI":"10.1016/j.jclepro.2015.10.016","ISSN":"09596526","journalAbbreviation":"Journal of Cleaner Production","language":"en","page":"3086-3096","source":"DOI.org (Crossref)","title":"Optimizing the environmental performance of integrated waste management scenarios by means of linear programming: a case study","title-short":"Optimizing the environmental performance of integrated waste management scenarios by means of linear programming","volume":"112","author":[{"family":"Tascione","given":"Valentino"},{"family":"Mosca","given":"Raffaele"},{"family":"Raggi","given":"Andrea"}],"issued":{"date-parts":[["2016",1]]},"citation-key":"tascione2016"}}],"schema":"https://github.com/citation-style-language/schema/raw/master/csl-citation.json"} </w:instrText>
      </w:r>
      <w:r w:rsidR="00D90F29">
        <w:rPr>
          <w:rFonts w:ascii="Arial" w:hAnsi="Arial" w:cs="Arial"/>
          <w:sz w:val="24"/>
          <w:szCs w:val="24"/>
          <w:lang w:val="en-GB"/>
        </w:rPr>
        <w:fldChar w:fldCharType="separate"/>
      </w:r>
      <w:r w:rsidR="00D90F29" w:rsidRPr="00D90F29">
        <w:rPr>
          <w:rFonts w:ascii="Arial" w:hAnsi="Arial" w:cs="Arial"/>
          <w:sz w:val="24"/>
          <w:szCs w:val="24"/>
        </w:rPr>
        <w:t xml:space="preserve">(Münster et al., 2015; Roberts et al., 2018; Sardarmehni et al., 2022; </w:t>
      </w:r>
      <w:proofErr w:type="spellStart"/>
      <w:r w:rsidR="00D90F29" w:rsidRPr="00D90F29">
        <w:rPr>
          <w:rFonts w:ascii="Arial" w:hAnsi="Arial" w:cs="Arial"/>
          <w:sz w:val="24"/>
          <w:szCs w:val="24"/>
        </w:rPr>
        <w:t>Tascione</w:t>
      </w:r>
      <w:proofErr w:type="spellEnd"/>
      <w:r w:rsidR="00D90F29" w:rsidRPr="00D90F29">
        <w:rPr>
          <w:rFonts w:ascii="Arial" w:hAnsi="Arial" w:cs="Arial"/>
          <w:sz w:val="24"/>
          <w:szCs w:val="24"/>
        </w:rPr>
        <w:t xml:space="preserve"> et al., 2016)</w:t>
      </w:r>
      <w:r w:rsidR="00D90F29">
        <w:rPr>
          <w:rFonts w:ascii="Arial" w:hAnsi="Arial" w:cs="Arial"/>
          <w:sz w:val="24"/>
          <w:szCs w:val="24"/>
          <w:lang w:val="en-GB"/>
        </w:rPr>
        <w:fldChar w:fldCharType="end"/>
      </w:r>
      <w:r w:rsidR="00B37594" w:rsidRPr="00D90F29">
        <w:rPr>
          <w:rFonts w:ascii="Arial" w:hAnsi="Arial" w:cs="Arial"/>
          <w:sz w:val="24"/>
          <w:szCs w:val="24"/>
        </w:rPr>
        <w:t xml:space="preserve">. </w:t>
      </w:r>
      <w:r w:rsidR="00B37594" w:rsidRPr="00B37594">
        <w:rPr>
          <w:rFonts w:ascii="Arial" w:hAnsi="Arial" w:cs="Arial"/>
          <w:sz w:val="24"/>
          <w:szCs w:val="24"/>
          <w:lang w:val="en-GB"/>
        </w:rPr>
        <w:t>The set of technologies typically considered includes both conventional waste treatment options, such as landfilling and incineration, as well as biological processes tailored to organic waste, including composting and anaerobic digestion.</w:t>
      </w:r>
      <w:r w:rsidR="00D90F29">
        <w:rPr>
          <w:rFonts w:ascii="Arial" w:hAnsi="Arial" w:cs="Arial"/>
          <w:sz w:val="24"/>
          <w:szCs w:val="24"/>
          <w:lang w:val="en-GB"/>
        </w:rPr>
        <w:t xml:space="preserve"> </w:t>
      </w:r>
      <w:r w:rsidR="00B37594" w:rsidRPr="00B37594">
        <w:rPr>
          <w:rFonts w:ascii="Arial" w:hAnsi="Arial" w:cs="Arial"/>
          <w:sz w:val="24"/>
          <w:szCs w:val="24"/>
          <w:lang w:val="en-GB"/>
        </w:rPr>
        <w:t xml:space="preserve">Among these studies, Lin et al. (2022) stand out by focusing exclusively on biowaste flows and by incorporating an additional technology—high-temperature drying sterilization—for the production of livestock feed. However, many of these frameworks are applied at large spatial scales, often considering entire countries as the system boundary, despite the fact that municipal waste management is primarily a local responsibility </w:t>
      </w:r>
      <w:r w:rsidR="00D90F29">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{"citationID":"PsE5WX6h","properties":{"formattedCitation":"(UNEP, 2024)","plainCitation":"(UNEP, 2024)","noteIndex":0},"citationItems":[{"id":726,"uris":["http://zotero.org/users/8751290/items/7AYESGKI"],"itemData":{"id":726,"type":"book","collection-number":"2024","collection-title":"Global waste management outlook","event-place":"Nairobi","ISBN":"978-92-807-4129-2","language":"eng","number-of-pages":"1","publisher":"UNEP","publisher-place":"Nairobi","source":"K10plus ISBN","title":"Beyond an age of waste: turning rubbish into a resource","title-short":"Beyond an age of waste","editor":[{"literal":"UNEP"}],"issued":{"date-parts":[["2024"]]},"citation-key":"unep2024"}}],"schema":"https://github.com/citation-style-language/schema/raw/master/csl-citation.json"} </w:instrText>
      </w:r>
      <w:r w:rsidR="00D90F29">
        <w:rPr>
          <w:rFonts w:ascii="Arial" w:hAnsi="Arial" w:cs="Arial"/>
          <w:sz w:val="24"/>
          <w:szCs w:val="24"/>
          <w:lang w:val="en-GB"/>
        </w:rPr>
        <w:fldChar w:fldCharType="separate"/>
      </w:r>
      <w:r w:rsidR="00EB2E78" w:rsidRPr="00EB2E78">
        <w:rPr>
          <w:rFonts w:ascii="Arial" w:hAnsi="Arial" w:cs="Arial"/>
          <w:sz w:val="24"/>
          <w:lang w:val="en-GB"/>
        </w:rPr>
        <w:t>(UNEP, 2024)</w:t>
      </w:r>
      <w:r w:rsidR="00D90F29">
        <w:rPr>
          <w:rFonts w:ascii="Arial" w:hAnsi="Arial" w:cs="Arial"/>
          <w:sz w:val="24"/>
          <w:szCs w:val="24"/>
          <w:lang w:val="en-GB"/>
        </w:rPr>
        <w:fldChar w:fldCharType="end"/>
      </w:r>
      <w:r w:rsidR="00B37594" w:rsidRPr="00B37594">
        <w:rPr>
          <w:rFonts w:ascii="Arial" w:hAnsi="Arial" w:cs="Arial"/>
          <w:sz w:val="24"/>
          <w:szCs w:val="24"/>
          <w:lang w:val="en-GB"/>
        </w:rPr>
        <w:t xml:space="preserve">. For instance,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{"citationID":"k7jJ3tMj","properties":{"formattedCitation":"(M\\uc0\\u252{}nster et al., 2015)","plainCitation":"(Münster et al., 2015)","noteIndex":0},"citationItems":[{"id":1,"uris":["http://zotero.org/users/8751290/items/CDWNUFB9"],"itemData":{"id":1,"type":"article-journal","abstract":"This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szCs w:val="24"/>
          <w:lang w:val="en-GB"/>
        </w:rPr>
        <w:t xml:space="preserve">Münster et al., </w:t>
      </w:r>
      <w:r w:rsidR="00EB2E78">
        <w:rPr>
          <w:rFonts w:ascii="Arial" w:hAnsi="Arial" w:cs="Arial"/>
          <w:sz w:val="24"/>
          <w:szCs w:val="24"/>
          <w:lang w:val="en-GB"/>
        </w:rPr>
        <w:t>(</w:t>
      </w:r>
      <w:r w:rsidR="00EB2E78" w:rsidRPr="00EB2E78">
        <w:rPr>
          <w:rFonts w:ascii="Arial" w:hAnsi="Arial" w:cs="Arial"/>
          <w:sz w:val="24"/>
          <w:szCs w:val="24"/>
          <w:lang w:val="en-GB"/>
        </w:rPr>
        <w:t>2015)</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optimized the management of municipal waste in Denmark with the objective of minimizing climate change impacts, while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{"citationID":"f5QzA7DS","properties":{"formattedCitation":"(Lin et al., 2022)","plainCitation":"(Lin et al., 2022)","noteIndex":0},"citationItems":[{"id":708,"uris":["http://zotero.org/users/8751290/items/PXWMJ3KH"],"itemData":{"id":708,"type":"article-journal","container-title":"Science of The Total Environment","DOI":"10.1016/j.scitotenv.2021.151541","ISSN":"00489697","journalAbbreviation":"Science of The Total Environment","language":"en","page":"151541","source":"DOI.org (Crossref)","title":"An integrated life cycle multi-objective optimization model for health-environment-economic nexus in food waste management sector","volume":"816","author":[{"family":"Lin","given":"Zuchao"},{"family":"Ooi","given":"Jun Keat"},{"family":"Woon","given":"Kok Sin"}],"issued":{"date-parts":[["2022",4]]},"citation-key":"lin2022"}}],"schema":"https://github.com/citation-style-language/schema/raw/master/csl-citation.json"}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 xml:space="preserve">Lin et al., </w:t>
      </w:r>
      <w:r w:rsidR="00EB2E78">
        <w:rPr>
          <w:rFonts w:ascii="Arial" w:hAnsi="Arial" w:cs="Arial"/>
          <w:sz w:val="24"/>
          <w:lang w:val="en-GB"/>
        </w:rPr>
        <w:t>(</w:t>
      </w:r>
      <w:r w:rsidR="00EB2E78" w:rsidRPr="00EB2E78">
        <w:rPr>
          <w:rFonts w:ascii="Arial" w:hAnsi="Arial" w:cs="Arial"/>
          <w:sz w:val="24"/>
          <w:lang w:val="en-GB"/>
        </w:rPr>
        <w:t>2022)</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conducted a national-scale optimization for Malaysia, targeting ecosystem quality, human health, and economic costs.</w:t>
      </w:r>
      <w:r w:rsidR="00113390">
        <w:rPr>
          <w:rFonts w:ascii="Arial" w:hAnsi="Arial" w:cs="Arial"/>
          <w:sz w:val="24"/>
          <w:szCs w:val="24"/>
          <w:lang w:val="en-GB"/>
        </w:rPr>
        <w:t xml:space="preserve"> </w:t>
      </w:r>
      <w:r w:rsidR="00B37594" w:rsidRPr="00B37594">
        <w:rPr>
          <w:rFonts w:ascii="Arial" w:hAnsi="Arial" w:cs="Arial"/>
          <w:sz w:val="24"/>
          <w:szCs w:val="24"/>
          <w:lang w:val="en-GB"/>
        </w:rPr>
        <w:t>Such large-scale approaches limit the applicability of results for local decision-making, as they may fail to capture territory-specific characteristics that influence both the feasibility and environmental performance of the system</w:t>
      </w:r>
      <w:r w:rsidR="00EB2E78">
        <w:rPr>
          <w:rFonts w:ascii="Arial" w:hAnsi="Arial" w:cs="Arial"/>
          <w:sz w:val="24"/>
          <w:szCs w:val="24"/>
          <w:lang w:val="en-GB"/>
        </w:rPr>
        <w:t>, such as collection and transport distance</w:t>
      </w:r>
      <w:r w:rsidR="00B37594" w:rsidRPr="00B37594">
        <w:rPr>
          <w:rFonts w:ascii="Arial" w:hAnsi="Arial" w:cs="Arial"/>
          <w:sz w:val="24"/>
          <w:szCs w:val="24"/>
          <w:lang w:val="en-GB"/>
        </w:rPr>
        <w:t>.</w:t>
      </w:r>
      <w:r w:rsidR="00691BC2" w:rsidRPr="00691BC2">
        <w:rPr>
          <w:rFonts w:ascii="Arial" w:hAnsi="Arial" w:cs="Arial"/>
          <w:sz w:val="24"/>
          <w:szCs w:val="24"/>
          <w:lang w:val="en-GB"/>
        </w:rPr>
        <w:t xml:space="preserve"> </w:t>
      </w:r>
      <w:r w:rsidR="00EB2E78">
        <w:rPr>
          <w:rFonts w:ascii="Arial" w:hAnsi="Arial" w:cs="Arial"/>
          <w:sz w:val="24"/>
          <w:szCs w:val="24"/>
          <w:lang w:val="en-GB"/>
        </w:rPr>
        <w:t>The e</w:t>
      </w:r>
      <w:r w:rsidR="00691BC2" w:rsidRPr="00691BC2">
        <w:rPr>
          <w:rFonts w:ascii="Arial" w:hAnsi="Arial" w:cs="Arial"/>
          <w:sz w:val="24"/>
          <w:szCs w:val="24"/>
          <w:lang w:val="en-GB"/>
        </w:rPr>
        <w:t>xistence of markets for co-products</w:t>
      </w:r>
      <w:r w:rsidR="00EB2E78">
        <w:rPr>
          <w:rFonts w:ascii="Arial" w:hAnsi="Arial" w:cs="Arial"/>
          <w:sz w:val="24"/>
          <w:szCs w:val="24"/>
          <w:lang w:val="en-GB"/>
        </w:rPr>
        <w:t xml:space="preserve"> - another key territorial parameter - is neglected in these optimization frameworks</w:t>
      </w:r>
      <w:r w:rsidR="00691BC2" w:rsidRPr="00691BC2">
        <w:rPr>
          <w:rFonts w:ascii="Arial" w:hAnsi="Arial" w:cs="Arial"/>
          <w:sz w:val="24"/>
          <w:szCs w:val="24"/>
          <w:lang w:val="en-GB"/>
        </w:rPr>
        <w:t xml:space="preserve">. </w:t>
      </w:r>
      <w:r w:rsidR="00113390" w:rsidRPr="00113390">
        <w:rPr>
          <w:rFonts w:ascii="Arial" w:hAnsi="Arial" w:cs="Arial"/>
          <w:sz w:val="24"/>
          <w:szCs w:val="24"/>
          <w:lang w:val="en-GB"/>
        </w:rPr>
        <w:t>While substitution is often associated with significant environmental benefits in LCA, its realization depends on the availability of a market for the substituted product</w:t>
      </w:r>
      <w:r w:rsidR="00EB2E78">
        <w:rPr>
          <w:rFonts w:ascii="Arial" w:hAnsi="Arial" w:cs="Arial"/>
          <w:sz w:val="24"/>
          <w:szCs w:val="24"/>
          <w:lang w:val="en-GB"/>
        </w:rPr>
        <w:t xml:space="preserv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{"citationID":"Rb80wb1w","properties":{"formattedCitation":"(Weidema, 2003)","plainCitation":"(Weidema, 2003)","noteIndex":0},"citationItems":[{"id":736,"uris":["http://zotero.org/users/8751290/items/ACBNH7LZ"],"itemData":{"id":736,"type":"report","title":"Market information in life cycle assessment","author":[{"family":"Weidema","given":"Bo"}],"issued":{"date-parts":[["2003"]]},"citation-key":"weidema2003"}}],"schema":"https://github.com/citation-style-language/schema/raw/master/csl-citation.json"}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w:t>
      </w:r>
      <w:proofErr w:type="spellStart"/>
      <w:r w:rsidR="00EB2E78" w:rsidRPr="00EB2E78">
        <w:rPr>
          <w:rFonts w:ascii="Arial" w:hAnsi="Arial" w:cs="Arial"/>
          <w:sz w:val="24"/>
          <w:lang w:val="en-GB"/>
        </w:rPr>
        <w:t>Weidema</w:t>
      </w:r>
      <w:proofErr w:type="spellEnd"/>
      <w:r w:rsidR="00EB2E78" w:rsidRPr="00EB2E78">
        <w:rPr>
          <w:rFonts w:ascii="Arial" w:hAnsi="Arial" w:cs="Arial"/>
          <w:sz w:val="24"/>
          <w:lang w:val="en-GB"/>
        </w:rPr>
        <w:t>, 2003)</w:t>
      </w:r>
      <w:r w:rsidR="00EB2E78">
        <w:rPr>
          <w:rFonts w:ascii="Arial" w:hAnsi="Arial" w:cs="Arial"/>
          <w:sz w:val="24"/>
          <w:szCs w:val="24"/>
          <w:lang w:val="en-GB"/>
        </w:rPr>
        <w:fldChar w:fldCharType="end"/>
      </w:r>
      <w:r w:rsidR="00113390" w:rsidRPr="00113390">
        <w:rPr>
          <w:rFonts w:ascii="Arial" w:hAnsi="Arial" w:cs="Arial"/>
          <w:sz w:val="24"/>
          <w:szCs w:val="24"/>
          <w:lang w:val="en-GB"/>
        </w:rPr>
        <w:t>. Without sufficient demand, substitution cannot occur, and the associated environmental benefits may be overestimated.</w:t>
      </w:r>
    </w:p>
    <w:p w:rsidR="00EB2E78" w:rsidRPr="00EB2E78" w:rsidRDefault="00226509" w:rsidP="003B1183">
      <w:pPr>
        <w:spacing w:line="480" w:lineRule="auto"/>
        <w:jc w:val="both"/>
        <w:rPr>
          <w:rFonts w:ascii="Arial" w:hAnsi="Arial" w:cs="Arial"/>
          <w:sz w:val="24"/>
          <w:szCs w:val="24"/>
          <w:lang w:val="en-GB"/>
        </w:rPr>
      </w:pPr>
      <w:r w:rsidRPr="00226509">
        <w:rPr>
          <w:rFonts w:ascii="Arial" w:hAnsi="Arial" w:cs="Arial"/>
          <w:sz w:val="24"/>
          <w:szCs w:val="24"/>
          <w:lang w:val="en-GB"/>
        </w:rPr>
        <w:t xml:space="preserve">To address these limitations, this study proposes an optimization framework designed to capture fine-scale territorial specificities along the entire value chain, with the objective of minimizing environmental impacts. The capabilities of the framework are </w:t>
      </w:r>
      <w:r w:rsidRPr="00226509">
        <w:rPr>
          <w:rFonts w:ascii="Arial" w:hAnsi="Arial" w:cs="Arial"/>
          <w:sz w:val="24"/>
          <w:szCs w:val="24"/>
          <w:lang w:val="en-GB"/>
        </w:rPr>
        <w:lastRenderedPageBreak/>
        <w:t>demonstrated through a case study. In addition, the influence of different local strategies—such as the choice of impact indicator and the inclusion of investment decisions—is systematically assessed.</w:t>
      </w:r>
    </w:p>
    <w:p w:rsidR="00317F42" w:rsidRDefault="00317F42" w:rsidP="003B1183">
      <w:pPr>
        <w:pStyle w:val="Titre1"/>
        <w:numPr>
          <w:ilvl w:val="0"/>
          <w:numId w:val="6"/>
        </w:numPr>
        <w:rPr>
          <w:rFonts w:cs="Arial"/>
          <w:szCs w:val="24"/>
        </w:rPr>
      </w:pPr>
      <w:r w:rsidRPr="000A6DCA">
        <w:rPr>
          <w:b/>
        </w:rPr>
        <w:t>Method</w:t>
      </w:r>
    </w:p>
    <w:p w:rsidR="00D65DA4" w:rsidRPr="00102341" w:rsidRDefault="006C74E2" w:rsidP="003B1183">
      <w:pPr>
        <w:pStyle w:val="Titre2"/>
        <w:numPr>
          <w:ilvl w:val="0"/>
          <w:numId w:val="7"/>
        </w:numPr>
        <w:jc w:val="both"/>
        <w:rPr>
          <w:lang w:val="en-GB"/>
        </w:rPr>
      </w:pPr>
      <w:proofErr w:type="spellStart"/>
      <w:r w:rsidRPr="00B5527D">
        <w:t>Optimization</w:t>
      </w:r>
      <w:proofErr w:type="spellEnd"/>
      <w:r w:rsidRPr="00B5527D">
        <w:t xml:space="preserve"> </w:t>
      </w:r>
      <w:proofErr w:type="spellStart"/>
      <w:r w:rsidRPr="00B5527D">
        <w:t>fram</w:t>
      </w:r>
      <w:r w:rsidRPr="00B5527D">
        <w:rPr>
          <w:lang w:val="en-GB"/>
        </w:rPr>
        <w:t>ework</w:t>
      </w:r>
      <w:proofErr w:type="spellEnd"/>
    </w:p>
    <w:p w:rsidR="00D65DA4" w:rsidRDefault="00D65DA4" w:rsidP="003B1183">
      <w:pPr>
        <w:pStyle w:val="Titre3"/>
        <w:numPr>
          <w:ilvl w:val="0"/>
          <w:numId w:val="8"/>
        </w:numPr>
        <w:jc w:val="both"/>
        <w:rPr>
          <w:lang w:val="en-GB"/>
        </w:rPr>
      </w:pPr>
      <w:r>
        <w:rPr>
          <w:lang w:val="en-GB"/>
        </w:rPr>
        <w:t>Terminology definition</w:t>
      </w:r>
    </w:p>
    <w:p w:rsidR="003A47FD" w:rsidRPr="000A6DCA" w:rsidRDefault="00FB27A4" w:rsidP="003B1183">
      <w:pPr>
        <w:spacing w:line="480" w:lineRule="auto"/>
        <w:jc w:val="both"/>
        <w:rPr>
          <w:rFonts w:ascii="Arial" w:hAnsi="Arial" w:cs="Arial"/>
          <w:sz w:val="24"/>
          <w:szCs w:val="24"/>
          <w:lang w:val="en-GB"/>
        </w:rPr>
      </w:pPr>
      <w:r>
        <w:rPr>
          <w:rFonts w:ascii="Arial" w:hAnsi="Arial" w:cs="Arial"/>
          <w:sz w:val="24"/>
          <w:szCs w:val="24"/>
          <w:lang w:val="en-GB"/>
        </w:rPr>
        <w:t xml:space="preserve"> </w:t>
      </w:r>
      <w:r w:rsidR="00D70ED6">
        <w:rPr>
          <w:rFonts w:ascii="Arial" w:hAnsi="Arial" w:cs="Arial"/>
          <w:sz w:val="24"/>
          <w:szCs w:val="24"/>
          <w:lang w:val="en-GB"/>
        </w:rPr>
        <w:fldChar w:fldCharType="begin"/>
      </w:r>
      <w:r w:rsidR="00D70ED6">
        <w:rPr>
          <w:rFonts w:ascii="Arial" w:hAnsi="Arial" w:cs="Arial"/>
          <w:sz w:val="24"/>
          <w:szCs w:val="24"/>
          <w:lang w:val="en-GB"/>
        </w:rPr>
        <w:instrText xml:space="preserve"> REF _Ref228613629 \h </w:instrText>
      </w:r>
      <w:r w:rsidR="003B1183">
        <w:rPr>
          <w:rFonts w:ascii="Arial" w:hAnsi="Arial" w:cs="Arial"/>
          <w:sz w:val="24"/>
          <w:szCs w:val="24"/>
          <w:lang w:val="en-GB"/>
        </w:rPr>
        <w:instrText xml:space="preserve"> \* MERGEFORMAT </w:instrText>
      </w:r>
      <w:r w:rsidR="00D70ED6">
        <w:rPr>
          <w:rFonts w:ascii="Arial" w:hAnsi="Arial" w:cs="Arial"/>
          <w:sz w:val="24"/>
          <w:szCs w:val="24"/>
          <w:lang w:val="en-GB"/>
        </w:rPr>
      </w:r>
      <w:r w:rsidR="00D70ED6">
        <w:rPr>
          <w:rFonts w:ascii="Arial" w:hAnsi="Arial" w:cs="Arial"/>
          <w:sz w:val="24"/>
          <w:szCs w:val="24"/>
          <w:lang w:val="en-GB"/>
        </w:rPr>
        <w:fldChar w:fldCharType="separate"/>
      </w:r>
      <w:r w:rsidR="00D70ED6" w:rsidRPr="000A6DCA">
        <w:rPr>
          <w:rFonts w:ascii="Arial" w:hAnsi="Arial" w:cs="Arial"/>
          <w:sz w:val="24"/>
          <w:lang w:val="en-GB"/>
        </w:rPr>
        <w:t xml:space="preserve">Table </w:t>
      </w:r>
      <w:r w:rsidR="00D70ED6" w:rsidRPr="000A6DCA">
        <w:rPr>
          <w:rFonts w:ascii="Arial" w:hAnsi="Arial" w:cs="Arial"/>
          <w:noProof/>
          <w:sz w:val="24"/>
          <w:lang w:val="en-GB"/>
        </w:rPr>
        <w:t>1</w:t>
      </w:r>
      <w:r w:rsidR="00D70ED6">
        <w:rPr>
          <w:rFonts w:ascii="Arial" w:hAnsi="Arial" w:cs="Arial"/>
          <w:sz w:val="24"/>
          <w:szCs w:val="24"/>
          <w:lang w:val="en-GB"/>
        </w:rPr>
        <w:fldChar w:fldCharType="end"/>
      </w:r>
      <w:r w:rsidR="00D70ED6">
        <w:rPr>
          <w:rFonts w:ascii="Arial" w:hAnsi="Arial" w:cs="Arial"/>
          <w:sz w:val="24"/>
          <w:szCs w:val="24"/>
          <w:lang w:val="en-GB"/>
        </w:rPr>
        <w:t xml:space="preserve"> </w:t>
      </w:r>
      <w:r>
        <w:rPr>
          <w:rFonts w:ascii="Arial" w:hAnsi="Arial" w:cs="Arial"/>
          <w:sz w:val="24"/>
          <w:szCs w:val="24"/>
          <w:lang w:val="en-GB"/>
        </w:rPr>
        <w:t>presents all the parameters used in the optimization model.</w:t>
      </w:r>
    </w:p>
    <w:p w:rsidR="000A6DCA" w:rsidRPr="00E93315" w:rsidRDefault="000A6DCA" w:rsidP="003B1183">
      <w:pPr>
        <w:pStyle w:val="Lgende"/>
        <w:keepNext/>
        <w:jc w:val="both"/>
        <w:rPr>
          <w:rFonts w:ascii="Arial" w:hAnsi="Arial" w:cs="Arial"/>
          <w:color w:val="auto"/>
          <w:sz w:val="24"/>
          <w:lang w:val="en-GB"/>
        </w:rPr>
      </w:pPr>
      <w:bookmarkStart w:id="0" w:name="_Ref228613629"/>
      <w:r w:rsidRPr="00E93315">
        <w:rPr>
          <w:rFonts w:ascii="Arial" w:hAnsi="Arial" w:cs="Arial"/>
          <w:color w:val="auto"/>
          <w:sz w:val="24"/>
          <w:lang w:val="en-GB"/>
        </w:rPr>
        <w:t xml:space="preserve">Table </w:t>
      </w:r>
      <w:r w:rsidR="00E93315" w:rsidRPr="00E93315">
        <w:rPr>
          <w:rFonts w:ascii="Arial" w:hAnsi="Arial" w:cs="Arial"/>
          <w:color w:val="auto"/>
          <w:sz w:val="24"/>
          <w:lang w:val="en-GB"/>
        </w:rPr>
        <w:fldChar w:fldCharType="begin"/>
      </w:r>
      <w:r w:rsidR="00E93315" w:rsidRPr="00E93315">
        <w:rPr>
          <w:rFonts w:ascii="Arial" w:hAnsi="Arial" w:cs="Arial"/>
          <w:color w:val="auto"/>
          <w:sz w:val="24"/>
          <w:lang w:val="en-GB"/>
        </w:rPr>
        <w:instrText xml:space="preserve"> SEQ Table \* ARABIC </w:instrText>
      </w:r>
      <w:r w:rsidR="00E93315" w:rsidRPr="00E93315">
        <w:rPr>
          <w:rFonts w:ascii="Arial" w:hAnsi="Arial" w:cs="Arial"/>
          <w:color w:val="auto"/>
          <w:sz w:val="24"/>
          <w:lang w:val="en-GB"/>
        </w:rPr>
        <w:fldChar w:fldCharType="separate"/>
      </w:r>
      <w:r w:rsidR="00E93315" w:rsidRPr="00E93315">
        <w:rPr>
          <w:rFonts w:ascii="Arial" w:hAnsi="Arial" w:cs="Arial"/>
          <w:noProof/>
          <w:color w:val="auto"/>
          <w:sz w:val="24"/>
          <w:lang w:val="en-GB"/>
        </w:rPr>
        <w:t>1</w:t>
      </w:r>
      <w:r w:rsidR="00E93315" w:rsidRPr="00E93315">
        <w:rPr>
          <w:rFonts w:ascii="Arial" w:hAnsi="Arial" w:cs="Arial"/>
          <w:color w:val="auto"/>
          <w:sz w:val="24"/>
          <w:lang w:val="en-GB"/>
        </w:rPr>
        <w:fldChar w:fldCharType="end"/>
      </w:r>
      <w:bookmarkEnd w:id="0"/>
      <w:r w:rsidRPr="00E93315">
        <w:rPr>
          <w:rFonts w:ascii="Arial" w:hAnsi="Arial" w:cs="Arial"/>
          <w:color w:val="auto"/>
          <w:sz w:val="24"/>
          <w:lang w:val="en-GB"/>
        </w:rPr>
        <w:t> : Parameters used in the optimization model</w:t>
      </w:r>
    </w:p>
    <w:tbl>
      <w:tblPr>
        <w:tblStyle w:val="Grilledutableau"/>
        <w:tblW w:w="9209" w:type="dxa"/>
        <w:tblInd w:w="0" w:type="dxa"/>
        <w:tblLook w:val="04A0" w:firstRow="1" w:lastRow="0" w:firstColumn="1" w:lastColumn="0" w:noHBand="0" w:noVBand="1"/>
      </w:tblPr>
      <w:tblGrid>
        <w:gridCol w:w="2122"/>
        <w:gridCol w:w="5386"/>
        <w:gridCol w:w="1701"/>
      </w:tblGrid>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Symbol</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D</w:t>
            </w:r>
            <w:r>
              <w:rPr>
                <w:rFonts w:ascii="Arial" w:hAnsi="Arial" w:cs="Arial"/>
                <w:sz w:val="24"/>
                <w:szCs w:val="24"/>
              </w:rPr>
              <w:t>efinition</w:t>
            </w:r>
            <w:proofErr w:type="spellEnd"/>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Unit</w:t>
            </w:r>
            <w:r>
              <w:rPr>
                <w:rFonts w:ascii="Arial" w:hAnsi="Arial" w:cs="Arial"/>
                <w:sz w:val="24"/>
                <w:szCs w:val="24"/>
              </w:rPr>
              <w:t>s</w:t>
            </w:r>
            <w:proofErr w:type="spellEnd"/>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m</w:t>
            </w:r>
            <w:proofErr w:type="gramEnd"/>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Municipality</w:t>
            </w:r>
            <w:proofErr w:type="spellEnd"/>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MUN</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municipalities </w:t>
            </w:r>
            <w:r w:rsidR="00BF41F4">
              <w:rPr>
                <w:rFonts w:ascii="Arial" w:hAnsi="Arial" w:cs="Arial"/>
                <w:sz w:val="24"/>
                <w:szCs w:val="24"/>
                <w:lang w:val="en-GB"/>
              </w:rPr>
              <w:t>within the</w:t>
            </w:r>
            <w:r>
              <w:rPr>
                <w:rFonts w:ascii="Arial" w:hAnsi="Arial" w:cs="Arial"/>
                <w:sz w:val="24"/>
                <w:szCs w:val="24"/>
                <w:lang w:val="en-GB"/>
              </w:rPr>
              <w:t xml:space="preserve"> territory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o</w:t>
            </w:r>
            <w:proofErr w:type="gramEnd"/>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BF41F4" w:rsidP="003B1183">
            <w:pPr>
              <w:spacing w:line="480" w:lineRule="auto"/>
              <w:jc w:val="both"/>
              <w:rPr>
                <w:rFonts w:ascii="Arial" w:hAnsi="Arial" w:cs="Arial"/>
                <w:sz w:val="24"/>
                <w:szCs w:val="24"/>
              </w:rPr>
            </w:pPr>
            <w:r>
              <w:rPr>
                <w:rFonts w:ascii="Arial" w:hAnsi="Arial" w:cs="Arial"/>
                <w:sz w:val="24"/>
                <w:szCs w:val="24"/>
              </w:rPr>
              <w:t>Source</w:t>
            </w:r>
            <w:r w:rsidR="00FB27A4" w:rsidRPr="00FB27A4">
              <w:rPr>
                <w:rFonts w:ascii="Arial" w:hAnsi="Arial" w:cs="Arial"/>
                <w:sz w:val="24"/>
                <w:szCs w:val="24"/>
              </w:rPr>
              <w:t xml:space="preserve"> of biowaste</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O</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possible </w:t>
            </w:r>
            <w:r>
              <w:rPr>
                <w:rFonts w:ascii="Arial" w:hAnsi="Arial" w:cs="Arial"/>
                <w:sz w:val="24"/>
                <w:szCs w:val="24"/>
                <w:lang w:val="en-GB"/>
              </w:rPr>
              <w:t>waste sources</w:t>
            </w:r>
            <w:r w:rsidRPr="00FB27A4">
              <w:rPr>
                <w:rFonts w:ascii="Arial" w:hAnsi="Arial" w:cs="Arial"/>
                <w:sz w:val="24"/>
                <w:szCs w:val="24"/>
                <w:lang w:val="en-GB"/>
              </w:rPr>
              <w:t xml:space="preserve">, </w:t>
            </w:r>
            <w:r>
              <w:rPr>
                <w:rFonts w:ascii="Arial" w:hAnsi="Arial" w:cs="Arial"/>
                <w:sz w:val="24"/>
                <w:szCs w:val="24"/>
                <w:lang w:val="en-GB"/>
              </w:rPr>
              <w:t>including single-family households</w:t>
            </w:r>
            <w:r w:rsidRPr="00FB27A4">
              <w:rPr>
                <w:rFonts w:ascii="Arial" w:hAnsi="Arial" w:cs="Arial"/>
                <w:sz w:val="24"/>
                <w:szCs w:val="24"/>
                <w:lang w:val="en-GB"/>
              </w:rPr>
              <w:t xml:space="preserve"> </w:t>
            </w:r>
            <w:r>
              <w:rPr>
                <w:rFonts w:ascii="Arial" w:hAnsi="Arial" w:cs="Arial"/>
                <w:sz w:val="24"/>
                <w:szCs w:val="24"/>
                <w:lang w:val="en-GB"/>
              </w:rPr>
              <w:t>and multi-family housing.</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rPr>
            </w:pPr>
            <w:proofErr w:type="spellStart"/>
            <w:proofErr w:type="gramStart"/>
            <w:r>
              <w:rPr>
                <w:rFonts w:ascii="Arial" w:hAnsi="Arial" w:cs="Arial"/>
                <w:sz w:val="24"/>
                <w:szCs w:val="24"/>
              </w:rPr>
              <w:t>sf</w:t>
            </w:r>
            <w:proofErr w:type="spellEnd"/>
            <w:proofErr w:type="gramEnd"/>
          </w:p>
        </w:tc>
        <w:tc>
          <w:tcPr>
            <w:tcW w:w="5386"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r>
              <w:rPr>
                <w:rFonts w:ascii="Arial" w:hAnsi="Arial" w:cs="Arial"/>
                <w:sz w:val="24"/>
                <w:szCs w:val="24"/>
                <w:lang w:val="en-GB"/>
              </w:rPr>
              <w:t>Single-family households</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rPr>
            </w:pPr>
            <w:proofErr w:type="spellStart"/>
            <w:proofErr w:type="gramStart"/>
            <w:r>
              <w:rPr>
                <w:rFonts w:ascii="Arial" w:hAnsi="Arial" w:cs="Arial"/>
                <w:sz w:val="24"/>
                <w:szCs w:val="24"/>
              </w:rPr>
              <w:t>mf</w:t>
            </w:r>
            <w:proofErr w:type="spellEnd"/>
            <w:proofErr w:type="gramEnd"/>
          </w:p>
        </w:tc>
        <w:tc>
          <w:tcPr>
            <w:tcW w:w="5386"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lang w:val="en-GB"/>
              </w:rPr>
            </w:pPr>
            <w:r>
              <w:rPr>
                <w:rFonts w:ascii="Arial" w:hAnsi="Arial" w:cs="Arial"/>
                <w:sz w:val="24"/>
                <w:szCs w:val="24"/>
                <w:lang w:val="en-GB"/>
              </w:rPr>
              <w:t>Multi-family housing</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w:t>
            </w:r>
            <w:proofErr w:type="spellStart"/>
            <w:proofErr w:type="gramStart"/>
            <w:r w:rsidRPr="00FB27A4">
              <w:rPr>
                <w:rFonts w:ascii="Arial" w:hAnsi="Arial" w:cs="Arial"/>
                <w:sz w:val="24"/>
                <w:szCs w:val="24"/>
              </w:rPr>
              <w:t>m,o</w:t>
            </w:r>
            <w:proofErr w:type="spellEnd"/>
            <w:proofErr w:type="gramEnd"/>
            <w:r w:rsidRPr="00FB27A4">
              <w:rPr>
                <w:rFonts w:ascii="Arial" w:hAnsi="Arial" w:cs="Arial"/>
                <w:sz w:val="24"/>
                <w:szCs w:val="24"/>
              </w:rPr>
              <w: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Mass of biowaste </w:t>
            </w:r>
            <w:r>
              <w:rPr>
                <w:rFonts w:ascii="Arial" w:hAnsi="Arial" w:cs="Arial"/>
                <w:sz w:val="24"/>
                <w:szCs w:val="24"/>
                <w:lang w:val="en-GB"/>
              </w:rPr>
              <w:t>generated in municipality m from origin o</w:t>
            </w:r>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ton</w:t>
            </w:r>
            <w:proofErr w:type="gramEnd"/>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Pr>
                <w:rFonts w:ascii="Arial" w:hAnsi="Arial" w:cs="Arial"/>
                <w:sz w:val="24"/>
                <w:szCs w:val="24"/>
                <w:lang w:val="en-GB"/>
              </w:rPr>
              <w:t>A treatment technology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Pr>
                <w:rFonts w:ascii="Arial" w:hAnsi="Arial" w:cs="Arial"/>
                <w:sz w:val="24"/>
                <w:szCs w:val="24"/>
              </w:rPr>
              <w:t xml:space="preserve">Set of </w:t>
            </w:r>
            <w:proofErr w:type="spellStart"/>
            <w:r>
              <w:rPr>
                <w:rFonts w:ascii="Arial" w:hAnsi="Arial" w:cs="Arial"/>
                <w:sz w:val="24"/>
                <w:szCs w:val="24"/>
              </w:rPr>
              <w:t>treatment</w:t>
            </w:r>
            <w:proofErr w:type="spellEnd"/>
            <w:r>
              <w:rPr>
                <w:rFonts w:ascii="Arial" w:hAnsi="Arial" w:cs="Arial"/>
                <w:sz w:val="24"/>
                <w:szCs w:val="24"/>
              </w:rPr>
              <w:t xml:space="preserve"> technologies</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C856B0" w:rsidRPr="00FB27A4" w:rsidTr="0046397A">
        <w:tc>
          <w:tcPr>
            <w:tcW w:w="2122"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lang w:val="en-GB"/>
              </w:rPr>
            </w:pPr>
            <w:r>
              <w:rPr>
                <w:rFonts w:ascii="Arial" w:hAnsi="Arial" w:cs="Arial"/>
                <w:sz w:val="24"/>
                <w:szCs w:val="24"/>
                <w:lang w:val="en-GB"/>
              </w:rPr>
              <w:t>lb(t)</w:t>
            </w:r>
          </w:p>
        </w:tc>
        <w:tc>
          <w:tcPr>
            <w:tcW w:w="5386" w:type="dxa"/>
            <w:tcBorders>
              <w:top w:val="single" w:sz="4" w:space="0" w:color="auto"/>
              <w:left w:val="single" w:sz="4" w:space="0" w:color="auto"/>
              <w:bottom w:val="single" w:sz="4" w:space="0" w:color="auto"/>
              <w:right w:val="single" w:sz="4" w:space="0" w:color="auto"/>
            </w:tcBorders>
          </w:tcPr>
          <w:p w:rsidR="00C856B0" w:rsidRDefault="00C856B0" w:rsidP="00C856B0">
            <w:pPr>
              <w:tabs>
                <w:tab w:val="left" w:pos="2926"/>
              </w:tabs>
              <w:spacing w:line="480" w:lineRule="auto"/>
              <w:jc w:val="both"/>
              <w:rPr>
                <w:rFonts w:ascii="Arial" w:hAnsi="Arial" w:cs="Arial"/>
                <w:sz w:val="24"/>
                <w:szCs w:val="24"/>
              </w:rPr>
            </w:pPr>
            <w:r>
              <w:rPr>
                <w:rFonts w:ascii="Arial" w:hAnsi="Arial" w:cs="Arial"/>
                <w:sz w:val="24"/>
                <w:szCs w:val="24"/>
              </w:rPr>
              <w:t xml:space="preserve">Minimum </w:t>
            </w:r>
            <w:proofErr w:type="spellStart"/>
            <w:r>
              <w:rPr>
                <w:rFonts w:ascii="Arial" w:hAnsi="Arial" w:cs="Arial"/>
                <w:sz w:val="24"/>
                <w:szCs w:val="24"/>
              </w:rPr>
              <w:t>capacity</w:t>
            </w:r>
            <w:proofErr w:type="spellEnd"/>
            <w:r>
              <w:rPr>
                <w:rFonts w:ascii="Arial" w:hAnsi="Arial" w:cs="Arial"/>
                <w:sz w:val="24"/>
                <w:szCs w:val="24"/>
              </w:rPr>
              <w:t xml:space="preserve"> of t</w:t>
            </w:r>
          </w:p>
        </w:tc>
        <w:tc>
          <w:tcPr>
            <w:tcW w:w="1701"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rPr>
            </w:pPr>
          </w:p>
        </w:tc>
      </w:tr>
      <w:tr w:rsidR="00C856B0" w:rsidRPr="00FB27A4" w:rsidTr="0046397A">
        <w:tc>
          <w:tcPr>
            <w:tcW w:w="2122"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ub</w:t>
            </w:r>
            <w:proofErr w:type="spellEnd"/>
            <w:r>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tcPr>
          <w:p w:rsidR="00C856B0" w:rsidRDefault="00C856B0" w:rsidP="003B1183">
            <w:pPr>
              <w:spacing w:line="480" w:lineRule="auto"/>
              <w:jc w:val="both"/>
              <w:rPr>
                <w:rFonts w:ascii="Arial" w:hAnsi="Arial" w:cs="Arial"/>
                <w:sz w:val="24"/>
                <w:szCs w:val="24"/>
              </w:rPr>
            </w:pPr>
            <w:r>
              <w:rPr>
                <w:rFonts w:ascii="Arial" w:hAnsi="Arial" w:cs="Arial"/>
                <w:sz w:val="24"/>
                <w:szCs w:val="24"/>
              </w:rPr>
              <w:t xml:space="preserve">Maximum </w:t>
            </w:r>
            <w:proofErr w:type="spellStart"/>
            <w:r>
              <w:rPr>
                <w:rFonts w:ascii="Arial" w:hAnsi="Arial" w:cs="Arial"/>
                <w:sz w:val="24"/>
                <w:szCs w:val="24"/>
              </w:rPr>
              <w:t>capacity</w:t>
            </w:r>
            <w:proofErr w:type="spellEnd"/>
            <w:r>
              <w:rPr>
                <w:rFonts w:ascii="Arial" w:hAnsi="Arial" w:cs="Arial"/>
                <w:sz w:val="24"/>
                <w:szCs w:val="24"/>
              </w:rPr>
              <w:t xml:space="preserve"> of t</w:t>
            </w:r>
          </w:p>
        </w:tc>
        <w:tc>
          <w:tcPr>
            <w:tcW w:w="1701"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C856B0" w:rsidP="003B1183">
            <w:pPr>
              <w:spacing w:line="480" w:lineRule="auto"/>
              <w:jc w:val="both"/>
              <w:rPr>
                <w:rFonts w:ascii="Arial" w:hAnsi="Arial" w:cs="Arial"/>
                <w:sz w:val="24"/>
                <w:szCs w:val="24"/>
                <w:lang w:val="en-GB"/>
              </w:rPr>
            </w:pPr>
            <w:r>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roofErr w:type="spellStart"/>
            <w:r>
              <w:rPr>
                <w:rFonts w:ascii="Arial" w:hAnsi="Arial" w:cs="Arial"/>
                <w:sz w:val="24"/>
                <w:szCs w:val="24"/>
              </w:rPr>
              <w:t>Treatment</w:t>
            </w:r>
            <w:proofErr w:type="spellEnd"/>
            <w:r>
              <w:rPr>
                <w:rFonts w:ascii="Arial" w:hAnsi="Arial" w:cs="Arial"/>
                <w:sz w:val="24"/>
                <w:szCs w:val="24"/>
              </w:rPr>
              <w:t xml:space="preserve"> </w:t>
            </w:r>
            <w:proofErr w:type="spellStart"/>
            <w:r>
              <w:rPr>
                <w:rFonts w:ascii="Arial" w:hAnsi="Arial" w:cs="Arial"/>
                <w:sz w:val="24"/>
                <w:szCs w:val="24"/>
              </w:rPr>
              <w:t>facility</w:t>
            </w:r>
            <w:proofErr w:type="spellEnd"/>
            <w:r>
              <w:rPr>
                <w:rFonts w:ascii="Arial" w:hAnsi="Arial" w:cs="Arial"/>
                <w:sz w:val="24"/>
                <w:szCs w:val="24"/>
              </w:rPr>
              <w:t xml:space="preserve"> location</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BF41F4" w:rsidRPr="00D709B6"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potential facility locations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46397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lastRenderedPageBreak/>
              <w:t>p</w:t>
            </w:r>
            <w:r w:rsidR="00BF41F4" w:rsidRPr="00FB27A4">
              <w:rPr>
                <w:rFonts w:ascii="Arial" w:hAnsi="Arial" w:cs="Arial"/>
                <w:sz w:val="24"/>
                <w:szCs w:val="24"/>
                <w:lang w:val="en-GB"/>
              </w:rPr>
              <w:t>oss_tech</w:t>
            </w:r>
            <w:proofErr w:type="spellEnd"/>
            <w:r w:rsidR="00BF41F4" w:rsidRPr="00FB27A4">
              <w:rPr>
                <w:rFonts w:ascii="Arial" w:hAnsi="Arial" w:cs="Arial"/>
                <w:sz w:val="24"/>
                <w:szCs w:val="24"/>
                <w:lang w:val="en-GB"/>
              </w:rPr>
              <w:t>(</w:t>
            </w:r>
            <w:proofErr w:type="spellStart"/>
            <w:proofErr w:type="gramStart"/>
            <w:r w:rsidR="00BF41F4" w:rsidRPr="00FB27A4">
              <w:rPr>
                <w:rFonts w:ascii="Arial" w:hAnsi="Arial" w:cs="Arial"/>
                <w:sz w:val="24"/>
                <w:szCs w:val="24"/>
                <w:lang w:val="en-GB"/>
              </w:rPr>
              <w:t>t,s</w:t>
            </w:r>
            <w:proofErr w:type="spellEnd"/>
            <w:proofErr w:type="gramEnd"/>
            <w:r w:rsidR="00BF41F4" w:rsidRPr="00FB27A4">
              <w:rPr>
                <w:rFonts w:ascii="Arial" w:hAnsi="Arial" w:cs="Arial"/>
                <w:sz w:val="24"/>
                <w:szCs w:val="24"/>
                <w:lang w:val="en-GB"/>
              </w:rPr>
              <w:t>)</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Binary parameter equal to 1 if site </w:t>
            </w:r>
            <w:proofErr w:type="spellStart"/>
            <w:r w:rsidRPr="00BF41F4">
              <w:rPr>
                <w:rFonts w:ascii="Arial" w:hAnsi="Arial" w:cs="Arial"/>
                <w:sz w:val="24"/>
                <w:szCs w:val="24"/>
                <w:lang w:val="en-GB"/>
              </w:rPr>
              <w:t>s can</w:t>
            </w:r>
            <w:proofErr w:type="spellEnd"/>
            <w:r w:rsidRPr="00BF41F4">
              <w:rPr>
                <w:rFonts w:ascii="Arial" w:hAnsi="Arial" w:cs="Arial"/>
                <w:sz w:val="24"/>
                <w:szCs w:val="24"/>
                <w:lang w:val="en-GB"/>
              </w:rPr>
              <w:t xml:space="preserve"> host technology t, and 0 otherwise</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E93315" w:rsidP="003B1183">
            <w:pPr>
              <w:spacing w:line="480" w:lineRule="auto"/>
              <w:jc w:val="both"/>
              <w:rPr>
                <w:rFonts w:ascii="Arial" w:hAnsi="Arial" w:cs="Arial"/>
                <w:sz w:val="24"/>
                <w:szCs w:val="24"/>
                <w:lang w:val="en-GB"/>
              </w:rPr>
            </w:pPr>
            <w:r w:rsidRPr="00FB27A4">
              <w:rPr>
                <w:rFonts w:ascii="Arial" w:hAnsi="Arial" w:cs="Arial"/>
                <w:sz w:val="24"/>
                <w:szCs w:val="24"/>
                <w:lang w:val="en-GB"/>
              </w:rPr>
              <w:t>C</w:t>
            </w:r>
            <w:r w:rsidR="00BF41F4" w:rsidRPr="00FB27A4">
              <w:rPr>
                <w:rFonts w:ascii="Arial" w:hAnsi="Arial" w:cs="Arial"/>
                <w:sz w:val="24"/>
                <w:szCs w:val="24"/>
                <w:lang w:val="en-GB"/>
              </w:rPr>
              <w:t>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Co</w:t>
            </w:r>
            <w:r w:rsidRPr="00BF41F4">
              <w:rPr>
                <w:rFonts w:ascii="Arial" w:hAnsi="Arial" w:cs="Arial"/>
                <w:sz w:val="24"/>
                <w:szCs w:val="24"/>
                <w:lang w:val="en-GB"/>
              </w:rPr>
              <w:t>-product of biowaste t</w:t>
            </w:r>
            <w:r>
              <w:rPr>
                <w:rFonts w:ascii="Arial" w:hAnsi="Arial" w:cs="Arial"/>
                <w:sz w:val="24"/>
                <w:szCs w:val="24"/>
                <w:lang w:val="en-GB"/>
              </w:rPr>
              <w:t>reatment</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r>
              <w:rPr>
                <w:rFonts w:ascii="Arial" w:hAnsi="Arial" w:cs="Arial"/>
                <w:sz w:val="24"/>
                <w:szCs w:val="24"/>
              </w:rPr>
              <w:t xml:space="preserve">Set of </w:t>
            </w:r>
            <w:proofErr w:type="spellStart"/>
            <w:r>
              <w:rPr>
                <w:rFonts w:ascii="Arial" w:hAnsi="Arial" w:cs="Arial"/>
                <w:sz w:val="24"/>
                <w:szCs w:val="24"/>
              </w:rPr>
              <w:t>co-products</w:t>
            </w:r>
            <w:proofErr w:type="spellEnd"/>
            <w:r>
              <w:rPr>
                <w:rFonts w:ascii="Arial" w:hAnsi="Arial" w:cs="Arial"/>
                <w:sz w:val="24"/>
                <w:szCs w:val="24"/>
              </w:rPr>
              <w:t xml:space="preserve"> </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1254D0" w:rsidRPr="001254D0" w:rsidTr="0046397A">
        <w:tc>
          <w:tcPr>
            <w:tcW w:w="2122" w:type="dxa"/>
            <w:tcBorders>
              <w:top w:val="single" w:sz="4" w:space="0" w:color="auto"/>
              <w:left w:val="single" w:sz="4" w:space="0" w:color="auto"/>
              <w:bottom w:val="single" w:sz="4" w:space="0" w:color="auto"/>
              <w:right w:val="single" w:sz="4" w:space="0" w:color="auto"/>
            </w:tcBorders>
          </w:tcPr>
          <w:p w:rsidR="001254D0" w:rsidRPr="00FB27A4" w:rsidRDefault="00A928A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c</w:t>
            </w:r>
            <w:r w:rsidR="001254D0">
              <w:rPr>
                <w:rFonts w:ascii="Arial" w:hAnsi="Arial" w:cs="Arial"/>
                <w:sz w:val="24"/>
                <w:szCs w:val="24"/>
                <w:lang w:val="en-GB"/>
              </w:rPr>
              <w:t>onvp</w:t>
            </w:r>
            <w:proofErr w:type="spellEnd"/>
          </w:p>
        </w:tc>
        <w:tc>
          <w:tcPr>
            <w:tcW w:w="5386" w:type="dxa"/>
            <w:tcBorders>
              <w:top w:val="single" w:sz="4" w:space="0" w:color="auto"/>
              <w:left w:val="single" w:sz="4" w:space="0" w:color="auto"/>
              <w:bottom w:val="single" w:sz="4" w:space="0" w:color="auto"/>
              <w:right w:val="single" w:sz="4" w:space="0" w:color="auto"/>
            </w:tcBorders>
          </w:tcPr>
          <w:p w:rsidR="001254D0" w:rsidRPr="001254D0" w:rsidRDefault="001254D0" w:rsidP="003B1183">
            <w:pPr>
              <w:spacing w:line="480" w:lineRule="auto"/>
              <w:jc w:val="both"/>
              <w:rPr>
                <w:rFonts w:ascii="Arial" w:hAnsi="Arial" w:cs="Arial"/>
                <w:sz w:val="24"/>
                <w:szCs w:val="24"/>
                <w:lang w:val="en-GB"/>
              </w:rPr>
            </w:pPr>
            <w:r w:rsidRPr="001254D0">
              <w:rPr>
                <w:rFonts w:ascii="Arial" w:hAnsi="Arial" w:cs="Arial"/>
                <w:sz w:val="24"/>
                <w:szCs w:val="24"/>
                <w:lang w:val="en-GB"/>
              </w:rPr>
              <w:t>Conventional product that can b</w:t>
            </w:r>
            <w:r>
              <w:rPr>
                <w:rFonts w:ascii="Arial" w:hAnsi="Arial" w:cs="Arial"/>
                <w:sz w:val="24"/>
                <w:szCs w:val="24"/>
                <w:lang w:val="en-GB"/>
              </w:rPr>
              <w:t>e substituted by a coproduct</w:t>
            </w:r>
          </w:p>
        </w:tc>
        <w:tc>
          <w:tcPr>
            <w:tcW w:w="1701" w:type="dxa"/>
            <w:tcBorders>
              <w:top w:val="single" w:sz="4" w:space="0" w:color="auto"/>
              <w:left w:val="single" w:sz="4" w:space="0" w:color="auto"/>
              <w:bottom w:val="single" w:sz="4" w:space="0" w:color="auto"/>
              <w:right w:val="single" w:sz="4" w:space="0" w:color="auto"/>
            </w:tcBorders>
          </w:tcPr>
          <w:p w:rsidR="001254D0" w:rsidRPr="001254D0" w:rsidRDefault="001254D0" w:rsidP="003B1183">
            <w:pPr>
              <w:spacing w:line="480" w:lineRule="auto"/>
              <w:jc w:val="both"/>
              <w:rPr>
                <w:rFonts w:ascii="Arial" w:hAnsi="Arial" w:cs="Arial"/>
                <w:sz w:val="24"/>
                <w:szCs w:val="24"/>
                <w:lang w:val="en-GB"/>
              </w:rPr>
            </w:pPr>
          </w:p>
        </w:tc>
      </w:tr>
      <w:tr w:rsidR="00A928AA" w:rsidRPr="001254D0" w:rsidTr="0046397A">
        <w:tc>
          <w:tcPr>
            <w:tcW w:w="2122" w:type="dxa"/>
            <w:tcBorders>
              <w:top w:val="single" w:sz="4" w:space="0" w:color="auto"/>
              <w:left w:val="single" w:sz="4" w:space="0" w:color="auto"/>
              <w:bottom w:val="single" w:sz="4" w:space="0" w:color="auto"/>
              <w:right w:val="single" w:sz="4" w:space="0" w:color="auto"/>
            </w:tcBorders>
          </w:tcPr>
          <w:p w:rsidR="00A928AA" w:rsidRDefault="00A928A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ConvP</w:t>
            </w:r>
            <w:proofErr w:type="spellEnd"/>
          </w:p>
        </w:tc>
        <w:tc>
          <w:tcPr>
            <w:tcW w:w="5386" w:type="dxa"/>
            <w:tcBorders>
              <w:top w:val="single" w:sz="4" w:space="0" w:color="auto"/>
              <w:left w:val="single" w:sz="4" w:space="0" w:color="auto"/>
              <w:bottom w:val="single" w:sz="4" w:space="0" w:color="auto"/>
              <w:right w:val="single" w:sz="4" w:space="0" w:color="auto"/>
            </w:tcBorders>
          </w:tcPr>
          <w:p w:rsidR="00A928AA" w:rsidRPr="001254D0" w:rsidRDefault="00A928AA" w:rsidP="003B1183">
            <w:pPr>
              <w:spacing w:line="480" w:lineRule="auto"/>
              <w:jc w:val="both"/>
              <w:rPr>
                <w:rFonts w:ascii="Arial" w:hAnsi="Arial" w:cs="Arial"/>
                <w:sz w:val="24"/>
                <w:szCs w:val="24"/>
                <w:lang w:val="en-GB"/>
              </w:rPr>
            </w:pPr>
            <w:r>
              <w:rPr>
                <w:rFonts w:ascii="Arial" w:hAnsi="Arial" w:cs="Arial"/>
                <w:sz w:val="24"/>
                <w:szCs w:val="24"/>
                <w:lang w:val="en-GB"/>
              </w:rPr>
              <w:t>Set of conventional products</w:t>
            </w:r>
          </w:p>
        </w:tc>
        <w:tc>
          <w:tcPr>
            <w:tcW w:w="1701" w:type="dxa"/>
            <w:tcBorders>
              <w:top w:val="single" w:sz="4" w:space="0" w:color="auto"/>
              <w:left w:val="single" w:sz="4" w:space="0" w:color="auto"/>
              <w:bottom w:val="single" w:sz="4" w:space="0" w:color="auto"/>
              <w:right w:val="single" w:sz="4" w:space="0" w:color="auto"/>
            </w:tcBorders>
          </w:tcPr>
          <w:p w:rsidR="00A928AA" w:rsidRPr="001254D0" w:rsidRDefault="00A928AA" w:rsidP="003B1183">
            <w:pPr>
              <w:spacing w:line="480" w:lineRule="auto"/>
              <w:jc w:val="both"/>
              <w:rPr>
                <w:rFonts w:ascii="Arial" w:hAnsi="Arial" w:cs="Arial"/>
                <w:sz w:val="24"/>
                <w:szCs w:val="24"/>
                <w:lang w:val="en-GB"/>
              </w:rPr>
            </w:pPr>
          </w:p>
        </w:tc>
      </w:tr>
      <w:tr w:rsidR="00BF41F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E93315" w:rsidP="003B1183">
            <w:pPr>
              <w:spacing w:line="480" w:lineRule="auto"/>
              <w:jc w:val="both"/>
              <w:rPr>
                <w:rFonts w:ascii="Arial" w:hAnsi="Arial" w:cs="Arial"/>
                <w:sz w:val="24"/>
                <w:szCs w:val="24"/>
                <w:lang w:val="en-GB"/>
              </w:rPr>
            </w:pPr>
            <w:r w:rsidRPr="00FB27A4">
              <w:rPr>
                <w:rFonts w:ascii="Arial" w:hAnsi="Arial" w:cs="Arial"/>
                <w:sz w:val="24"/>
                <w:szCs w:val="24"/>
                <w:lang w:val="en-GB"/>
              </w:rPr>
              <w:t>M</w:t>
            </w:r>
            <w:r w:rsidR="00BF41F4" w:rsidRPr="00FB27A4">
              <w:rPr>
                <w:rFonts w:ascii="Arial" w:hAnsi="Arial" w:cs="Arial"/>
                <w:sz w:val="24"/>
                <w:szCs w:val="24"/>
                <w:lang w:val="en-GB"/>
              </w:rPr>
              <w:t>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Market where a co-product can be </w:t>
            </w:r>
            <w:proofErr w:type="spellStart"/>
            <w:r w:rsidRPr="00BF41F4">
              <w:rPr>
                <w:rFonts w:ascii="Arial" w:hAnsi="Arial" w:cs="Arial"/>
                <w:sz w:val="24"/>
                <w:szCs w:val="24"/>
                <w:lang w:val="en-GB"/>
              </w:rPr>
              <w:t>valorized</w:t>
            </w:r>
            <w:proofErr w:type="spellEnd"/>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709B6"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MARK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co-product markets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46397A" w:rsidRPr="00D709B6" w:rsidTr="0046397A">
        <w:tc>
          <w:tcPr>
            <w:tcW w:w="2122"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Poss_</w:t>
            </w:r>
            <w:proofErr w:type="gramStart"/>
            <w:r>
              <w:rPr>
                <w:rFonts w:ascii="Arial" w:hAnsi="Arial" w:cs="Arial"/>
                <w:sz w:val="24"/>
                <w:szCs w:val="24"/>
                <w:lang w:val="en-GB"/>
              </w:rPr>
              <w:t>mark</w:t>
            </w:r>
            <w:proofErr w:type="spellEnd"/>
            <w:r>
              <w:rPr>
                <w:rFonts w:ascii="Arial" w:hAnsi="Arial" w:cs="Arial"/>
                <w:sz w:val="24"/>
                <w:szCs w:val="24"/>
                <w:lang w:val="en-GB"/>
              </w:rPr>
              <w:t>(</w:t>
            </w:r>
            <w:proofErr w:type="gramEnd"/>
            <w:r>
              <w:rPr>
                <w:rFonts w:ascii="Arial" w:hAnsi="Arial" w:cs="Arial"/>
                <w:sz w:val="24"/>
                <w:szCs w:val="24"/>
                <w:lang w:val="en-GB"/>
              </w:rPr>
              <w:t>cp, mark)</w:t>
            </w:r>
          </w:p>
        </w:tc>
        <w:tc>
          <w:tcPr>
            <w:tcW w:w="5386" w:type="dxa"/>
            <w:tcBorders>
              <w:top w:val="single" w:sz="4" w:space="0" w:color="auto"/>
              <w:left w:val="single" w:sz="4" w:space="0" w:color="auto"/>
              <w:bottom w:val="single" w:sz="4" w:space="0" w:color="auto"/>
              <w:right w:val="single" w:sz="4" w:space="0" w:color="auto"/>
            </w:tcBorders>
          </w:tcPr>
          <w:p w:rsidR="0046397A" w:rsidRPr="00BF41F4" w:rsidRDefault="0046397A"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Binary parameter equal to 1 if </w:t>
            </w:r>
            <w:r>
              <w:rPr>
                <w:rFonts w:ascii="Arial" w:hAnsi="Arial" w:cs="Arial"/>
                <w:sz w:val="24"/>
                <w:szCs w:val="24"/>
                <w:lang w:val="en-GB"/>
              </w:rPr>
              <w:t>mark</w:t>
            </w:r>
            <w:r w:rsidRPr="00BF41F4">
              <w:rPr>
                <w:rFonts w:ascii="Arial" w:hAnsi="Arial" w:cs="Arial"/>
                <w:sz w:val="24"/>
                <w:szCs w:val="24"/>
                <w:lang w:val="en-GB"/>
              </w:rPr>
              <w:t xml:space="preserve"> can </w:t>
            </w:r>
            <w:r>
              <w:rPr>
                <w:rFonts w:ascii="Arial" w:hAnsi="Arial" w:cs="Arial"/>
                <w:sz w:val="24"/>
                <w:szCs w:val="24"/>
                <w:lang w:val="en-GB"/>
              </w:rPr>
              <w:t>receive cp</w:t>
            </w:r>
            <w:r w:rsidRPr="00BF41F4">
              <w:rPr>
                <w:rFonts w:ascii="Arial" w:hAnsi="Arial" w:cs="Arial"/>
                <w:sz w:val="24"/>
                <w:szCs w:val="24"/>
                <w:lang w:val="en-GB"/>
              </w:rPr>
              <w:t>, and 0 otherwise</w:t>
            </w:r>
          </w:p>
        </w:tc>
        <w:tc>
          <w:tcPr>
            <w:tcW w:w="1701"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3B1183" w:rsidRDefault="00E93315" w:rsidP="003B1183">
            <w:pPr>
              <w:spacing w:line="480" w:lineRule="auto"/>
              <w:jc w:val="both"/>
              <w:rPr>
                <w:rFonts w:asciiTheme="minorHAnsi" w:eastAsiaTheme="minorEastAsia" w:hAnsiTheme="minorHAnsi" w:cstheme="minorBidi"/>
                <w:sz w:val="24"/>
                <w:szCs w:val="24"/>
                <w:lang w:val="en-GB"/>
              </w:rPr>
            </w:pPr>
            <m:oMathPara>
              <m:oMath>
                <m:sSub>
                  <m:sSubPr>
                    <m:ctrlPr>
                      <w:rPr>
                        <w:rFonts w:ascii="Cambria Math" w:hAnsi="Cambria Math" w:cs="Arial"/>
                        <w:i/>
                        <w:sz w:val="24"/>
                        <w:szCs w:val="24"/>
                        <w:lang w:val="en-GB"/>
                      </w:rPr>
                    </m:ctrlPr>
                  </m:sSubPr>
                  <m:e>
                    <m:r>
                      <w:rPr>
                        <w:rFonts w:ascii="Cambria Math" w:hAnsi="Cambria Math" w:cs="Arial"/>
                        <w:sz w:val="24"/>
                        <w:szCs w:val="24"/>
                        <w:lang w:val="en-GB"/>
                      </w:rPr>
                      <m:t>d</m:t>
                    </m:r>
                  </m:e>
                  <m:sub>
                    <m:r>
                      <w:rPr>
                        <w:rFonts w:ascii="Cambria Math" w:hAnsi="Cambria Math" w:cs="Arial"/>
                        <w:sz w:val="24"/>
                        <w:szCs w:val="24"/>
                        <w:lang w:val="en-GB"/>
                      </w:rPr>
                      <m:t>c</m:t>
                    </m:r>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Pr>
                <w:rFonts w:ascii="Arial" w:hAnsi="Arial" w:cs="Arial"/>
                <w:sz w:val="24"/>
                <w:szCs w:val="24"/>
                <w:lang w:val="en-GB"/>
              </w:rPr>
              <w:t>Waste c</w:t>
            </w:r>
            <w:r w:rsidRPr="00BF41F4">
              <w:rPr>
                <w:rFonts w:ascii="Arial" w:hAnsi="Arial" w:cs="Arial"/>
                <w:sz w:val="24"/>
                <w:szCs w:val="24"/>
                <w:lang w:val="en-GB"/>
              </w:rPr>
              <w:t>ollection distance within municipality m</w:t>
            </w:r>
          </w:p>
        </w:tc>
        <w:tc>
          <w:tcPr>
            <w:tcW w:w="1701"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m:oMathPara>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m,s</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F41F4">
              <w:rPr>
                <w:rFonts w:ascii="Arial" w:hAnsi="Arial" w:cs="Arial"/>
                <w:sz w:val="24"/>
                <w:szCs w:val="24"/>
                <w:lang w:val="en-GB"/>
              </w:rPr>
              <w:t>Distance between municipality m and site s</w:t>
            </w: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FB27A4" w:rsidTr="003B1183">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E93315" w:rsidP="003B1183">
            <w:pPr>
              <w:spacing w:line="480" w:lineRule="auto"/>
              <w:jc w:val="both"/>
              <w:rPr>
                <w:rFonts w:ascii="Arial" w:hAnsi="Arial" w:cs="Arial"/>
                <w:sz w:val="24"/>
                <w:szCs w:val="24"/>
                <w:lang w:val="en-GB"/>
              </w:rPr>
            </w:pPr>
            <m:oMathPara>
              <m:oMath>
                <m:r>
                  <w:rPr>
                    <w:rFonts w:ascii="Cambria Math" w:hAnsi="Cambria Math" w:cs="Arial"/>
                    <w:sz w:val="24"/>
                    <w:szCs w:val="24"/>
                    <w:lang w:val="en-GB"/>
                  </w:rPr>
                  <m:t>d(s,mark)</m:t>
                </m:r>
              </m:oMath>
            </m:oMathPara>
          </w:p>
        </w:tc>
        <w:tc>
          <w:tcPr>
            <w:tcW w:w="5386" w:type="dxa"/>
            <w:tcBorders>
              <w:top w:val="single" w:sz="4" w:space="0" w:color="auto"/>
              <w:left w:val="single" w:sz="4" w:space="0" w:color="auto"/>
              <w:bottom w:val="single" w:sz="4" w:space="0" w:color="auto"/>
              <w:right w:val="single" w:sz="4" w:space="0" w:color="auto"/>
            </w:tcBorders>
          </w:tcPr>
          <w:p w:rsidR="003B1183" w:rsidRPr="00FB27A4" w:rsidRDefault="00E93315"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Distance between </w:t>
            </w:r>
            <w:r>
              <w:rPr>
                <w:rFonts w:ascii="Arial" w:hAnsi="Arial" w:cs="Arial"/>
                <w:sz w:val="24"/>
                <w:szCs w:val="24"/>
                <w:lang w:val="en-GB"/>
              </w:rPr>
              <w:t>a</w:t>
            </w:r>
            <w:r w:rsidRPr="00BF41F4">
              <w:rPr>
                <w:rFonts w:ascii="Arial" w:hAnsi="Arial" w:cs="Arial"/>
                <w:sz w:val="24"/>
                <w:szCs w:val="24"/>
                <w:lang w:val="en-GB"/>
              </w:rPr>
              <w:t xml:space="preserve"> site s</w:t>
            </w:r>
            <w:r>
              <w:rPr>
                <w:rFonts w:ascii="Arial" w:hAnsi="Arial" w:cs="Arial"/>
                <w:sz w:val="24"/>
                <w:szCs w:val="24"/>
                <w:lang w:val="en-GB"/>
              </w:rPr>
              <w:t xml:space="preserve"> and a market mark</w:t>
            </w: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iCs/>
              </w:rPr>
            </w:pPr>
            <w:proofErr w:type="gramStart"/>
            <w:r w:rsidRPr="00FB27A4">
              <w:rPr>
                <w:rFonts w:ascii="Arial" w:hAnsi="Arial" w:cs="Arial"/>
                <w:iCs/>
              </w:rPr>
              <w:t>CAP(</w:t>
            </w:r>
            <w:proofErr w:type="gramEnd"/>
            <w:r w:rsidRPr="00FB27A4">
              <w:rPr>
                <w:rFonts w:ascii="Arial" w:hAnsi="Arial" w:cs="Arial"/>
                <w:iCs/>
              </w:rPr>
              <w:t>co</w:t>
            </w:r>
            <w:r w:rsidR="001254D0">
              <w:rPr>
                <w:rFonts w:ascii="Arial" w:hAnsi="Arial" w:cs="Arial"/>
                <w:iCs/>
              </w:rPr>
              <w:t>nv</w:t>
            </w:r>
            <w:r w:rsidRPr="00FB27A4">
              <w:rPr>
                <w:rFonts w:ascii="Arial" w:hAnsi="Arial" w:cs="Arial"/>
                <w:iCs/>
              </w:rPr>
              <w:t>p)</w:t>
            </w:r>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11E27">
              <w:rPr>
                <w:rFonts w:ascii="Arial" w:hAnsi="Arial" w:cs="Arial"/>
                <w:sz w:val="24"/>
                <w:szCs w:val="24"/>
                <w:lang w:val="en-GB"/>
              </w:rPr>
              <w:t>Maximum market capacity for conventional products within the territory</w:t>
            </w:r>
          </w:p>
        </w:tc>
        <w:tc>
          <w:tcPr>
            <w:tcW w:w="1701" w:type="dxa"/>
            <w:tcBorders>
              <w:top w:val="single" w:sz="4" w:space="0" w:color="auto"/>
              <w:left w:val="single" w:sz="4" w:space="0" w:color="auto"/>
              <w:bottom w:val="single" w:sz="4" w:space="0" w:color="auto"/>
              <w:right w:val="single" w:sz="4" w:space="0" w:color="auto"/>
            </w:tcBorders>
          </w:tcPr>
          <w:p w:rsidR="003B1183" w:rsidRPr="00FB27A4" w:rsidRDefault="003B1183" w:rsidP="003B1183">
            <w:pPr>
              <w:spacing w:line="480" w:lineRule="auto"/>
              <w:jc w:val="both"/>
              <w:rPr>
                <w:rFonts w:ascii="Arial" w:hAnsi="Arial" w:cs="Arial"/>
                <w:sz w:val="24"/>
                <w:szCs w:val="24"/>
                <w:lang w:val="en-GB"/>
              </w:rPr>
            </w:pPr>
          </w:p>
        </w:tc>
      </w:tr>
      <w:tr w:rsidR="00C57298" w:rsidRPr="00DD6DE0" w:rsidTr="0046397A">
        <w:tc>
          <w:tcPr>
            <w:tcW w:w="2122" w:type="dxa"/>
            <w:tcBorders>
              <w:top w:val="single" w:sz="4" w:space="0" w:color="auto"/>
              <w:left w:val="single" w:sz="4" w:space="0" w:color="auto"/>
              <w:bottom w:val="single" w:sz="4" w:space="0" w:color="auto"/>
              <w:right w:val="single" w:sz="4" w:space="0" w:color="auto"/>
            </w:tcBorders>
          </w:tcPr>
          <w:p w:rsidR="00C57298" w:rsidRPr="00FB27A4" w:rsidRDefault="00C57298" w:rsidP="003B1183">
            <w:pPr>
              <w:spacing w:line="480" w:lineRule="auto"/>
              <w:jc w:val="both"/>
              <w:rPr>
                <w:rFonts w:ascii="Arial" w:hAnsi="Arial" w:cs="Arial"/>
                <w:iCs/>
              </w:rPr>
            </w:pPr>
            <m:oMathPara>
              <m:oMath>
                <m:sSub>
                  <m:sSubPr>
                    <m:ctrlPr>
                      <w:rPr>
                        <w:rFonts w:ascii="Cambria Math" w:hAnsi="Cambria Math"/>
                        <w:i/>
                        <w:iCs/>
                        <w:sz w:val="24"/>
                        <w:szCs w:val="24"/>
                      </w:rPr>
                    </m:ctrlPr>
                  </m:sSubPr>
                  <m:e>
                    <m:r>
                      <w:rPr>
                        <w:rFonts w:ascii="Cambria Math" w:hAnsi="Cambria Math"/>
                      </w:rPr>
                      <m:t>y</m:t>
                    </m:r>
                  </m:e>
                  <m:sub>
                    <m:r>
                      <w:rPr>
                        <w:rFonts w:ascii="Cambria Math" w:hAnsi="Cambria Math"/>
                      </w:rPr>
                      <m:t>cp,t</m:t>
                    </m:r>
                  </m:sub>
                </m:sSub>
              </m:oMath>
            </m:oMathPara>
          </w:p>
        </w:tc>
        <w:tc>
          <w:tcPr>
            <w:tcW w:w="5386" w:type="dxa"/>
            <w:tcBorders>
              <w:top w:val="single" w:sz="4" w:space="0" w:color="auto"/>
              <w:left w:val="single" w:sz="4" w:space="0" w:color="auto"/>
              <w:bottom w:val="single" w:sz="4" w:space="0" w:color="auto"/>
              <w:right w:val="single" w:sz="4" w:space="0" w:color="auto"/>
            </w:tcBorders>
          </w:tcPr>
          <w:p w:rsidR="00C57298" w:rsidRPr="00B11E27" w:rsidRDefault="00DD6DE0" w:rsidP="003B1183">
            <w:pPr>
              <w:spacing w:line="480" w:lineRule="auto"/>
              <w:jc w:val="both"/>
              <w:rPr>
                <w:rFonts w:ascii="Arial" w:hAnsi="Arial" w:cs="Arial"/>
                <w:sz w:val="24"/>
                <w:szCs w:val="24"/>
                <w:lang w:val="en-GB"/>
              </w:rPr>
            </w:pPr>
            <w:r>
              <w:rPr>
                <w:rFonts w:ascii="Arial" w:hAnsi="Arial" w:cs="Arial"/>
                <w:sz w:val="24"/>
                <w:szCs w:val="24"/>
                <w:lang w:val="en-GB"/>
              </w:rPr>
              <w:t>Rate of production of cp by t</w:t>
            </w:r>
          </w:p>
        </w:tc>
        <w:tc>
          <w:tcPr>
            <w:tcW w:w="1701" w:type="dxa"/>
            <w:tcBorders>
              <w:top w:val="single" w:sz="4" w:space="0" w:color="auto"/>
              <w:left w:val="single" w:sz="4" w:space="0" w:color="auto"/>
              <w:bottom w:val="single" w:sz="4" w:space="0" w:color="auto"/>
              <w:right w:val="single" w:sz="4" w:space="0" w:color="auto"/>
            </w:tcBorders>
          </w:tcPr>
          <w:p w:rsidR="00C57298" w:rsidRDefault="00DD6DE0" w:rsidP="003B1183">
            <w:pPr>
              <w:spacing w:line="480" w:lineRule="auto"/>
              <w:jc w:val="both"/>
              <w:rPr>
                <w:rFonts w:ascii="Arial" w:hAnsi="Arial" w:cs="Arial"/>
                <w:sz w:val="24"/>
                <w:szCs w:val="24"/>
                <w:lang w:val="en-GB"/>
              </w:rPr>
            </w:pPr>
            <w:r>
              <w:rPr>
                <w:rFonts w:ascii="Arial" w:hAnsi="Arial" w:cs="Arial"/>
                <w:sz w:val="24"/>
                <w:szCs w:val="24"/>
                <w:lang w:val="en-GB"/>
              </w:rPr>
              <w:t>Unit of cp/ton of waste</w:t>
            </w:r>
          </w:p>
        </w:tc>
      </w:tr>
      <w:tr w:rsidR="00DD6DE0" w:rsidRPr="00DD6DE0" w:rsidTr="0046397A">
        <w:tc>
          <w:tcPr>
            <w:tcW w:w="2122" w:type="dxa"/>
            <w:tcBorders>
              <w:top w:val="single" w:sz="4" w:space="0" w:color="auto"/>
              <w:left w:val="single" w:sz="4" w:space="0" w:color="auto"/>
              <w:bottom w:val="single" w:sz="4" w:space="0" w:color="auto"/>
              <w:right w:val="single" w:sz="4" w:space="0" w:color="auto"/>
            </w:tcBorders>
          </w:tcPr>
          <w:p w:rsidR="00DD6DE0" w:rsidRDefault="00DD6DE0" w:rsidP="003B1183">
            <w:pPr>
              <w:spacing w:line="480" w:lineRule="auto"/>
              <w:jc w:val="both"/>
              <w:rPr>
                <w:iCs/>
                <w:sz w:val="24"/>
                <w:szCs w:val="24"/>
              </w:rPr>
            </w:pPr>
            <m:oMathPara>
              <m:oMath>
                <m:sSub>
                  <m:sSubPr>
                    <m:ctrlPr>
                      <w:rPr>
                        <w:rFonts w:ascii="Cambria Math" w:hAnsi="Cambria Math"/>
                        <w:i/>
                        <w:iCs/>
                        <w:sz w:val="24"/>
                        <w:szCs w:val="24"/>
                      </w:rPr>
                    </m:ctrlPr>
                  </m:sSubPr>
                  <m:e>
                    <m:r>
                      <w:rPr>
                        <w:rFonts w:ascii="Cambria Math" w:hAnsi="Cambria Math"/>
                      </w:rPr>
                      <m:t>γ</m:t>
                    </m:r>
                  </m:e>
                  <m:sub>
                    <m:r>
                      <w:rPr>
                        <w:rFonts w:ascii="Cambria Math" w:hAnsi="Cambria Math"/>
                      </w:rPr>
                      <m:t>cp,con</m:t>
                    </m:r>
                    <m:sSub>
                      <m:sSubPr>
                        <m:ctrlPr>
                          <w:rPr>
                            <w:rFonts w:ascii="Cambria Math" w:hAnsi="Cambria Math"/>
                            <w:i/>
                            <w:iCs/>
                            <w:sz w:val="24"/>
                            <w:szCs w:val="24"/>
                          </w:rPr>
                        </m:ctrlPr>
                      </m:sSubPr>
                      <m:e>
                        <m:r>
                          <w:rPr>
                            <w:rFonts w:ascii="Cambria Math" w:hAnsi="Cambria Math"/>
                          </w:rPr>
                          <m:t>v</m:t>
                        </m:r>
                      </m:e>
                      <m:sub>
                        <m:r>
                          <w:rPr>
                            <w:rFonts w:ascii="Cambria Math" w:hAnsi="Cambria Math"/>
                          </w:rPr>
                          <m:t>p</m:t>
                        </m:r>
                      </m:sub>
                    </m:sSub>
                  </m:sub>
                </m:sSub>
              </m:oMath>
            </m:oMathPara>
          </w:p>
        </w:tc>
        <w:tc>
          <w:tcPr>
            <w:tcW w:w="5386" w:type="dxa"/>
            <w:tcBorders>
              <w:top w:val="single" w:sz="4" w:space="0" w:color="auto"/>
              <w:left w:val="single" w:sz="4" w:space="0" w:color="auto"/>
              <w:bottom w:val="single" w:sz="4" w:space="0" w:color="auto"/>
              <w:right w:val="single" w:sz="4" w:space="0" w:color="auto"/>
            </w:tcBorders>
          </w:tcPr>
          <w:p w:rsidR="00DD6DE0" w:rsidRDefault="003E23F7" w:rsidP="003B1183">
            <w:pPr>
              <w:spacing w:line="480" w:lineRule="auto"/>
              <w:jc w:val="both"/>
              <w:rPr>
                <w:rFonts w:ascii="Arial" w:hAnsi="Arial" w:cs="Arial"/>
                <w:sz w:val="24"/>
                <w:szCs w:val="24"/>
                <w:lang w:val="en-GB"/>
              </w:rPr>
            </w:pPr>
            <w:r>
              <w:rPr>
                <w:rFonts w:ascii="Arial" w:hAnsi="Arial" w:cs="Arial"/>
                <w:sz w:val="24"/>
                <w:szCs w:val="24"/>
                <w:lang w:val="en-GB"/>
              </w:rPr>
              <w:t>Substitution rate of a conventional product by a coproduct</w:t>
            </w:r>
          </w:p>
        </w:tc>
        <w:tc>
          <w:tcPr>
            <w:tcW w:w="1701" w:type="dxa"/>
            <w:tcBorders>
              <w:top w:val="single" w:sz="4" w:space="0" w:color="auto"/>
              <w:left w:val="single" w:sz="4" w:space="0" w:color="auto"/>
              <w:bottom w:val="single" w:sz="4" w:space="0" w:color="auto"/>
              <w:right w:val="single" w:sz="4" w:space="0" w:color="auto"/>
            </w:tcBorders>
          </w:tcPr>
          <w:p w:rsidR="00DD6DE0" w:rsidRDefault="00DD6DE0" w:rsidP="003B1183">
            <w:pPr>
              <w:spacing w:line="480" w:lineRule="auto"/>
              <w:jc w:val="both"/>
              <w:rPr>
                <w:rFonts w:ascii="Arial" w:hAnsi="Arial" w:cs="Arial"/>
                <w:sz w:val="24"/>
                <w:szCs w:val="24"/>
                <w:lang w:val="en-GB"/>
              </w:rPr>
            </w:pPr>
          </w:p>
        </w:tc>
      </w:tr>
    </w:tbl>
    <w:p w:rsidR="00B11E27" w:rsidRDefault="00B11E27" w:rsidP="003B1183">
      <w:pPr>
        <w:pStyle w:val="Titre3"/>
        <w:numPr>
          <w:ilvl w:val="0"/>
          <w:numId w:val="8"/>
        </w:numPr>
        <w:jc w:val="both"/>
        <w:rPr>
          <w:rFonts w:cs="Arial"/>
          <w:lang w:val="en-GB"/>
        </w:rPr>
      </w:pPr>
      <w:r w:rsidRPr="003B1183">
        <w:rPr>
          <w:lang w:val="en-GB"/>
        </w:rPr>
        <w:t>Definition</w:t>
      </w:r>
      <w:r>
        <w:rPr>
          <w:rFonts w:cs="Arial"/>
          <w:lang w:val="en-GB"/>
        </w:rPr>
        <w:t xml:space="preserve"> of variables</w:t>
      </w:r>
    </w:p>
    <w:p w:rsidR="00B11E27" w:rsidRDefault="00B11E27" w:rsidP="003B1183">
      <w:pPr>
        <w:spacing w:line="480" w:lineRule="auto"/>
        <w:jc w:val="both"/>
        <w:rPr>
          <w:rFonts w:ascii="Arial" w:hAnsi="Arial" w:cs="Arial"/>
          <w:sz w:val="24"/>
          <w:szCs w:val="24"/>
          <w:lang w:val="en-GB"/>
        </w:rPr>
      </w:pPr>
      <w:r>
        <w:rPr>
          <w:rFonts w:ascii="Arial" w:hAnsi="Arial" w:cs="Arial"/>
          <w:sz w:val="24"/>
          <w:szCs w:val="24"/>
          <w:lang w:val="en-GB"/>
        </w:rPr>
        <w:t>The optimization framework is designed to track mat</w:t>
      </w:r>
      <w:r w:rsidR="004058FF">
        <w:rPr>
          <w:rFonts w:ascii="Arial" w:hAnsi="Arial" w:cs="Arial"/>
          <w:sz w:val="24"/>
          <w:szCs w:val="24"/>
          <w:lang w:val="en-GB"/>
        </w:rPr>
        <w:t>erials flows along the entire value chain, from waste producers to treatment technologies and downstream coproduct markets. Accordingly, three decision variables are defined:</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w:lastRenderedPageBreak/>
          <m:t>x</m:t>
        </m:r>
        <m:r>
          <w:rPr>
            <w:rFonts w:ascii="Cambria Math" w:eastAsia="Calibri" w:hAnsi="Cambria Math" w:cs="Arial"/>
            <w:sz w:val="24"/>
            <w:szCs w:val="24"/>
            <w:lang w:val="en-GB"/>
          </w:rPr>
          <m:t>(</m:t>
        </m:r>
        <m:r>
          <w:rPr>
            <w:rFonts w:ascii="Cambria Math" w:eastAsia="Calibri" w:hAnsi="Cambria Math" w:cs="Arial"/>
            <w:sz w:val="24"/>
            <w:szCs w:val="24"/>
          </w:rPr>
          <m:t>m</m:t>
        </m:r>
        <m:r>
          <w:rPr>
            <w:rFonts w:ascii="Cambria Math" w:eastAsia="Calibri" w:hAnsi="Cambria Math" w:cs="Arial"/>
            <w:sz w:val="24"/>
            <w:szCs w:val="24"/>
            <w:lang w:val="en-GB"/>
          </w:rPr>
          <m:t xml:space="preserve">, </m:t>
        </m:r>
        <m:r>
          <w:rPr>
            <w:rFonts w:ascii="Cambria Math" w:eastAsia="Calibri" w:hAnsi="Cambria Math" w:cs="Arial"/>
            <w:sz w:val="24"/>
            <w:szCs w:val="24"/>
          </w:rPr>
          <m:t>o</m:t>
        </m:r>
        <m:r>
          <w:rPr>
            <w:rFonts w:ascii="Cambria Math" w:eastAsia="Calibri" w:hAnsi="Cambria Math" w:cs="Arial"/>
            <w:sz w:val="24"/>
            <w:szCs w:val="24"/>
            <w:lang w:val="en-GB"/>
          </w:rPr>
          <m:t xml:space="preserve">, </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w:t>
      </w:r>
      <w:r w:rsidRPr="004058FF">
        <w:rPr>
          <w:rFonts w:ascii="Arial" w:eastAsia="Calibri" w:hAnsi="Arial" w:cs="Arial"/>
          <w:sz w:val="24"/>
          <w:szCs w:val="24"/>
          <w:lang w:val="en-GB"/>
        </w:rPr>
        <w:t xml:space="preserve"> flow o</w:t>
      </w:r>
      <w:r>
        <w:rPr>
          <w:rFonts w:ascii="Arial" w:eastAsia="Calibri" w:hAnsi="Arial" w:cs="Arial"/>
          <w:sz w:val="24"/>
          <w:szCs w:val="24"/>
          <w:lang w:val="en-GB"/>
        </w:rPr>
        <w:t>f biowaste generated in municipality m from source o, sent to technology t located at site s</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y</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 binary v</w:t>
      </w:r>
      <w:proofErr w:type="spellStart"/>
      <w:r>
        <w:rPr>
          <w:rFonts w:ascii="Arial" w:eastAsia="Times New Roman" w:hAnsi="Arial" w:cs="Arial"/>
          <w:sz w:val="24"/>
          <w:szCs w:val="24"/>
          <w:lang w:val="en-GB"/>
        </w:rPr>
        <w:t>ariable</w:t>
      </w:r>
      <w:proofErr w:type="spellEnd"/>
      <w:r>
        <w:rPr>
          <w:rFonts w:ascii="Arial" w:eastAsia="Times New Roman" w:hAnsi="Arial" w:cs="Arial"/>
          <w:sz w:val="24"/>
          <w:szCs w:val="24"/>
          <w:lang w:val="en-GB"/>
        </w:rPr>
        <w:t xml:space="preserve"> equal to 1 if technology t is activated (installed) at site s, and 0 otherwise</w:t>
      </w:r>
    </w:p>
    <w:p w:rsid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z</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m:t>
        </m:r>
        <m:r>
          <w:rPr>
            <w:rFonts w:ascii="Cambria Math" w:eastAsia="Calibri" w:hAnsi="Cambria Math" w:cs="Arial"/>
            <w:sz w:val="24"/>
            <w:szCs w:val="24"/>
          </w:rPr>
          <m:t>cp</m:t>
        </m:r>
        <m:r>
          <w:rPr>
            <w:rFonts w:ascii="Cambria Math" w:eastAsia="Calibri" w:hAnsi="Cambria Math" w:cs="Arial"/>
            <w:sz w:val="24"/>
            <w:szCs w:val="24"/>
            <w:lang w:val="en-GB"/>
          </w:rPr>
          <m:t>,</m:t>
        </m:r>
        <m:r>
          <w:rPr>
            <w:rFonts w:ascii="Cambria Math" w:eastAsia="Calibri" w:hAnsi="Cambria Math" w:cs="Arial"/>
            <w:sz w:val="24"/>
            <w:szCs w:val="24"/>
          </w:rPr>
          <m:t>s</m:t>
        </m:r>
        <m:r>
          <w:rPr>
            <w:rFonts w:ascii="Cambria Math" w:eastAsia="Calibri" w:hAnsi="Cambria Math" w:cs="Arial"/>
            <w:sz w:val="24"/>
            <w:szCs w:val="24"/>
            <w:lang w:val="en-GB"/>
          </w:rPr>
          <m:t>,</m:t>
        </m:r>
        <m:r>
          <w:rPr>
            <w:rFonts w:ascii="Cambria Math" w:eastAsia="Calibri" w:hAnsi="Cambria Math" w:cs="Arial"/>
            <w:sz w:val="24"/>
            <w:szCs w:val="24"/>
          </w:rPr>
          <m:t>mark</m:t>
        </m:r>
        <m:r>
          <w:rPr>
            <w:rFonts w:ascii="Cambria Math" w:eastAsia="Calibri" w:hAnsi="Cambria Math" w:cs="Arial"/>
            <w:sz w:val="24"/>
            <w:szCs w:val="24"/>
            <w:lang w:val="en-GB"/>
          </w:rPr>
          <m:t>) </m:t>
        </m:r>
      </m:oMath>
      <w:r w:rsidRPr="004058FF">
        <w:rPr>
          <w:rFonts w:ascii="Arial" w:eastAsia="Calibri" w:hAnsi="Arial" w:cs="Arial"/>
          <w:sz w:val="24"/>
          <w:szCs w:val="24"/>
          <w:lang w:val="en-GB"/>
        </w:rPr>
        <w:t>: flow of co-coproduct cp produced by te</w:t>
      </w:r>
      <w:proofErr w:type="spellStart"/>
      <w:r>
        <w:rPr>
          <w:rFonts w:ascii="Arial" w:eastAsia="Calibri" w:hAnsi="Arial" w:cs="Arial"/>
          <w:sz w:val="24"/>
          <w:szCs w:val="24"/>
          <w:lang w:val="en-GB"/>
        </w:rPr>
        <w:t>chnology</w:t>
      </w:r>
      <w:proofErr w:type="spellEnd"/>
      <w:r>
        <w:rPr>
          <w:rFonts w:ascii="Arial" w:eastAsia="Calibri" w:hAnsi="Arial" w:cs="Arial"/>
          <w:sz w:val="24"/>
          <w:szCs w:val="24"/>
          <w:lang w:val="en-GB"/>
        </w:rPr>
        <w:t xml:space="preserve"> t at site s and delivered to market mark</w:t>
      </w:r>
      <w:r w:rsidRPr="004058FF">
        <w:rPr>
          <w:rFonts w:ascii="Arial" w:eastAsia="Calibri" w:hAnsi="Arial" w:cs="Arial"/>
          <w:sz w:val="24"/>
          <w:szCs w:val="24"/>
          <w:lang w:val="en-GB"/>
        </w:rPr>
        <w:t>.</w:t>
      </w:r>
    </w:p>
    <w:p w:rsidR="006E0BBF" w:rsidRDefault="006E0BBF" w:rsidP="003B1183">
      <w:pPr>
        <w:pStyle w:val="Titre3"/>
        <w:numPr>
          <w:ilvl w:val="0"/>
          <w:numId w:val="8"/>
        </w:numPr>
        <w:jc w:val="both"/>
        <w:rPr>
          <w:rFonts w:cs="Arial"/>
          <w:lang w:val="en-GB"/>
        </w:rPr>
      </w:pPr>
      <w:r w:rsidRPr="006E0BBF">
        <w:rPr>
          <w:rFonts w:cs="Arial"/>
          <w:lang w:val="en-GB"/>
        </w:rPr>
        <w:t xml:space="preserve">Objective </w:t>
      </w:r>
      <w:r w:rsidRPr="003B1183">
        <w:rPr>
          <w:lang w:val="en-GB"/>
        </w:rPr>
        <w:t>function</w:t>
      </w:r>
    </w:p>
    <w:p w:rsidR="006E0BBF" w:rsidRDefault="006E0BBF" w:rsidP="003B1183">
      <w:pPr>
        <w:spacing w:before="240" w:line="480" w:lineRule="auto"/>
        <w:jc w:val="both"/>
        <w:rPr>
          <w:rFonts w:ascii="Arial" w:hAnsi="Arial" w:cs="Arial"/>
          <w:sz w:val="24"/>
          <w:szCs w:val="24"/>
          <w:lang w:val="en-GB"/>
        </w:rPr>
      </w:pPr>
      <w:r>
        <w:rPr>
          <w:rFonts w:ascii="Arial" w:hAnsi="Arial" w:cs="Arial"/>
          <w:sz w:val="24"/>
          <w:szCs w:val="24"/>
          <w:lang w:val="en-GB"/>
        </w:rPr>
        <w:t xml:space="preserve">The optimization aims to minimize the environmental impact of biowaste management system, as defined by the following objective function: </w:t>
      </w:r>
    </w:p>
    <w:p w:rsidR="00770846" w:rsidRPr="00E93315" w:rsidRDefault="006E0BBF" w:rsidP="003B1183">
      <w:pPr>
        <w:spacing w:before="240" w:line="480" w:lineRule="auto"/>
        <w:jc w:val="both"/>
        <w:rPr>
          <w:rFonts w:ascii="Arial" w:eastAsiaTheme="minorEastAsia" w:hAnsi="Arial" w:cs="Arial"/>
          <w:sz w:val="24"/>
          <w:szCs w:val="24"/>
        </w:rPr>
      </w:pPr>
      <w:r w:rsidRPr="00061089">
        <w:rPr>
          <w:rFonts w:ascii="Arial" w:hAnsi="Arial" w:cs="Arial"/>
          <w:sz w:val="24"/>
          <w:szCs w:val="24"/>
        </w:rPr>
        <w:t xml:space="preserve">Min. </w:t>
      </w:r>
      <m:oMath>
        <m:sSub>
          <m:sSubPr>
            <m:ctrlPr>
              <w:rPr>
                <w:rFonts w:ascii="Cambria Math" w:hAnsi="Cambria Math" w:cs="Arial"/>
                <w:i/>
                <w:sz w:val="24"/>
                <w:szCs w:val="24"/>
                <w:lang w:val="en-GB"/>
              </w:rPr>
            </m:ctrlPr>
          </m:sSubPr>
          <m:e>
            <m:r>
              <w:rPr>
                <w:rFonts w:ascii="Cambria Math" w:hAnsi="Cambria Math" w:cs="Arial"/>
                <w:sz w:val="24"/>
                <w:szCs w:val="24"/>
                <w:lang w:val="en-GB"/>
              </w:rPr>
              <m:t>F</m:t>
            </m:r>
          </m:e>
          <m:sub>
            <m:r>
              <w:rPr>
                <w:rFonts w:ascii="Cambria Math" w:hAnsi="Cambria Math" w:cs="Arial"/>
                <w:sz w:val="24"/>
                <w:szCs w:val="24"/>
                <w:lang w:val="en-GB"/>
              </w:rPr>
              <m:t>i</m:t>
            </m:r>
          </m:sub>
        </m:sSub>
        <m:r>
          <w:rPr>
            <w:rFonts w:ascii="Cambria Math" w:hAnsi="Cambria Math" w:cs="Arial"/>
            <w:sz w:val="24"/>
            <w:szCs w:val="24"/>
          </w:rPr>
          <m:t>=</m:t>
        </m:r>
        <m:nary>
          <m:naryPr>
            <m:chr m:val="∑"/>
            <m:limLoc m:val="undOvr"/>
            <m:supHide m:val="1"/>
            <m:ctrlPr>
              <w:rPr>
                <w:rFonts w:ascii="Cambria Math" w:hAnsi="Cambria Math" w:cs="Arial"/>
                <w:i/>
                <w:sz w:val="24"/>
                <w:szCs w:val="24"/>
                <w:lang w:val="en-GB"/>
              </w:rPr>
            </m:ctrlPr>
          </m:naryPr>
          <m:sub>
            <m:r>
              <w:rPr>
                <w:rFonts w:ascii="Cambria Math" w:hAnsi="Cambria Math" w:cs="Arial"/>
                <w:sz w:val="24"/>
                <w:szCs w:val="24"/>
              </w:rPr>
              <m:t>m,t,o,s</m:t>
            </m:r>
          </m:sub>
          <m:sup/>
          <m:e>
            <m:r>
              <w:rPr>
                <w:rFonts w:ascii="Cambria Math" w:hAnsi="Cambria Math" w:cs="Arial"/>
                <w:sz w:val="24"/>
                <w:szCs w:val="24"/>
                <w:lang w:val="en-GB"/>
              </w:rPr>
              <m:t>x</m:t>
            </m:r>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o</m:t>
                </m:r>
                <m:r>
                  <w:rPr>
                    <w:rFonts w:ascii="Cambria Math" w:hAnsi="Cambria Math" w:cs="Arial"/>
                    <w:sz w:val="24"/>
                    <w:szCs w:val="24"/>
                  </w:rPr>
                  <m:t>,</m:t>
                </m:r>
                <m:r>
                  <w:rPr>
                    <w:rFonts w:ascii="Cambria Math" w:hAnsi="Cambria Math" w:cs="Arial"/>
                    <w:sz w:val="24"/>
                    <w:szCs w:val="24"/>
                    <w:lang w:val="en-GB"/>
                  </w:rPr>
                  <m:t>t</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 of 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e>
            </m:d>
          </m:e>
        </m:nary>
        <m:r>
          <w:rPr>
            <w:rFonts w:ascii="Cambria Math" w:hAnsi="Cambria Math" w:cs="Arial"/>
            <w:sz w:val="24"/>
            <w:szCs w:val="24"/>
          </w:rPr>
          <m:t>+</m:t>
        </m:r>
        <m:nary>
          <m:naryPr>
            <m:chr m:val="∑"/>
            <m:limLoc m:val="subSup"/>
            <m:supHide m:val="1"/>
            <m:ctrlPr>
              <w:rPr>
                <w:rFonts w:ascii="Cambria Math" w:hAnsi="Cambria Math" w:cs="Arial"/>
                <w:i/>
                <w:sz w:val="24"/>
                <w:szCs w:val="24"/>
              </w:rPr>
            </m:ctrlPr>
          </m:naryPr>
          <m:sub>
            <m:r>
              <w:rPr>
                <w:rFonts w:ascii="Cambria Math" w:hAnsi="Cambria Math" w:cs="Arial"/>
                <w:sz w:val="24"/>
                <w:szCs w:val="24"/>
              </w:rPr>
              <m:t>t,s, cp,  mark</m:t>
            </m:r>
          </m:sub>
          <m:sup/>
          <m:e>
            <m:r>
              <w:rPr>
                <w:rFonts w:ascii="Cambria Math" w:hAnsi="Cambria Math" w:cs="Arial"/>
                <w:sz w:val="24"/>
                <w:szCs w:val="24"/>
              </w:rPr>
              <m:t>z</m:t>
            </m:r>
            <m:d>
              <m:dPr>
                <m:ctrlPr>
                  <w:rPr>
                    <w:rFonts w:ascii="Cambria Math" w:hAnsi="Cambria Math" w:cs="Arial"/>
                    <w:i/>
                    <w:sz w:val="24"/>
                    <w:szCs w:val="24"/>
                  </w:rPr>
                </m:ctrlPr>
              </m:dPr>
              <m:e>
                <m:r>
                  <w:rPr>
                    <w:rFonts w:ascii="Cambria Math" w:hAnsi="Cambria Math" w:cs="Arial"/>
                    <w:sz w:val="24"/>
                    <w:szCs w:val="24"/>
                  </w:rPr>
                  <m:t>t,s,cp,mark</m:t>
                </m:r>
              </m:e>
            </m:d>
          </m:e>
        </m:nary>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tr-cp</m:t>
                </m:r>
              </m:e>
              <m:sub>
                <m:r>
                  <w:rPr>
                    <w:rFonts w:ascii="Cambria Math" w:hAnsi="Cambria Math" w:cs="Arial"/>
                    <w:sz w:val="24"/>
                    <w:szCs w:val="24"/>
                  </w:rPr>
                  <m:t>i</m:t>
                </m:r>
              </m:sub>
            </m:sSub>
          </m:sub>
        </m:sSub>
      </m:oMath>
    </w:p>
    <w:p w:rsidR="003B1183" w:rsidRDefault="00E269D4" w:rsidP="003B1183">
      <w:pPr>
        <w:spacing w:before="240" w:line="480" w:lineRule="auto"/>
        <w:jc w:val="both"/>
        <w:rPr>
          <w:rFonts w:ascii="Arial" w:eastAsiaTheme="minorEastAsia" w:hAnsi="Arial" w:cs="Arial"/>
          <w:sz w:val="24"/>
          <w:szCs w:val="24"/>
          <w:lang w:val="en-GB"/>
        </w:rPr>
      </w:pPr>
      <w:r w:rsidRPr="00E269D4">
        <w:rPr>
          <w:rFonts w:ascii="Arial" w:eastAsiaTheme="minorEastAsia" w:hAnsi="Arial" w:cs="Arial"/>
          <w:sz w:val="24"/>
          <w:szCs w:val="24"/>
          <w:lang w:val="en-GB"/>
        </w:rPr>
        <w:t>W</w:t>
      </w:r>
      <w:r>
        <w:rPr>
          <w:rFonts w:ascii="Arial" w:eastAsiaTheme="minorEastAsia" w:hAnsi="Arial" w:cs="Arial"/>
          <w:sz w:val="24"/>
          <w:szCs w:val="24"/>
          <w:lang w:val="en-GB"/>
        </w:rPr>
        <w:t>here</w:t>
      </w:r>
      <w:r w:rsidR="003B1183">
        <w:rPr>
          <w:rFonts w:ascii="Arial" w:eastAsiaTheme="minorEastAsia" w:hAnsi="Arial" w:cs="Arial"/>
          <w:sz w:val="24"/>
          <w:szCs w:val="24"/>
          <w:lang w:val="en-GB"/>
        </w:rPr>
        <w:t>:</w:t>
      </w:r>
      <w:r>
        <w:rPr>
          <w:rFonts w:ascii="Arial" w:eastAsiaTheme="minorEastAsia" w:hAnsi="Arial" w:cs="Arial"/>
          <w:sz w:val="24"/>
          <w:szCs w:val="24"/>
          <w:lang w:val="en-GB"/>
        </w:rPr>
        <w:t xml:space="preserve"> </w:t>
      </w:r>
    </w:p>
    <w:p w:rsidR="003B1183" w:rsidRPr="003B1183" w:rsidRDefault="003B1183"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eastAsiaTheme="minorEastAsia" w:hAnsi="Cambria Math" w:cs="Arial"/>
            <w:sz w:val="24"/>
            <w:szCs w:val="24"/>
            <w:lang w:val="en-GB"/>
          </w:rPr>
          <m:t>i</m:t>
        </m:r>
      </m:oMath>
      <w:r w:rsidRPr="003B1183">
        <w:rPr>
          <w:rFonts w:ascii="Arial" w:eastAsiaTheme="minorEastAsia" w:hAnsi="Arial" w:cs="Arial"/>
          <w:sz w:val="24"/>
          <w:szCs w:val="24"/>
          <w:lang w:val="en-GB"/>
        </w:rPr>
        <w:t xml:space="preserve"> </w:t>
      </w:r>
      <w:r>
        <w:rPr>
          <w:rFonts w:ascii="Arial" w:eastAsiaTheme="minorEastAsia" w:hAnsi="Arial" w:cs="Arial"/>
          <w:sz w:val="24"/>
          <w:szCs w:val="24"/>
          <w:lang w:val="en-GB"/>
        </w:rPr>
        <w:t xml:space="preserve">: </w:t>
      </w:r>
      <w:r w:rsidRPr="003B1183">
        <w:rPr>
          <w:rFonts w:ascii="Arial" w:eastAsiaTheme="minorEastAsia" w:hAnsi="Arial" w:cs="Arial"/>
          <w:sz w:val="24"/>
          <w:szCs w:val="24"/>
          <w:lang w:val="en-GB"/>
        </w:rPr>
        <w:t>the impact indicator to minimize</w:t>
      </w:r>
    </w:p>
    <w:p w:rsidR="003B1183" w:rsidRPr="003B1183" w:rsidRDefault="00E93315"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w:r w:rsidR="00E269D4" w:rsidRPr="003B1183">
        <w:rPr>
          <w:rFonts w:ascii="Arial" w:eastAsiaTheme="minorEastAsia" w:hAnsi="Arial" w:cs="Arial"/>
          <w:sz w:val="24"/>
          <w:szCs w:val="24"/>
          <w:lang w:val="en-GB"/>
        </w:rPr>
        <w:t xml:space="preserve"> </w:t>
      </w:r>
      <w:r w:rsidR="003B1183">
        <w:rPr>
          <w:rFonts w:ascii="Arial" w:eastAsiaTheme="minorEastAsia" w:hAnsi="Arial" w:cs="Arial"/>
          <w:sz w:val="24"/>
          <w:szCs w:val="24"/>
          <w:lang w:val="en-GB"/>
        </w:rPr>
        <w:t>:</w:t>
      </w:r>
      <w:r w:rsidR="00E269D4" w:rsidRPr="003B1183">
        <w:rPr>
          <w:rFonts w:ascii="Arial" w:eastAsiaTheme="minorEastAsia" w:hAnsi="Arial" w:cs="Arial"/>
          <w:sz w:val="24"/>
          <w:szCs w:val="24"/>
          <w:lang w:val="en-GB"/>
        </w:rPr>
        <w:t xml:space="preserve"> the </w:t>
      </w:r>
      <w:r w:rsidR="003B1183" w:rsidRPr="003B1183">
        <w:rPr>
          <w:rFonts w:ascii="Arial" w:eastAsiaTheme="minorEastAsia" w:hAnsi="Arial" w:cs="Arial"/>
          <w:sz w:val="24"/>
          <w:szCs w:val="24"/>
          <w:lang w:val="en-GB"/>
        </w:rPr>
        <w:t xml:space="preserve">impact </w:t>
      </w:r>
      <w:r w:rsidR="003B1183">
        <w:rPr>
          <w:rFonts w:ascii="Arial" w:eastAsiaTheme="minorEastAsia" w:hAnsi="Arial" w:cs="Arial"/>
          <w:sz w:val="24"/>
          <w:szCs w:val="24"/>
          <w:lang w:val="en-GB"/>
        </w:rPr>
        <w:t>of the</w:t>
      </w:r>
      <w:r w:rsidR="003B1183" w:rsidRPr="003B1183">
        <w:rPr>
          <w:rFonts w:ascii="Arial" w:eastAsiaTheme="minorEastAsia" w:hAnsi="Arial" w:cs="Arial"/>
          <w:sz w:val="24"/>
          <w:szCs w:val="24"/>
          <w:lang w:val="en-GB"/>
        </w:rPr>
        <w:t xml:space="preserve"> </w:t>
      </w:r>
      <w:r w:rsidR="00E269D4" w:rsidRPr="003B1183">
        <w:rPr>
          <w:rFonts w:ascii="Arial" w:eastAsiaTheme="minorEastAsia" w:hAnsi="Arial" w:cs="Arial"/>
          <w:sz w:val="24"/>
          <w:szCs w:val="24"/>
          <w:lang w:val="en-GB"/>
        </w:rPr>
        <w:t>collection</w:t>
      </w:r>
      <w:r w:rsidR="003B1183">
        <w:rPr>
          <w:rFonts w:ascii="Arial" w:eastAsiaTheme="minorEastAsia" w:hAnsi="Arial" w:cs="Arial"/>
          <w:sz w:val="24"/>
          <w:szCs w:val="24"/>
          <w:lang w:val="en-GB"/>
        </w:rPr>
        <w:t xml:space="preserve"> of 1 ton of waste</w:t>
      </w:r>
      <w:r w:rsidR="00E269D4" w:rsidRPr="003B1183">
        <w:rPr>
          <w:rFonts w:ascii="Arial" w:eastAsiaTheme="minorEastAsia" w:hAnsi="Arial" w:cs="Arial"/>
          <w:sz w:val="24"/>
          <w:szCs w:val="24"/>
          <w:lang w:val="en-GB"/>
        </w:rPr>
        <w:t xml:space="preserve"> in the municipality m</w:t>
      </w:r>
      <w:r w:rsidR="003B1183">
        <w:rPr>
          <w:rFonts w:ascii="Arial" w:eastAsiaTheme="minorEastAsia" w:hAnsi="Arial" w:cs="Arial"/>
          <w:sz w:val="24"/>
          <w:szCs w:val="24"/>
          <w:lang w:val="en-GB"/>
        </w:rPr>
        <w:t xml:space="preserve">, calculated based on the collection distance </w:t>
      </w: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d</m:t>
            </m:r>
          </m:e>
          <m:sub>
            <m:r>
              <w:rPr>
                <w:rFonts w:ascii="Cambria Math" w:eastAsiaTheme="minorEastAsia" w:hAnsi="Cambria Math" w:cs="Arial"/>
                <w:sz w:val="24"/>
                <w:szCs w:val="24"/>
                <w:lang w:val="en-GB"/>
              </w:rPr>
              <m:t>c</m:t>
            </m:r>
          </m:sub>
        </m:sSub>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m:t>
            </m:r>
          </m:e>
        </m:d>
      </m:oMath>
      <w:r w:rsidR="003B1183" w:rsidRPr="003B1183">
        <w:rPr>
          <w:rFonts w:ascii="Arial" w:eastAsiaTheme="minorEastAsia" w:hAnsi="Arial" w:cs="Arial"/>
          <w:sz w:val="24"/>
          <w:szCs w:val="24"/>
          <w:lang w:val="en-GB"/>
        </w:rPr>
        <w:t xml:space="preserve"> </w:t>
      </w:r>
    </w:p>
    <w:p w:rsidR="00F52C34" w:rsidRDefault="00E93315"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m,s</m:t>
            </m:r>
          </m:e>
        </m:d>
      </m:oMath>
      <w:r w:rsidR="003B1183" w:rsidRPr="003B1183">
        <w:rPr>
          <w:rFonts w:ascii="Arial" w:eastAsiaTheme="minorEastAsia" w:hAnsi="Arial" w:cs="Arial"/>
          <w:sz w:val="24"/>
          <w:szCs w:val="24"/>
          <w:lang w:val="en-GB"/>
        </w:rPr>
        <w:t xml:space="preserve"> </w:t>
      </w:r>
      <w:r w:rsidR="003B1183">
        <w:rPr>
          <w:rFonts w:ascii="Arial" w:eastAsiaTheme="minorEastAsia" w:hAnsi="Arial" w:cs="Arial"/>
          <w:sz w:val="24"/>
          <w:szCs w:val="24"/>
          <w:lang w:val="en-GB"/>
        </w:rPr>
        <w:t>:</w:t>
      </w:r>
      <w:r w:rsidR="003B1183" w:rsidRPr="003B1183">
        <w:rPr>
          <w:rFonts w:ascii="Arial" w:eastAsiaTheme="minorEastAsia" w:hAnsi="Arial" w:cs="Arial"/>
          <w:sz w:val="24"/>
          <w:szCs w:val="24"/>
          <w:lang w:val="en-GB"/>
        </w:rPr>
        <w:t xml:space="preserve"> the impact of the transport of 1 ton of waste from</w:t>
      </w:r>
      <w:r w:rsidR="003B1183">
        <w:rPr>
          <w:rFonts w:ascii="Arial" w:eastAsiaTheme="minorEastAsia" w:hAnsi="Arial" w:cs="Arial"/>
          <w:sz w:val="24"/>
          <w:szCs w:val="24"/>
          <w:lang w:val="en-GB"/>
        </w:rPr>
        <w:t xml:space="preserve"> the municipality m to a site s, calculated based on the distance </w:t>
      </w:r>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m,s</m:t>
            </m:r>
          </m:e>
        </m:d>
      </m:oMath>
    </w:p>
    <w:p w:rsidR="003B1183" w:rsidRDefault="00F52C34"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hAnsi="Cambria Math" w:cs="Arial"/>
            <w:sz w:val="24"/>
            <w:szCs w:val="24"/>
            <w:lang w:val="en-GB"/>
          </w:rPr>
          <m:t xml:space="preserve"> </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r>
          <w:rPr>
            <w:rFonts w:ascii="Cambria Math" w:hAnsi="Cambria Math" w:cs="Arial"/>
            <w:sz w:val="24"/>
            <w:szCs w:val="24"/>
            <w:lang w:val="en-GB"/>
          </w:rPr>
          <m:t>(t)</m:t>
        </m:r>
      </m:oMath>
      <w:r w:rsidR="003B1183" w:rsidRPr="003B1183">
        <w:rPr>
          <w:rFonts w:ascii="Arial" w:eastAsiaTheme="minorEastAsia" w:hAnsi="Arial" w:cs="Arial"/>
          <w:sz w:val="24"/>
          <w:szCs w:val="24"/>
          <w:lang w:val="en-GB"/>
        </w:rPr>
        <w:t> : the impa</w:t>
      </w:r>
      <w:proofErr w:type="spellStart"/>
      <w:r w:rsidR="003B1183">
        <w:rPr>
          <w:rFonts w:ascii="Arial" w:eastAsiaTheme="minorEastAsia" w:hAnsi="Arial" w:cs="Arial"/>
          <w:sz w:val="24"/>
          <w:szCs w:val="24"/>
          <w:lang w:val="en-GB"/>
        </w:rPr>
        <w:t>ct</w:t>
      </w:r>
      <w:proofErr w:type="spellEnd"/>
      <w:r w:rsidR="003B1183">
        <w:rPr>
          <w:rFonts w:ascii="Arial" w:eastAsiaTheme="minorEastAsia" w:hAnsi="Arial" w:cs="Arial"/>
          <w:sz w:val="24"/>
          <w:szCs w:val="24"/>
          <w:lang w:val="en-GB"/>
        </w:rPr>
        <w:t xml:space="preserve"> of treatment of 1 ton of waste with the technology </w:t>
      </w:r>
      <m:oMath>
        <m:r>
          <w:rPr>
            <w:rFonts w:ascii="Cambria Math" w:eastAsiaTheme="minorEastAsia" w:hAnsi="Cambria Math" w:cs="Arial"/>
            <w:sz w:val="24"/>
            <w:szCs w:val="24"/>
            <w:lang w:val="en-GB"/>
          </w:rPr>
          <m:t>t</m:t>
        </m:r>
      </m:oMath>
    </w:p>
    <w:p w:rsidR="00F52C34" w:rsidRDefault="00E93315"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r>
          <w:rPr>
            <w:rFonts w:ascii="Cambria Math" w:hAnsi="Cambria Math" w:cs="Arial"/>
            <w:sz w:val="24"/>
            <w:szCs w:val="24"/>
            <w:lang w:val="en-GB"/>
          </w:rPr>
          <m:t>(t)</m:t>
        </m:r>
      </m:oMath>
      <w:r w:rsidR="00F52C34" w:rsidRPr="00F52C34">
        <w:rPr>
          <w:rFonts w:ascii="Arial" w:eastAsiaTheme="minorEastAsia" w:hAnsi="Arial" w:cs="Arial"/>
          <w:sz w:val="24"/>
          <w:szCs w:val="24"/>
          <w:lang w:val="en-GB"/>
        </w:rPr>
        <w:t> : the</w:t>
      </w:r>
      <w:r w:rsidR="00C856B0">
        <w:rPr>
          <w:rFonts w:ascii="Arial" w:eastAsiaTheme="minorEastAsia" w:hAnsi="Arial" w:cs="Arial"/>
          <w:sz w:val="24"/>
          <w:szCs w:val="24"/>
          <w:lang w:val="en-GB"/>
        </w:rPr>
        <w:t xml:space="preserve"> total</w:t>
      </w:r>
      <w:r w:rsidR="00F52C34" w:rsidRPr="00F52C34">
        <w:rPr>
          <w:rFonts w:ascii="Arial" w:eastAsiaTheme="minorEastAsia" w:hAnsi="Arial" w:cs="Arial"/>
          <w:sz w:val="24"/>
          <w:szCs w:val="24"/>
          <w:lang w:val="en-GB"/>
        </w:rPr>
        <w:t xml:space="preserve"> </w:t>
      </w:r>
      <w:r w:rsidR="00F52C34">
        <w:rPr>
          <w:rFonts w:ascii="Arial" w:eastAsiaTheme="minorEastAsia" w:hAnsi="Arial" w:cs="Arial"/>
          <w:sz w:val="24"/>
          <w:szCs w:val="24"/>
          <w:lang w:val="en-GB"/>
        </w:rPr>
        <w:t xml:space="preserve">avoided impact associated to coproducts that </w:t>
      </w:r>
      <m:oMath>
        <m:r>
          <w:rPr>
            <w:rFonts w:ascii="Cambria Math" w:eastAsiaTheme="minorEastAsia" w:hAnsi="Cambria Math" w:cs="Arial"/>
            <w:sz w:val="24"/>
            <w:szCs w:val="24"/>
            <w:lang w:val="en-GB"/>
          </w:rPr>
          <m:t>t</m:t>
        </m:r>
      </m:oMath>
      <w:r w:rsidR="00F52C34">
        <w:rPr>
          <w:rFonts w:ascii="Arial" w:eastAsiaTheme="minorEastAsia" w:hAnsi="Arial" w:cs="Arial"/>
          <w:sz w:val="24"/>
          <w:szCs w:val="24"/>
          <w:lang w:val="en-GB"/>
        </w:rPr>
        <w:t xml:space="preserve"> generates</w:t>
      </w:r>
      <w:r w:rsidR="003E23F7">
        <w:rPr>
          <w:rFonts w:ascii="Arial" w:eastAsiaTheme="minorEastAsia" w:hAnsi="Arial" w:cs="Arial"/>
          <w:sz w:val="24"/>
          <w:szCs w:val="24"/>
          <w:lang w:val="en-GB"/>
        </w:rPr>
        <w:t>:</w:t>
      </w:r>
    </w:p>
    <w:p w:rsidR="001254D0" w:rsidRPr="001254D0" w:rsidRDefault="003E23F7" w:rsidP="001254D0">
      <w:pPr>
        <w:pStyle w:val="Paragraphedeliste"/>
        <w:spacing w:before="240" w:line="480" w:lineRule="auto"/>
        <w:jc w:val="both"/>
        <w:rPr>
          <w:rFonts w:ascii="Arial" w:eastAsiaTheme="minorEastAsia" w:hAnsi="Arial" w:cs="Arial"/>
          <w:iCs/>
          <w:sz w:val="24"/>
          <w:szCs w:val="24"/>
        </w:rPr>
      </w:pPr>
      <m:oMathPara>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I</m:t>
              </m:r>
            </m:e>
            <m:sub>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sub</m:t>
                  </m:r>
                </m:e>
                <m:sub>
                  <m:r>
                    <w:rPr>
                      <w:rFonts w:ascii="Cambria Math" w:eastAsiaTheme="minorEastAsia" w:hAnsi="Cambria Math" w:cs="Arial"/>
                      <w:sz w:val="24"/>
                      <w:szCs w:val="24"/>
                      <w:lang w:val="en-GB"/>
                    </w:rPr>
                    <m:t>i</m:t>
                  </m:r>
                </m:sub>
              </m:sSub>
            </m:sub>
          </m:sSub>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t</m:t>
              </m:r>
            </m:e>
          </m:d>
          <m:r>
            <w:rPr>
              <w:rFonts w:ascii="Cambria Math" w:eastAsiaTheme="minorEastAsia" w:hAnsi="Cambria Math" w:cs="Arial"/>
              <w:sz w:val="24"/>
              <w:szCs w:val="24"/>
              <w:lang w:val="en-GB"/>
            </w:rPr>
            <m:t>=</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 co</m:t>
              </m:r>
              <m:r>
                <w:rPr>
                  <w:rFonts w:ascii="Cambria Math" w:eastAsiaTheme="minorEastAsia" w:hAnsi="Cambria Math" w:cs="Arial"/>
                  <w:sz w:val="24"/>
                  <w:szCs w:val="24"/>
                  <w:lang w:val="en-GB"/>
                </w:rPr>
                <m:t>nv</m:t>
              </m:r>
              <m:r>
                <w:rPr>
                  <w:rFonts w:ascii="Cambria Math" w:eastAsiaTheme="minorEastAsia" w:hAnsi="Cambria Math" w:cs="Arial"/>
                  <w:sz w:val="24"/>
                  <w:szCs w:val="24"/>
                  <w:lang w:val="en-GB"/>
                </w:rPr>
                <m:t>p</m:t>
              </m:r>
            </m:sub>
            <m:sup/>
            <m:e>
              <m:sSub>
                <m:sSubPr>
                  <m:ctrlPr>
                    <w:rPr>
                      <w:rFonts w:ascii="Cambria Math" w:eastAsia="Calibri" w:hAnsi="Cambria Math" w:cs="Times New Roman"/>
                      <w:i/>
                      <w:iCs/>
                      <w:sz w:val="24"/>
                      <w:szCs w:val="24"/>
                    </w:rPr>
                  </m:ctrlPr>
                </m:sSubPr>
                <m:e>
                  <m:r>
                    <w:rPr>
                      <w:rFonts w:ascii="Cambria Math" w:eastAsia="Calibri" w:hAnsi="Cambria Math" w:cs="Times New Roman"/>
                    </w:rPr>
                    <m:t>y</m:t>
                  </m:r>
                </m:e>
                <m:sub>
                  <m:r>
                    <w:rPr>
                      <w:rFonts w:ascii="Cambria Math" w:eastAsia="Calibri" w:hAnsi="Cambria Math" w:cs="Times New Roman"/>
                    </w:rPr>
                    <m:t>cp,t</m:t>
                  </m:r>
                </m:sub>
              </m:sSub>
              <m:r>
                <w:rPr>
                  <w:rFonts w:ascii="Cambria Math" w:eastAsia="Calibri" w:hAnsi="Cambria Math" w:cs="Times New Roman"/>
                  <w:sz w:val="24"/>
                  <w:szCs w:val="24"/>
                </w:rPr>
                <m:t>.</m:t>
              </m:r>
            </m:e>
          </m:nary>
          <m:sSub>
            <m:sSubPr>
              <m:ctrlPr>
                <w:rPr>
                  <w:rFonts w:ascii="Cambria Math" w:eastAsia="Calibri" w:hAnsi="Cambria Math" w:cs="Times New Roman"/>
                  <w:i/>
                  <w:iCs/>
                  <w:sz w:val="24"/>
                  <w:szCs w:val="24"/>
                </w:rPr>
              </m:ctrlPr>
            </m:sSubPr>
            <m:e>
              <m:r>
                <w:rPr>
                  <w:rFonts w:ascii="Cambria Math" w:eastAsia="Calibri" w:hAnsi="Cambria Math" w:cs="Times New Roman"/>
                </w:rPr>
                <m:t>γ</m:t>
              </m:r>
            </m:e>
            <m:sub>
              <m:r>
                <w:rPr>
                  <w:rFonts w:ascii="Cambria Math" w:eastAsia="Calibri" w:hAnsi="Cambria Math" w:cs="Times New Roman"/>
                </w:rPr>
                <m:t>cp,con</m:t>
              </m:r>
              <m:sSub>
                <m:sSubPr>
                  <m:ctrlPr>
                    <w:rPr>
                      <w:rFonts w:ascii="Cambria Math" w:eastAsia="Calibri" w:hAnsi="Cambria Math" w:cs="Times New Roman"/>
                      <w:i/>
                      <w:iCs/>
                      <w:sz w:val="24"/>
                      <w:szCs w:val="24"/>
                    </w:rPr>
                  </m:ctrlPr>
                </m:sSubPr>
                <m:e>
                  <m:r>
                    <w:rPr>
                      <w:rFonts w:ascii="Cambria Math" w:eastAsia="Calibri" w:hAnsi="Cambria Math" w:cs="Times New Roman"/>
                    </w:rPr>
                    <m:t>v</m:t>
                  </m:r>
                </m:e>
                <m:sub>
                  <m:r>
                    <w:rPr>
                      <w:rFonts w:ascii="Cambria Math" w:eastAsia="Calibri" w:hAnsi="Cambria Math" w:cs="Times New Roman"/>
                    </w:rPr>
                    <m:t>p</m:t>
                  </m:r>
                </m:sub>
              </m:sSub>
            </m:sub>
          </m:sSub>
          <m:r>
            <w:rPr>
              <w:rFonts w:ascii="Cambria Math" w:eastAsia="Calibri" w:hAnsi="Cambria Math" w:cs="Times New Roman"/>
              <w:sz w:val="24"/>
              <w:szCs w:val="24"/>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convp</m:t>
                  </m:r>
                </m:e>
                <m:sub>
                  <m:r>
                    <w:rPr>
                      <w:rFonts w:ascii="Cambria Math" w:eastAsia="Calibri" w:hAnsi="Cambria Math" w:cs="Times New Roman"/>
                      <w:sz w:val="24"/>
                      <w:szCs w:val="24"/>
                    </w:rPr>
                    <m:t>i</m:t>
                  </m:r>
                </m:sub>
              </m:sSub>
            </m:sub>
          </m:sSub>
        </m:oMath>
      </m:oMathPara>
    </w:p>
    <w:p w:rsidR="003E23F7" w:rsidRPr="003E23F7" w:rsidRDefault="003E23F7" w:rsidP="001254D0">
      <w:pPr>
        <w:pStyle w:val="Paragraphedeliste"/>
        <w:numPr>
          <w:ilvl w:val="1"/>
          <w:numId w:val="9"/>
        </w:numPr>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co</m:t>
                </m:r>
                <m:r>
                  <w:rPr>
                    <w:rFonts w:ascii="Cambria Math" w:eastAsia="Calibri" w:hAnsi="Cambria Math" w:cs="Times New Roman"/>
                    <w:sz w:val="24"/>
                    <w:szCs w:val="24"/>
                    <w:lang w:val="en-GB"/>
                  </w:rPr>
                  <m:t>nv</m:t>
                </m:r>
                <m:r>
                  <w:rPr>
                    <w:rFonts w:ascii="Cambria Math" w:eastAsia="Calibri" w:hAnsi="Cambria Math" w:cs="Times New Roman"/>
                    <w:sz w:val="24"/>
                    <w:szCs w:val="24"/>
                    <w:lang w:val="en-GB"/>
                  </w:rPr>
                  <m:t>p</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 xml:space="preserve"> :</m:t>
        </m:r>
      </m:oMath>
      <w:r w:rsidRPr="003E23F7">
        <w:rPr>
          <w:rFonts w:ascii="Arial" w:eastAsiaTheme="minorEastAsia" w:hAnsi="Arial" w:cs="Arial"/>
          <w:iCs/>
          <w:sz w:val="24"/>
          <w:szCs w:val="24"/>
          <w:lang w:val="en-GB"/>
        </w:rPr>
        <w:t xml:space="preserve"> the </w:t>
      </w:r>
      <w:r>
        <w:rPr>
          <w:rFonts w:ascii="Arial" w:eastAsiaTheme="minorEastAsia" w:hAnsi="Arial" w:cs="Arial"/>
          <w:iCs/>
          <w:sz w:val="24"/>
          <w:szCs w:val="24"/>
          <w:lang w:val="en-GB"/>
        </w:rPr>
        <w:t xml:space="preserve">impact </w:t>
      </w:r>
      <w:r w:rsidR="001254D0">
        <w:rPr>
          <w:rFonts w:ascii="Arial" w:eastAsiaTheme="minorEastAsia" w:hAnsi="Arial" w:cs="Arial"/>
          <w:iCs/>
          <w:sz w:val="24"/>
          <w:szCs w:val="24"/>
          <w:lang w:val="en-GB"/>
        </w:rPr>
        <w:t>associated with the</w:t>
      </w:r>
      <w:r>
        <w:rPr>
          <w:rFonts w:ascii="Arial" w:eastAsiaTheme="minorEastAsia" w:hAnsi="Arial" w:cs="Arial"/>
          <w:iCs/>
          <w:sz w:val="24"/>
          <w:szCs w:val="24"/>
          <w:lang w:val="en-GB"/>
        </w:rPr>
        <w:t xml:space="preserve"> </w:t>
      </w:r>
      <w:r w:rsidR="001254D0">
        <w:rPr>
          <w:rFonts w:ascii="Arial" w:eastAsiaTheme="minorEastAsia" w:hAnsi="Arial" w:cs="Arial"/>
          <w:iCs/>
          <w:sz w:val="24"/>
          <w:szCs w:val="24"/>
          <w:lang w:val="en-GB"/>
        </w:rPr>
        <w:t xml:space="preserve">production of </w:t>
      </w:r>
      <w:r>
        <w:rPr>
          <w:rFonts w:ascii="Arial" w:eastAsiaTheme="minorEastAsia" w:hAnsi="Arial" w:cs="Arial"/>
          <w:iCs/>
          <w:sz w:val="24"/>
          <w:szCs w:val="24"/>
          <w:lang w:val="en-GB"/>
        </w:rPr>
        <w:t>one unit</w:t>
      </w:r>
      <w:r w:rsidR="001254D0">
        <w:rPr>
          <w:rFonts w:ascii="Arial" w:eastAsiaTheme="minorEastAsia" w:hAnsi="Arial" w:cs="Arial"/>
          <w:iCs/>
          <w:sz w:val="24"/>
          <w:szCs w:val="24"/>
          <w:lang w:val="en-GB"/>
        </w:rPr>
        <w:t xml:space="preserve"> of</w:t>
      </w:r>
      <w:r>
        <w:rPr>
          <w:rFonts w:ascii="Arial" w:eastAsiaTheme="minorEastAsia" w:hAnsi="Arial" w:cs="Arial"/>
          <w:iCs/>
          <w:sz w:val="24"/>
          <w:szCs w:val="24"/>
          <w:lang w:val="en-GB"/>
        </w:rPr>
        <w:t xml:space="preserve"> </w:t>
      </w:r>
      <w:r w:rsidR="001254D0">
        <w:rPr>
          <w:rFonts w:ascii="Arial" w:eastAsiaTheme="minorEastAsia" w:hAnsi="Arial" w:cs="Arial"/>
          <w:iCs/>
          <w:sz w:val="24"/>
          <w:szCs w:val="24"/>
          <w:lang w:val="en-GB"/>
        </w:rPr>
        <w:t xml:space="preserve">a </w:t>
      </w:r>
      <w:r>
        <w:rPr>
          <w:rFonts w:ascii="Arial" w:eastAsiaTheme="minorEastAsia" w:hAnsi="Arial" w:cs="Arial"/>
          <w:iCs/>
          <w:sz w:val="24"/>
          <w:szCs w:val="24"/>
          <w:lang w:val="en-GB"/>
        </w:rPr>
        <w:t>conventional product</w:t>
      </w:r>
      <w:r w:rsidR="001254D0">
        <w:rPr>
          <w:rFonts w:ascii="Arial" w:eastAsiaTheme="minorEastAsia" w:hAnsi="Arial" w:cs="Arial"/>
          <w:iCs/>
          <w:sz w:val="24"/>
          <w:szCs w:val="24"/>
          <w:lang w:val="en-GB"/>
        </w:rPr>
        <w:t xml:space="preserve"> </w:t>
      </w:r>
    </w:p>
    <w:p w:rsidR="00F52C34" w:rsidRDefault="00E93315"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m:t>
                </m:r>
                <m:r>
                  <w:rPr>
                    <w:rFonts w:ascii="Cambria Math" w:hAnsi="Cambria Math" w:cs="Arial"/>
                    <w:sz w:val="24"/>
                    <w:szCs w:val="24"/>
                    <w:lang w:val="en-GB"/>
                  </w:rPr>
                  <m:t xml:space="preserve"> </m:t>
                </m:r>
                <m:r>
                  <w:rPr>
                    <w:rFonts w:ascii="Cambria Math" w:hAnsi="Cambria Math" w:cs="Arial"/>
                    <w:sz w:val="24"/>
                    <w:szCs w:val="24"/>
                  </w:rPr>
                  <m:t>of</m:t>
                </m:r>
                <m:r>
                  <w:rPr>
                    <w:rFonts w:ascii="Cambria Math" w:hAnsi="Cambria Math" w:cs="Arial"/>
                    <w:sz w:val="24"/>
                    <w:szCs w:val="24"/>
                    <w:lang w:val="en-GB"/>
                  </w:rPr>
                  <m:t xml:space="preserve"> </m:t>
                </m:r>
                <m:r>
                  <w:rPr>
                    <w:rFonts w:ascii="Cambria Math" w:hAnsi="Cambria Math" w:cs="Arial"/>
                    <w:sz w:val="24"/>
                    <w:szCs w:val="24"/>
                  </w:rPr>
                  <m:t>cp</m:t>
                </m:r>
              </m:e>
              <m:sub>
                <m:r>
                  <w:rPr>
                    <w:rFonts w:ascii="Cambria Math" w:hAnsi="Cambria Math" w:cs="Arial"/>
                    <w:sz w:val="24"/>
                    <w:szCs w:val="24"/>
                  </w:rPr>
                  <m:t>i</m:t>
                </m:r>
              </m:sub>
            </m:sSub>
          </m:sub>
        </m:sSub>
        <m:r>
          <w:rPr>
            <w:rFonts w:ascii="Cambria Math" w:hAnsi="Cambria Math" w:cs="Arial"/>
            <w:sz w:val="24"/>
            <w:szCs w:val="24"/>
            <w:lang w:val="en-GB"/>
          </w:rPr>
          <m:t>(t)</m:t>
        </m:r>
      </m:oMath>
      <w:r w:rsidR="00F52C34" w:rsidRPr="00F52C34">
        <w:rPr>
          <w:rFonts w:ascii="Arial" w:eastAsiaTheme="minorEastAsia" w:hAnsi="Arial" w:cs="Arial"/>
          <w:sz w:val="24"/>
          <w:szCs w:val="24"/>
          <w:lang w:val="en-GB"/>
        </w:rPr>
        <w:t xml:space="preserve"> : th</w:t>
      </w:r>
      <w:r w:rsidR="00F52C34">
        <w:rPr>
          <w:rFonts w:ascii="Arial" w:eastAsiaTheme="minorEastAsia" w:hAnsi="Arial" w:cs="Arial"/>
          <w:sz w:val="24"/>
          <w:szCs w:val="24"/>
          <w:lang w:val="en-GB"/>
        </w:rPr>
        <w:t xml:space="preserve">e net impact associated with the uses of all coproducts that </w:t>
      </w:r>
      <m:oMath>
        <m:r>
          <w:rPr>
            <w:rFonts w:ascii="Cambria Math" w:eastAsiaTheme="minorEastAsia" w:hAnsi="Cambria Math" w:cs="Arial"/>
            <w:sz w:val="24"/>
            <w:szCs w:val="24"/>
            <w:lang w:val="en-GB"/>
          </w:rPr>
          <m:t>t</m:t>
        </m:r>
      </m:oMath>
      <w:r w:rsidR="00F52C34">
        <w:rPr>
          <w:rFonts w:ascii="Arial" w:eastAsiaTheme="minorEastAsia" w:hAnsi="Arial" w:cs="Arial"/>
          <w:sz w:val="24"/>
          <w:szCs w:val="24"/>
          <w:lang w:val="en-GB"/>
        </w:rPr>
        <w:t xml:space="preserve"> generates</w:t>
      </w:r>
    </w:p>
    <w:p w:rsidR="001254D0" w:rsidRPr="001254D0" w:rsidRDefault="001254D0" w:rsidP="001254D0">
      <w:pPr>
        <w:spacing w:before="240" w:line="480" w:lineRule="auto"/>
        <w:ind w:left="360"/>
        <w:jc w:val="both"/>
        <w:rPr>
          <w:rFonts w:ascii="Arial" w:eastAsiaTheme="minorEastAsia" w:hAnsi="Arial" w:cs="Arial"/>
          <w:iCs/>
          <w:sz w:val="24"/>
          <w:szCs w:val="24"/>
        </w:rPr>
      </w:pPr>
      <m:oMathPara>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m:t>
                  </m:r>
                  <m:r>
                    <w:rPr>
                      <w:rFonts w:ascii="Cambria Math" w:hAnsi="Cambria Math" w:cs="Arial"/>
                      <w:sz w:val="24"/>
                      <w:szCs w:val="24"/>
                      <w:lang w:val="en-GB"/>
                    </w:rPr>
                    <m:t xml:space="preserve"> </m:t>
                  </m:r>
                  <m:r>
                    <w:rPr>
                      <w:rFonts w:ascii="Cambria Math" w:hAnsi="Cambria Math" w:cs="Arial"/>
                      <w:sz w:val="24"/>
                      <w:szCs w:val="24"/>
                    </w:rPr>
                    <m:t>of</m:t>
                  </m:r>
                  <m:r>
                    <w:rPr>
                      <w:rFonts w:ascii="Cambria Math" w:hAnsi="Cambria Math" w:cs="Arial"/>
                      <w:sz w:val="24"/>
                      <w:szCs w:val="24"/>
                      <w:lang w:val="en-GB"/>
                    </w:rPr>
                    <m:t xml:space="preserve"> </m:t>
                  </m:r>
                  <m:r>
                    <w:rPr>
                      <w:rFonts w:ascii="Cambria Math" w:hAnsi="Cambria Math" w:cs="Arial"/>
                      <w:sz w:val="24"/>
                      <w:szCs w:val="24"/>
                    </w:rPr>
                    <m:t>cp</m:t>
                  </m:r>
                </m:e>
                <m:sub>
                  <m:r>
                    <w:rPr>
                      <w:rFonts w:ascii="Cambria Math" w:hAnsi="Cambria Math" w:cs="Arial"/>
                      <w:sz w:val="24"/>
                      <w:szCs w:val="24"/>
                    </w:rPr>
                    <m:t>i</m:t>
                  </m:r>
                </m:sub>
              </m:sSub>
            </m:sub>
          </m:sSub>
          <m:r>
            <w:rPr>
              <w:rFonts w:ascii="Cambria Math" w:hAnsi="Cambria Math" w:cs="Arial"/>
              <w:sz w:val="24"/>
              <w:szCs w:val="24"/>
              <w:lang w:val="en-GB"/>
            </w:rPr>
            <m:t>(t)</m:t>
          </m:r>
          <m:r>
            <w:rPr>
              <w:rFonts w:ascii="Cambria Math" w:hAnsi="Cambria Math" w:cs="Arial"/>
              <w:sz w:val="24"/>
              <w:szCs w:val="24"/>
              <w:lang w:val="en-GB"/>
            </w:rPr>
            <m:t xml:space="preserve"> = </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 co</m:t>
              </m:r>
              <m:r>
                <w:rPr>
                  <w:rFonts w:ascii="Cambria Math" w:eastAsiaTheme="minorEastAsia" w:hAnsi="Cambria Math" w:cs="Arial"/>
                  <w:sz w:val="24"/>
                  <w:szCs w:val="24"/>
                  <w:lang w:val="en-GB"/>
                </w:rPr>
                <m:t>nv</m:t>
              </m:r>
              <m:r>
                <w:rPr>
                  <w:rFonts w:ascii="Cambria Math" w:eastAsiaTheme="minorEastAsia" w:hAnsi="Cambria Math" w:cs="Arial"/>
                  <w:sz w:val="24"/>
                  <w:szCs w:val="24"/>
                  <w:lang w:val="en-GB"/>
                </w:rPr>
                <m:t>p</m:t>
              </m:r>
            </m:sub>
            <m:sup/>
            <m:e>
              <m:sSub>
                <m:sSubPr>
                  <m:ctrlPr>
                    <w:rPr>
                      <w:rFonts w:ascii="Cambria Math" w:eastAsia="Calibri" w:hAnsi="Cambria Math" w:cs="Times New Roman"/>
                      <w:i/>
                      <w:iCs/>
                      <w:sz w:val="24"/>
                      <w:szCs w:val="24"/>
                    </w:rPr>
                  </m:ctrlPr>
                </m:sSubPr>
                <m:e>
                  <m:r>
                    <w:rPr>
                      <w:rFonts w:ascii="Cambria Math" w:eastAsia="Calibri" w:hAnsi="Cambria Math" w:cs="Times New Roman"/>
                    </w:rPr>
                    <m:t>y</m:t>
                  </m:r>
                </m:e>
                <m:sub>
                  <m:r>
                    <w:rPr>
                      <w:rFonts w:ascii="Cambria Math" w:eastAsia="Calibri" w:hAnsi="Cambria Math" w:cs="Times New Roman"/>
                    </w:rPr>
                    <m:t>cp,t</m:t>
                  </m:r>
                </m:sub>
              </m:sSub>
              <m:r>
                <w:rPr>
                  <w:rFonts w:ascii="Cambria Math" w:eastAsia="Calibri" w:hAnsi="Cambria Math" w:cs="Times New Roman"/>
                  <w:sz w:val="24"/>
                  <w:szCs w:val="24"/>
                </w:rPr>
                <m:t>.</m:t>
              </m:r>
            </m:e>
          </m:nary>
          <m:r>
            <w:rPr>
              <w:rFonts w:ascii="Cambria Math" w:eastAsiaTheme="minorEastAsia" w:hAnsi="Cambria Math" w:cs="Arial"/>
              <w:sz w:val="24"/>
              <w:szCs w:val="24"/>
              <w:lang w:val="en-GB"/>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use</m:t>
                  </m:r>
                </m:e>
                <m:sub>
                  <m:r>
                    <w:rPr>
                      <w:rFonts w:ascii="Cambria Math" w:eastAsia="Calibri" w:hAnsi="Cambria Math" w:cs="Times New Roman"/>
                      <w:sz w:val="24"/>
                      <w:szCs w:val="24"/>
                    </w:rPr>
                    <m:t>i</m:t>
                  </m:r>
                </m:sub>
              </m:sSub>
            </m:sub>
          </m:sSub>
          <m:r>
            <w:rPr>
              <w:rFonts w:ascii="Cambria Math" w:eastAsia="Calibri" w:hAnsi="Cambria Math" w:cs="Times New Roman"/>
              <w:sz w:val="24"/>
              <w:szCs w:val="24"/>
            </w:rPr>
            <m:t xml:space="preserve">(cp) - </m:t>
          </m:r>
          <m:sSub>
            <m:sSubPr>
              <m:ctrlPr>
                <w:rPr>
                  <w:rFonts w:ascii="Cambria Math" w:eastAsia="Calibri" w:hAnsi="Cambria Math" w:cs="Times New Roman"/>
                  <w:i/>
                  <w:iCs/>
                  <w:sz w:val="24"/>
                  <w:szCs w:val="24"/>
                </w:rPr>
              </m:ctrlPr>
            </m:sSubPr>
            <m:e>
              <m:r>
                <w:rPr>
                  <w:rFonts w:ascii="Cambria Math" w:eastAsia="Calibri" w:hAnsi="Cambria Math" w:cs="Times New Roman"/>
                </w:rPr>
                <m:t>γ</m:t>
              </m:r>
            </m:e>
            <m:sub>
              <m:r>
                <w:rPr>
                  <w:rFonts w:ascii="Cambria Math" w:eastAsia="Calibri" w:hAnsi="Cambria Math" w:cs="Times New Roman"/>
                </w:rPr>
                <m:t>cp,con</m:t>
              </m:r>
              <m:sSub>
                <m:sSubPr>
                  <m:ctrlPr>
                    <w:rPr>
                      <w:rFonts w:ascii="Cambria Math" w:eastAsia="Calibri" w:hAnsi="Cambria Math" w:cs="Times New Roman"/>
                      <w:i/>
                      <w:iCs/>
                      <w:sz w:val="24"/>
                      <w:szCs w:val="24"/>
                    </w:rPr>
                  </m:ctrlPr>
                </m:sSubPr>
                <m:e>
                  <m:r>
                    <w:rPr>
                      <w:rFonts w:ascii="Cambria Math" w:eastAsia="Calibri" w:hAnsi="Cambria Math" w:cs="Times New Roman"/>
                    </w:rPr>
                    <m:t>v</m:t>
                  </m:r>
                </m:e>
                <m:sub>
                  <m:r>
                    <w:rPr>
                      <w:rFonts w:ascii="Cambria Math" w:eastAsia="Calibri" w:hAnsi="Cambria Math" w:cs="Times New Roman"/>
                    </w:rPr>
                    <m:t>p</m:t>
                  </m:r>
                </m:sub>
              </m:sSub>
            </m:sub>
          </m:sSub>
          <m:r>
            <w:rPr>
              <w:rFonts w:ascii="Cambria Math" w:eastAsia="Calibri" w:hAnsi="Cambria Math" w:cs="Times New Roman"/>
              <w:sz w:val="24"/>
              <w:szCs w:val="24"/>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use</m:t>
                  </m:r>
                </m:e>
                <m:sub>
                  <m:r>
                    <w:rPr>
                      <w:rFonts w:ascii="Cambria Math" w:eastAsia="Calibri" w:hAnsi="Cambria Math" w:cs="Times New Roman"/>
                      <w:sz w:val="24"/>
                      <w:szCs w:val="24"/>
                    </w:rPr>
                    <m:t>i</m:t>
                  </m:r>
                </m:sub>
              </m:sSub>
            </m:sub>
          </m:sSub>
          <m:r>
            <w:rPr>
              <w:rFonts w:ascii="Cambria Math" w:eastAsia="Calibri" w:hAnsi="Cambria Math" w:cs="Times New Roman"/>
              <w:sz w:val="24"/>
              <w:szCs w:val="24"/>
            </w:rPr>
            <m:t>(convp))</m:t>
          </m:r>
        </m:oMath>
      </m:oMathPara>
    </w:p>
    <w:p w:rsidR="001254D0" w:rsidRPr="001254D0" w:rsidRDefault="001254D0" w:rsidP="001254D0">
      <w:pPr>
        <w:pStyle w:val="Paragraphedeliste"/>
        <w:numPr>
          <w:ilvl w:val="1"/>
          <w:numId w:val="9"/>
        </w:numPr>
        <w:tabs>
          <w:tab w:val="left" w:pos="1198"/>
        </w:tabs>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use</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m:t>
        </m:r>
        <m:r>
          <w:rPr>
            <w:rFonts w:ascii="Cambria Math" w:eastAsia="Calibri" w:hAnsi="Cambria Math" w:cs="Times New Roman"/>
            <w:sz w:val="24"/>
            <w:szCs w:val="24"/>
          </w:rPr>
          <m:t>cp</m:t>
        </m:r>
        <m:r>
          <w:rPr>
            <w:rFonts w:ascii="Cambria Math" w:eastAsia="Calibri" w:hAnsi="Cambria Math" w:cs="Times New Roman"/>
            <w:sz w:val="24"/>
            <w:szCs w:val="24"/>
            <w:lang w:val="en-GB"/>
          </w:rPr>
          <m:t>)</m:t>
        </m:r>
      </m:oMath>
      <w:r w:rsidRPr="001254D0">
        <w:rPr>
          <w:rFonts w:ascii="Arial" w:eastAsiaTheme="minorEastAsia" w:hAnsi="Arial" w:cs="Arial"/>
          <w:iCs/>
          <w:sz w:val="24"/>
          <w:szCs w:val="24"/>
          <w:lang w:val="en-GB"/>
        </w:rPr>
        <w:t> : the</w:t>
      </w:r>
      <w:r>
        <w:rPr>
          <w:rFonts w:ascii="Arial" w:eastAsiaTheme="minorEastAsia" w:hAnsi="Arial" w:cs="Arial"/>
          <w:iCs/>
          <w:sz w:val="24"/>
          <w:szCs w:val="24"/>
          <w:lang w:val="en-GB"/>
        </w:rPr>
        <w:t xml:space="preserve"> impact associated with the use phase of one unit of a coproduct cp</w:t>
      </w:r>
    </w:p>
    <w:p w:rsidR="001254D0" w:rsidRPr="001254D0" w:rsidRDefault="001254D0" w:rsidP="001254D0">
      <w:pPr>
        <w:pStyle w:val="Paragraphedeliste"/>
        <w:numPr>
          <w:ilvl w:val="1"/>
          <w:numId w:val="9"/>
        </w:numPr>
        <w:tabs>
          <w:tab w:val="left" w:pos="1198"/>
        </w:tabs>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use</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m:t>
        </m:r>
        <m:r>
          <w:rPr>
            <w:rFonts w:ascii="Cambria Math" w:eastAsia="Calibri" w:hAnsi="Cambria Math" w:cs="Times New Roman"/>
            <w:sz w:val="24"/>
            <w:szCs w:val="24"/>
          </w:rPr>
          <m:t>convp</m:t>
        </m:r>
        <m:r>
          <w:rPr>
            <w:rFonts w:ascii="Cambria Math" w:eastAsia="Calibri" w:hAnsi="Cambria Math" w:cs="Times New Roman"/>
            <w:sz w:val="24"/>
            <w:szCs w:val="24"/>
            <w:lang w:val="en-GB"/>
          </w:rPr>
          <m:t>) </m:t>
        </m:r>
      </m:oMath>
      <w:r w:rsidRPr="001254D0">
        <w:rPr>
          <w:rFonts w:ascii="Arial" w:eastAsiaTheme="minorEastAsia" w:hAnsi="Arial" w:cs="Arial"/>
          <w:iCs/>
          <w:sz w:val="24"/>
          <w:szCs w:val="24"/>
          <w:lang w:val="en-GB"/>
        </w:rPr>
        <w:t xml:space="preserve">: </w:t>
      </w:r>
      <w:r w:rsidRPr="001254D0">
        <w:rPr>
          <w:rFonts w:ascii="Arial" w:eastAsiaTheme="minorEastAsia" w:hAnsi="Arial" w:cs="Arial"/>
          <w:iCs/>
          <w:sz w:val="24"/>
          <w:szCs w:val="24"/>
          <w:lang w:val="en-GB"/>
        </w:rPr>
        <w:t>the</w:t>
      </w:r>
      <w:r>
        <w:rPr>
          <w:rFonts w:ascii="Arial" w:eastAsiaTheme="minorEastAsia" w:hAnsi="Arial" w:cs="Arial"/>
          <w:iCs/>
          <w:sz w:val="24"/>
          <w:szCs w:val="24"/>
          <w:lang w:val="en-GB"/>
        </w:rPr>
        <w:t xml:space="preserve"> impact associated with the use phase of one unit of a co</w:t>
      </w:r>
      <w:r>
        <w:rPr>
          <w:rFonts w:ascii="Arial" w:eastAsiaTheme="minorEastAsia" w:hAnsi="Arial" w:cs="Arial"/>
          <w:iCs/>
          <w:sz w:val="24"/>
          <w:szCs w:val="24"/>
          <w:lang w:val="en-GB"/>
        </w:rPr>
        <w:t>nventional product</w:t>
      </w:r>
      <w:r>
        <w:rPr>
          <w:rFonts w:ascii="Arial" w:eastAsiaTheme="minorEastAsia" w:hAnsi="Arial" w:cs="Arial"/>
          <w:iCs/>
          <w:sz w:val="24"/>
          <w:szCs w:val="24"/>
          <w:lang w:val="en-GB"/>
        </w:rPr>
        <w:t xml:space="preserve"> </w:t>
      </w:r>
      <w:proofErr w:type="spellStart"/>
      <w:r>
        <w:rPr>
          <w:rFonts w:ascii="Arial" w:eastAsiaTheme="minorEastAsia" w:hAnsi="Arial" w:cs="Arial"/>
          <w:iCs/>
          <w:sz w:val="24"/>
          <w:szCs w:val="24"/>
          <w:lang w:val="en-GB"/>
        </w:rPr>
        <w:t>convp</w:t>
      </w:r>
      <w:proofErr w:type="spellEnd"/>
    </w:p>
    <w:p w:rsidR="00084FCA" w:rsidRPr="00E93315" w:rsidRDefault="00E93315"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m:t>
                </m:r>
                <m:r>
                  <w:rPr>
                    <w:rFonts w:ascii="Cambria Math" w:hAnsi="Cambria Math" w:cs="Arial"/>
                    <w:sz w:val="24"/>
                    <w:szCs w:val="24"/>
                    <w:lang w:val="en-GB"/>
                  </w:rPr>
                  <m:t>-</m:t>
                </m:r>
                <m:r>
                  <w:rPr>
                    <w:rFonts w:ascii="Cambria Math" w:hAnsi="Cambria Math" w:cs="Arial"/>
                    <w:sz w:val="24"/>
                    <w:szCs w:val="24"/>
                  </w:rPr>
                  <m:t>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rPr>
              <m:t>cp</m:t>
            </m:r>
            <m:r>
              <w:rPr>
                <w:rFonts w:ascii="Cambria Math" w:hAnsi="Cambria Math" w:cs="Arial"/>
                <w:sz w:val="24"/>
                <w:szCs w:val="24"/>
                <w:lang w:val="en-GB"/>
              </w:rPr>
              <m:t>, t, s, mark</m:t>
            </m:r>
          </m:e>
        </m:d>
      </m:oMath>
      <w:r w:rsidR="00770846" w:rsidRPr="00770846">
        <w:rPr>
          <w:rFonts w:ascii="Arial" w:eastAsiaTheme="minorEastAsia" w:hAnsi="Arial" w:cs="Arial"/>
          <w:sz w:val="24"/>
          <w:szCs w:val="24"/>
          <w:lang w:val="en-GB"/>
        </w:rPr>
        <w:t> : th</w:t>
      </w:r>
      <w:r w:rsidR="00770846">
        <w:rPr>
          <w:rFonts w:ascii="Arial" w:eastAsiaTheme="minorEastAsia" w:hAnsi="Arial" w:cs="Arial"/>
          <w:sz w:val="24"/>
          <w:szCs w:val="24"/>
          <w:lang w:val="en-GB"/>
        </w:rPr>
        <w:t>e impact of the transport of one unit of coproduct cp</w:t>
      </w:r>
      <w:r>
        <w:rPr>
          <w:rFonts w:ascii="Arial" w:eastAsiaTheme="minorEastAsia" w:hAnsi="Arial" w:cs="Arial"/>
          <w:sz w:val="24"/>
          <w:szCs w:val="24"/>
          <w:lang w:val="en-GB"/>
        </w:rPr>
        <w:t xml:space="preserve"> produced from t installed in a site s and send to a market mark, calculated based on the distance </w:t>
      </w:r>
      <m:oMath>
        <m:r>
          <w:rPr>
            <w:rFonts w:ascii="Cambria Math" w:eastAsiaTheme="minorEastAsia" w:hAnsi="Cambria Math" w:cs="Arial"/>
            <w:sz w:val="24"/>
            <w:szCs w:val="24"/>
            <w:lang w:val="en-GB"/>
          </w:rPr>
          <m:t>d(s,mark)</m:t>
        </m:r>
      </m:oMath>
    </w:p>
    <w:p w:rsidR="00C33A3C" w:rsidRPr="00C856B0" w:rsidRDefault="00084FCA" w:rsidP="00E93315">
      <w:pPr>
        <w:pStyle w:val="Titre5"/>
        <w:ind w:left="360"/>
        <w:rPr>
          <w:rFonts w:eastAsiaTheme="minorEastAsia"/>
          <w:i/>
          <w:lang w:val="en-GB"/>
        </w:rPr>
      </w:pPr>
      <w:r w:rsidRPr="00C856B0">
        <w:rPr>
          <w:rFonts w:eastAsiaTheme="minorEastAsia"/>
          <w:i/>
          <w:lang w:val="en-GB"/>
        </w:rPr>
        <w:t>Normalization method for multi-objective optimization</w:t>
      </w:r>
    </w:p>
    <w:p w:rsid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In the case of multi-objective optimization, each impact indicator is normalized relative to the impact of current system. The objective function is therefore expressed as follows:</w:t>
      </w:r>
    </w:p>
    <w:p w:rsidR="00084FCA" w:rsidRP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 xml:space="preserve">Min.  </w:t>
      </w:r>
      <m:oMath>
        <m:r>
          <w:rPr>
            <w:rFonts w:ascii="Cambria Math" w:eastAsiaTheme="minorEastAsia" w:hAnsi="Cambria Math" w:cs="Arial"/>
            <w:sz w:val="24"/>
            <w:szCs w:val="24"/>
            <w:lang w:val="en-GB"/>
          </w:rPr>
          <m:t xml:space="preserve">G = </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i</m:t>
            </m:r>
          </m:sub>
          <m:sup/>
          <m:e>
            <m:f>
              <m:fPr>
                <m:ctrlPr>
                  <w:rPr>
                    <w:rFonts w:ascii="Cambria Math" w:eastAsiaTheme="minorEastAsia" w:hAnsi="Cambria Math" w:cs="Arial"/>
                    <w:i/>
                    <w:sz w:val="24"/>
                    <w:szCs w:val="24"/>
                    <w:lang w:val="en-GB"/>
                  </w:rPr>
                </m:ctrlPr>
              </m:fPr>
              <m:num>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num>
              <m:den>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den>
            </m:f>
            <m:r>
              <w:rPr>
                <w:rFonts w:ascii="Cambria Math" w:eastAsiaTheme="minorEastAsia" w:hAnsi="Cambria Math" w:cs="Arial"/>
                <w:sz w:val="24"/>
                <w:szCs w:val="24"/>
                <w:lang w:val="en-GB"/>
              </w:rPr>
              <m:t>.</m:t>
            </m:r>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F</m:t>
                </m:r>
              </m:e>
              <m:sub>
                <m:r>
                  <w:rPr>
                    <w:rFonts w:ascii="Cambria Math" w:eastAsiaTheme="minorEastAsia" w:hAnsi="Cambria Math" w:cs="Arial"/>
                    <w:sz w:val="24"/>
                    <w:szCs w:val="24"/>
                    <w:lang w:val="en-GB"/>
                  </w:rPr>
                  <m:t>i</m:t>
                </m:r>
              </m:sub>
            </m:sSub>
          </m:e>
        </m:nary>
      </m:oMath>
    </w:p>
    <w:p w:rsidR="00E93315" w:rsidRPr="00E93315"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Where</w:t>
      </w:r>
      <w:r w:rsidR="00C856B0">
        <w:rPr>
          <w:rFonts w:ascii="Arial" w:eastAsiaTheme="minorEastAsia" w:hAnsi="Arial" w:cs="Arial"/>
          <w:sz w:val="24"/>
          <w:szCs w:val="24"/>
          <w:lang w:val="en-GB"/>
        </w:rPr>
        <w:t>:</w:t>
      </w:r>
      <w:r>
        <w:rPr>
          <w:rFonts w:ascii="Arial" w:eastAsiaTheme="minorEastAsia" w:hAnsi="Arial" w:cs="Arial"/>
          <w:sz w:val="24"/>
          <w:szCs w:val="24"/>
          <w:lang w:val="en-GB"/>
        </w:rPr>
        <w:t xml:space="preserve"> </w:t>
      </w:r>
    </w:p>
    <w:p w:rsidR="00E93315" w:rsidRDefault="00E93315" w:rsidP="00E93315">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oMath>
      <w:r w:rsidR="00084FCA" w:rsidRPr="00E93315">
        <w:rPr>
          <w:rFonts w:ascii="Arial" w:eastAsiaTheme="minorEastAsia" w:hAnsi="Arial" w:cs="Arial"/>
          <w:sz w:val="24"/>
          <w:szCs w:val="24"/>
          <w:lang w:val="en-GB"/>
        </w:rPr>
        <w:t xml:space="preserve"> : Weight of the impact indicator i </w:t>
      </w:r>
    </w:p>
    <w:p w:rsidR="00084FCA" w:rsidRPr="00E93315" w:rsidRDefault="00E93315" w:rsidP="00E93315">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oMath>
      <w:r w:rsidR="00084FCA" w:rsidRPr="00E93315">
        <w:rPr>
          <w:rFonts w:ascii="Arial" w:eastAsiaTheme="minorEastAsia" w:hAnsi="Arial" w:cs="Arial"/>
          <w:sz w:val="24"/>
          <w:szCs w:val="24"/>
          <w:lang w:val="en-GB"/>
        </w:rPr>
        <w:t xml:space="preserve"> : impact of current system for indicator i</w:t>
      </w:r>
    </w:p>
    <w:p w:rsidR="006E0BBF" w:rsidRPr="006E0BBF" w:rsidRDefault="006E0BBF" w:rsidP="00E93315">
      <w:pPr>
        <w:pStyle w:val="Titre3"/>
        <w:numPr>
          <w:ilvl w:val="0"/>
          <w:numId w:val="8"/>
        </w:numPr>
        <w:jc w:val="both"/>
        <w:rPr>
          <w:rFonts w:cs="Arial"/>
          <w:lang w:val="en-GB"/>
        </w:rPr>
      </w:pPr>
      <w:r>
        <w:rPr>
          <w:rFonts w:cs="Arial"/>
          <w:lang w:val="en-GB"/>
        </w:rPr>
        <w:t>Constraints</w:t>
      </w:r>
    </w:p>
    <w:p w:rsidR="004058FF" w:rsidRDefault="00A43041" w:rsidP="003B1183">
      <w:pPr>
        <w:spacing w:line="480" w:lineRule="auto"/>
        <w:contextualSpacing/>
        <w:jc w:val="both"/>
        <w:rPr>
          <w:rFonts w:ascii="Arial" w:eastAsia="Calibri" w:hAnsi="Arial" w:cs="Arial"/>
          <w:sz w:val="24"/>
          <w:szCs w:val="24"/>
          <w:lang w:val="en-GB"/>
        </w:rPr>
      </w:pPr>
      <w:r>
        <w:rPr>
          <w:rFonts w:ascii="Arial" w:eastAsia="Calibri" w:hAnsi="Arial" w:cs="Arial"/>
          <w:sz w:val="24"/>
          <w:szCs w:val="24"/>
          <w:lang w:val="en-GB"/>
        </w:rPr>
        <w:t xml:space="preserve"> </w:t>
      </w:r>
      <w:r w:rsidR="00E93315">
        <w:rPr>
          <w:rFonts w:ascii="Arial" w:eastAsia="Calibri" w:hAnsi="Arial" w:cs="Arial"/>
          <w:sz w:val="24"/>
          <w:szCs w:val="24"/>
          <w:lang w:val="en-GB"/>
        </w:rPr>
        <w:t>A</w:t>
      </w:r>
      <w:r>
        <w:rPr>
          <w:rFonts w:ascii="Arial" w:eastAsia="Calibri" w:hAnsi="Arial" w:cs="Arial"/>
          <w:sz w:val="24"/>
          <w:szCs w:val="24"/>
          <w:lang w:val="en-GB"/>
        </w:rPr>
        <w:t>ll the constraints in the optimization model</w:t>
      </w:r>
      <w:r w:rsidR="00E93315">
        <w:rPr>
          <w:rFonts w:ascii="Arial" w:eastAsia="Calibri" w:hAnsi="Arial" w:cs="Arial"/>
          <w:sz w:val="24"/>
          <w:szCs w:val="24"/>
          <w:lang w:val="en-GB"/>
        </w:rPr>
        <w:t xml:space="preserve"> are detailed in the </w:t>
      </w:r>
      <w:r w:rsidR="00E93315">
        <w:rPr>
          <w:rFonts w:ascii="Arial" w:eastAsia="Calibri" w:hAnsi="Arial" w:cs="Arial"/>
          <w:sz w:val="24"/>
          <w:szCs w:val="24"/>
          <w:lang w:val="en-GB"/>
        </w:rPr>
        <w:fldChar w:fldCharType="begin"/>
      </w:r>
      <w:r w:rsidR="00E93315">
        <w:rPr>
          <w:rFonts w:ascii="Arial" w:eastAsia="Calibri" w:hAnsi="Arial" w:cs="Arial"/>
          <w:sz w:val="24"/>
          <w:szCs w:val="24"/>
          <w:lang w:val="en-GB"/>
        </w:rPr>
        <w:instrText xml:space="preserve"> REF _Ref228616944 \h </w:instrText>
      </w:r>
      <w:r w:rsidR="00E93315">
        <w:rPr>
          <w:rFonts w:ascii="Arial" w:eastAsia="Calibri" w:hAnsi="Arial" w:cs="Arial"/>
          <w:sz w:val="24"/>
          <w:szCs w:val="24"/>
          <w:lang w:val="en-GB"/>
        </w:rPr>
      </w:r>
      <w:r w:rsidR="00E93315">
        <w:rPr>
          <w:rFonts w:ascii="Arial" w:eastAsia="Calibri" w:hAnsi="Arial" w:cs="Arial"/>
          <w:sz w:val="24"/>
          <w:szCs w:val="24"/>
          <w:lang w:val="en-GB"/>
        </w:rPr>
        <w:fldChar w:fldCharType="separate"/>
      </w:r>
      <w:r w:rsidR="00E93315" w:rsidRPr="00E93315">
        <w:rPr>
          <w:rFonts w:ascii="Arial" w:hAnsi="Arial" w:cs="Arial"/>
          <w:sz w:val="24"/>
          <w:lang w:val="en-GB"/>
        </w:rPr>
        <w:t xml:space="preserve">Table </w:t>
      </w:r>
      <w:r w:rsidR="00E93315" w:rsidRPr="00E93315">
        <w:rPr>
          <w:rFonts w:ascii="Arial" w:hAnsi="Arial" w:cs="Arial"/>
          <w:noProof/>
          <w:sz w:val="24"/>
          <w:lang w:val="en-GB"/>
        </w:rPr>
        <w:t>2</w:t>
      </w:r>
      <w:r w:rsidR="00E93315">
        <w:rPr>
          <w:rFonts w:ascii="Arial" w:eastAsia="Calibri" w:hAnsi="Arial" w:cs="Arial"/>
          <w:sz w:val="24"/>
          <w:szCs w:val="24"/>
          <w:lang w:val="en-GB"/>
        </w:rPr>
        <w:fldChar w:fldCharType="end"/>
      </w:r>
      <w:r w:rsidR="00E93315">
        <w:rPr>
          <w:rFonts w:ascii="Arial" w:eastAsia="Calibri" w:hAnsi="Arial" w:cs="Arial"/>
          <w:sz w:val="24"/>
          <w:szCs w:val="24"/>
          <w:lang w:val="en-GB"/>
        </w:rPr>
        <w:t>.</w:t>
      </w:r>
    </w:p>
    <w:p w:rsidR="00E93315" w:rsidRPr="00E93315" w:rsidRDefault="00E93315" w:rsidP="00E93315">
      <w:pPr>
        <w:pStyle w:val="Lgende"/>
        <w:keepNext/>
        <w:rPr>
          <w:rFonts w:ascii="Arial" w:hAnsi="Arial" w:cs="Arial"/>
          <w:color w:val="auto"/>
          <w:sz w:val="24"/>
          <w:lang w:val="en-GB"/>
        </w:rPr>
      </w:pPr>
      <w:bookmarkStart w:id="1" w:name="_Ref228616944"/>
      <w:r w:rsidRPr="00E93315">
        <w:rPr>
          <w:rFonts w:ascii="Arial" w:hAnsi="Arial" w:cs="Arial"/>
          <w:color w:val="auto"/>
          <w:sz w:val="24"/>
          <w:lang w:val="en-GB"/>
        </w:rPr>
        <w:lastRenderedPageBreak/>
        <w:t xml:space="preserve">Table </w:t>
      </w:r>
      <w:r w:rsidRPr="00E93315">
        <w:rPr>
          <w:rFonts w:ascii="Arial" w:hAnsi="Arial" w:cs="Arial"/>
          <w:color w:val="auto"/>
          <w:sz w:val="24"/>
        </w:rPr>
        <w:fldChar w:fldCharType="begin"/>
      </w:r>
      <w:r w:rsidRPr="00E93315">
        <w:rPr>
          <w:rFonts w:ascii="Arial" w:hAnsi="Arial" w:cs="Arial"/>
          <w:color w:val="auto"/>
          <w:sz w:val="24"/>
          <w:lang w:val="en-GB"/>
        </w:rPr>
        <w:instrText xml:space="preserve"> SEQ Table \* ARABIC </w:instrText>
      </w:r>
      <w:r w:rsidRPr="00E93315">
        <w:rPr>
          <w:rFonts w:ascii="Arial" w:hAnsi="Arial" w:cs="Arial"/>
          <w:color w:val="auto"/>
          <w:sz w:val="24"/>
        </w:rPr>
        <w:fldChar w:fldCharType="separate"/>
      </w:r>
      <w:r w:rsidRPr="00E93315">
        <w:rPr>
          <w:rFonts w:ascii="Arial" w:hAnsi="Arial" w:cs="Arial"/>
          <w:noProof/>
          <w:color w:val="auto"/>
          <w:sz w:val="24"/>
          <w:lang w:val="en-GB"/>
        </w:rPr>
        <w:t>2</w:t>
      </w:r>
      <w:r w:rsidRPr="00E93315">
        <w:rPr>
          <w:rFonts w:ascii="Arial" w:hAnsi="Arial" w:cs="Arial"/>
          <w:color w:val="auto"/>
          <w:sz w:val="24"/>
        </w:rPr>
        <w:fldChar w:fldCharType="end"/>
      </w:r>
      <w:bookmarkEnd w:id="1"/>
      <w:r w:rsidRPr="00E93315">
        <w:rPr>
          <w:rFonts w:ascii="Arial" w:hAnsi="Arial" w:cs="Arial"/>
          <w:color w:val="auto"/>
          <w:sz w:val="24"/>
          <w:lang w:val="en-GB"/>
        </w:rPr>
        <w:t> : Constraints in the optimization model</w:t>
      </w:r>
    </w:p>
    <w:tbl>
      <w:tblPr>
        <w:tblStyle w:val="Grilledutableau"/>
        <w:tblW w:w="9351" w:type="dxa"/>
        <w:tblInd w:w="0" w:type="dxa"/>
        <w:tblLook w:val="04A0" w:firstRow="1" w:lastRow="0" w:firstColumn="1" w:lastColumn="0" w:noHBand="0" w:noVBand="1"/>
      </w:tblPr>
      <w:tblGrid>
        <w:gridCol w:w="3539"/>
        <w:gridCol w:w="5812"/>
      </w:tblGrid>
      <w:tr w:rsidR="00A43041" w:rsidTr="00DF28AF">
        <w:tc>
          <w:tcPr>
            <w:tcW w:w="3539"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Constraints</w:t>
            </w:r>
          </w:p>
        </w:tc>
        <w:tc>
          <w:tcPr>
            <w:tcW w:w="5812"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Equations/Inequations</w:t>
            </w:r>
          </w:p>
        </w:tc>
      </w:tr>
      <w:tr w:rsidR="00A43041" w:rsidTr="00DF28AF">
        <w:tc>
          <w:tcPr>
            <w:tcW w:w="3539"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All source-separated biowaste must be treated</w:t>
            </w:r>
          </w:p>
        </w:tc>
        <w:tc>
          <w:tcPr>
            <w:tcW w:w="5812" w:type="dxa"/>
          </w:tcPr>
          <w:p w:rsidR="00347710" w:rsidRPr="00347710" w:rsidRDefault="00A43041" w:rsidP="003B1183">
            <w:pPr>
              <w:spacing w:line="480" w:lineRule="auto"/>
              <w:jc w:val="both"/>
              <w:rPr>
                <w:rFonts w:ascii="Arial" w:hAnsi="Arial" w:cs="Arial"/>
                <w:sz w:val="24"/>
                <w:szCs w:val="24"/>
                <w:lang w:val="en-GB"/>
              </w:rPr>
            </w:pPr>
            <m:oMath>
              <m:r>
                <w:rPr>
                  <w:rFonts w:ascii="Cambria Math" w:hAnsi="Cambria Math" w:cs="Arial"/>
                  <w:sz w:val="24"/>
                  <w:szCs w:val="24"/>
                  <w:lang w:val="en-GB"/>
                </w:rPr>
                <m:t xml:space="preserve">∀m∈MUN : </m:t>
              </m:r>
            </m:oMath>
            <w:r w:rsidR="00347710">
              <w:rPr>
                <w:rFonts w:ascii="Arial" w:hAnsi="Arial" w:cs="Arial"/>
                <w:sz w:val="24"/>
                <w:szCs w:val="24"/>
                <w:lang w:val="en-GB"/>
              </w:rPr>
              <w:t xml:space="preserve"> </w:t>
            </w:r>
          </w:p>
          <w:p w:rsidR="00A43041" w:rsidRDefault="00E93315"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m,sf,t,s</m:t>
                            </m:r>
                          </m:e>
                        </m:d>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home,m</m:t>
                    </m:r>
                  </m:sub>
                </m:sSub>
              </m:oMath>
            </m:oMathPara>
          </w:p>
          <w:p w:rsidR="00A43041" w:rsidRPr="00A43041" w:rsidRDefault="00E93315"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x(m,mf,t,s)</m:t>
                        </m:r>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build,m</m:t>
                    </m:r>
                  </m:sub>
                </m:sSub>
              </m:oMath>
            </m:oMathPara>
          </w:p>
        </w:tc>
      </w:tr>
      <w:tr w:rsidR="00A43041" w:rsidTr="00DF28AF">
        <w:tc>
          <w:tcPr>
            <w:tcW w:w="3539" w:type="dxa"/>
          </w:tcPr>
          <w:p w:rsidR="00A43041"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The amount of biowaste processed by each technology must respect its capacity limits</w:t>
            </w:r>
          </w:p>
        </w:tc>
        <w:tc>
          <w:tcPr>
            <w:tcW w:w="5812"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 ∀s∈S:</m:t>
                </m:r>
              </m:oMath>
            </m:oMathPara>
          </w:p>
          <w:p w:rsidR="00347710" w:rsidRPr="00347710" w:rsidRDefault="00E93315" w:rsidP="003B1183">
            <w:pPr>
              <w:spacing w:line="480" w:lineRule="auto"/>
              <w:jc w:val="both"/>
              <w:rPr>
                <w:rFonts w:eastAsiaTheme="minorEastAsia"/>
                <w:sz w:val="20"/>
              </w:rPr>
            </w:pPr>
            <m:oMathPara>
              <m:oMathParaPr>
                <m:jc m:val="center"/>
              </m:oMathParaPr>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≤ub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347710" w:rsidRDefault="00E93315" w:rsidP="003B1183">
            <w:pPr>
              <w:spacing w:line="480" w:lineRule="auto"/>
              <w:jc w:val="both"/>
              <w:rPr>
                <w:rFonts w:eastAsiaTheme="minorEastAsia"/>
                <w:sz w:val="20"/>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≥lb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A43041" w:rsidRDefault="00347710" w:rsidP="003B1183">
            <w:pPr>
              <w:spacing w:line="480" w:lineRule="auto"/>
              <w:contextualSpacing/>
              <w:jc w:val="both"/>
              <w:rPr>
                <w:rFonts w:ascii="Arial" w:hAnsi="Arial" w:cs="Arial"/>
                <w:sz w:val="24"/>
                <w:szCs w:val="24"/>
                <w:lang w:val="en-GB"/>
              </w:rPr>
            </w:pPr>
            <m:oMathPara>
              <m:oMath>
                <m:r>
                  <w:rPr>
                    <w:rFonts w:ascii="Cambria Math" w:hAnsi="Cambria Math" w:cs="Arial"/>
                    <w:sz w:val="24"/>
                    <w:szCs w:val="24"/>
                    <w:lang w:val="en-GB"/>
                  </w:rPr>
                  <m:t xml:space="preserve"> </m:t>
                </m:r>
              </m:oMath>
            </m:oMathPara>
          </w:p>
        </w:tc>
      </w:tr>
      <w:tr w:rsidR="00A43041" w:rsidTr="00DF28AF">
        <w:tc>
          <w:tcPr>
            <w:tcW w:w="3539" w:type="dxa"/>
          </w:tcPr>
          <w:p w:rsidR="00A43041" w:rsidRPr="00347710"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A technology can only be installed at a site where it is feasible</w:t>
            </w:r>
          </w:p>
        </w:tc>
        <w:tc>
          <w:tcPr>
            <w:tcW w:w="5812"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∀t∈T,∀s∈S,ifposs-tech</m:t>
                </m:r>
                <m:d>
                  <m:dPr>
                    <m:ctrlPr>
                      <w:rPr>
                        <w:rFonts w:ascii="Cambria Math" w:hAnsi="Cambria Math" w:cs="Arial"/>
                        <w:i/>
                        <w:sz w:val="24"/>
                        <w:szCs w:val="24"/>
                        <w:lang w:val="en-GB"/>
                      </w:rPr>
                    </m:ctrlPr>
                  </m:dPr>
                  <m:e>
                    <m:r>
                      <w:rPr>
                        <w:rFonts w:ascii="Cambria Math" w:hAnsi="Cambria Math" w:cs="Arial"/>
                        <w:sz w:val="24"/>
                        <w:szCs w:val="24"/>
                        <w:lang w:val="en-GB"/>
                      </w:rPr>
                      <m:t>t,s</m:t>
                    </m:r>
                  </m:e>
                </m:d>
                <m:r>
                  <w:rPr>
                    <w:rFonts w:ascii="Cambria Math" w:hAnsi="Cambria Math" w:cs="Arial"/>
                    <w:sz w:val="24"/>
                    <w:szCs w:val="24"/>
                    <w:lang w:val="en-GB"/>
                  </w:rPr>
                  <m:t>=0:</m:t>
                </m:r>
              </m:oMath>
            </m:oMathPara>
          </w:p>
          <w:p w:rsidR="00A43041" w:rsidRPr="00347710" w:rsidRDefault="00E93315" w:rsidP="003B1183">
            <w:pPr>
              <w:spacing w:line="480" w:lineRule="auto"/>
              <w:jc w:val="both"/>
              <w:rPr>
                <w:rFonts w:eastAsiaTheme="minorEastAsia"/>
                <w:sz w:val="24"/>
              </w:rPr>
            </w:pPr>
            <m:oMathPara>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m</m:t>
                    </m:r>
                  </m:sub>
                  <m:sup/>
                  <m:e>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o</m:t>
                        </m:r>
                      </m:sub>
                      <m:sup/>
                      <m:e>
                        <m:r>
                          <w:rPr>
                            <w:rFonts w:ascii="Cambria Math" w:eastAsiaTheme="minorEastAsia" w:hAnsi="Cambria Math"/>
                            <w:sz w:val="24"/>
                          </w:rPr>
                          <m:t>x</m:t>
                        </m:r>
                        <m:d>
                          <m:dPr>
                            <m:ctrlPr>
                              <w:rPr>
                                <w:rFonts w:ascii="Cambria Math" w:eastAsiaTheme="minorEastAsia" w:hAnsi="Cambria Math"/>
                                <w:i/>
                                <w:sz w:val="24"/>
                                <w:szCs w:val="24"/>
                              </w:rPr>
                            </m:ctrlPr>
                          </m:dPr>
                          <m:e>
                            <m:r>
                              <w:rPr>
                                <w:rFonts w:ascii="Cambria Math" w:eastAsiaTheme="minorEastAsia" w:hAnsi="Cambria Math"/>
                                <w:sz w:val="24"/>
                              </w:rPr>
                              <m:t>m,o,t,s</m:t>
                            </m:r>
                          </m:e>
                        </m:d>
                      </m:e>
                    </m:nary>
                  </m:e>
                </m:nary>
                <m:r>
                  <w:rPr>
                    <w:rFonts w:ascii="Cambria Math" w:eastAsiaTheme="minorEastAsia" w:hAnsi="Cambria Math"/>
                    <w:sz w:val="24"/>
                  </w:rPr>
                  <m:t>=0</m:t>
                </m:r>
              </m:oMath>
            </m:oMathPara>
          </w:p>
        </w:tc>
      </w:tr>
      <w:tr w:rsidR="00A43041" w:rsidTr="00DF28AF">
        <w:tc>
          <w:tcPr>
            <w:tcW w:w="3539" w:type="dxa"/>
          </w:tcPr>
          <w:p w:rsidR="00A43041"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All co-products generated must be allocated to markets</w:t>
            </w:r>
          </w:p>
        </w:tc>
        <w:tc>
          <w:tcPr>
            <w:tcW w:w="5812" w:type="dxa"/>
          </w:tcPr>
          <w:p w:rsidR="00A43041"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∀t∈T,∀s∈S, ∀cp∈CP</m:t>
              </m:r>
            </m:oMath>
            <w:r>
              <w:rPr>
                <w:rFonts w:ascii="Arial" w:hAnsi="Arial" w:cs="Arial"/>
                <w:sz w:val="24"/>
                <w:szCs w:val="24"/>
                <w:lang w:val="en-GB"/>
              </w:rPr>
              <w:t>:</w:t>
            </w:r>
          </w:p>
          <w:p w:rsidR="0046397A" w:rsidRDefault="00E93315" w:rsidP="003B1183">
            <w:pPr>
              <w:spacing w:line="480" w:lineRule="auto"/>
              <w:jc w:val="both"/>
            </w:pPr>
            <m:oMathPara>
              <m:oMath>
                <m:nary>
                  <m:naryPr>
                    <m:chr m:val="∑"/>
                    <m:limLoc m:val="undOvr"/>
                    <m:supHide m:val="1"/>
                    <m:ctrlPr>
                      <w:rPr>
                        <w:rFonts w:ascii="Cambria Math" w:hAnsi="Cambria Math"/>
                        <w:i/>
                      </w:rPr>
                    </m:ctrlPr>
                  </m:naryPr>
                  <m:sub>
                    <m:r>
                      <w:rPr>
                        <w:rFonts w:ascii="Cambria Math" w:hAnsi="Cambria Math"/>
                      </w:rPr>
                      <m:t>mark</m:t>
                    </m:r>
                  </m:sub>
                  <m:sup/>
                  <m:e>
                    <m:r>
                      <w:rPr>
                        <w:rFonts w:ascii="Cambria Math" w:hAnsi="Cambria Math"/>
                      </w:rPr>
                      <m:t>z(t,s,cp,mark)</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x</m:t>
                        </m:r>
                        <m:d>
                          <m:dPr>
                            <m:ctrlPr>
                              <w:rPr>
                                <w:rFonts w:ascii="Cambria Math" w:hAnsi="Cambria Math"/>
                                <w:i/>
                              </w:rPr>
                            </m:ctrlPr>
                          </m:dPr>
                          <m:e>
                            <m:r>
                              <w:rPr>
                                <w:rFonts w:ascii="Cambria Math" w:hAnsi="Cambria Math"/>
                              </w:rPr>
                              <m:t>m,o,t,s</m:t>
                            </m:r>
                          </m:e>
                        </m:d>
                        <m:r>
                          <w:rPr>
                            <w:rFonts w:ascii="Cambria Math" w:hAnsi="Cambria Math"/>
                          </w:rPr>
                          <m:t>*</m:t>
                        </m:r>
                      </m:e>
                    </m:nary>
                  </m:e>
                </m:nary>
                <m:sSub>
                  <m:sSubPr>
                    <m:ctrlPr>
                      <w:rPr>
                        <w:rFonts w:ascii="Cambria Math" w:hAnsi="Cambria Math"/>
                        <w:i/>
                        <w:iCs/>
                      </w:rPr>
                    </m:ctrlPr>
                  </m:sSubPr>
                  <m:e>
                    <m:r>
                      <w:rPr>
                        <w:rFonts w:ascii="Cambria Math" w:hAnsi="Cambria Math"/>
                      </w:rPr>
                      <m:t>y</m:t>
                    </m:r>
                  </m:e>
                  <m:sub>
                    <m:r>
                      <w:rPr>
                        <w:rFonts w:ascii="Cambria Math" w:hAnsi="Cambria Math"/>
                      </w:rPr>
                      <m:t>cp,t</m:t>
                    </m:r>
                  </m:sub>
                </m:sSub>
              </m:oMath>
            </m:oMathPara>
          </w:p>
          <w:p w:rsidR="0046397A" w:rsidRDefault="0046397A" w:rsidP="003B1183">
            <w:pPr>
              <w:spacing w:line="480" w:lineRule="auto"/>
              <w:contextualSpacing/>
              <w:jc w:val="both"/>
              <w:rPr>
                <w:rFonts w:ascii="Arial" w:hAnsi="Arial" w:cs="Arial"/>
                <w:sz w:val="24"/>
                <w:szCs w:val="24"/>
                <w:lang w:val="en-GB"/>
              </w:rPr>
            </w:pPr>
          </w:p>
        </w:tc>
      </w:tr>
      <w:tr w:rsidR="0046397A" w:rsidTr="00DF28AF">
        <w:tc>
          <w:tcPr>
            <w:tcW w:w="3539"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 co-product can only be sent to a compatible market</w:t>
            </w:r>
          </w:p>
        </w:tc>
        <w:tc>
          <w:tcPr>
            <w:tcW w:w="5812" w:type="dxa"/>
          </w:tcPr>
          <w:p w:rsidR="0046397A" w:rsidRPr="0046397A"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∀cp∈CP,∀mark∈MARK, if poss(cp,mark)=0</m:t>
              </m:r>
            </m:oMath>
            <w:r>
              <w:rPr>
                <w:rFonts w:ascii="Arial" w:hAnsi="Arial" w:cs="Arial"/>
                <w:sz w:val="24"/>
                <w:szCs w:val="24"/>
                <w:lang w:val="en-GB"/>
              </w:rPr>
              <w:t>:</w:t>
            </w:r>
          </w:p>
          <w:p w:rsidR="0046397A" w:rsidRPr="0046397A" w:rsidRDefault="00E93315" w:rsidP="003B1183">
            <w:pPr>
              <w:spacing w:line="480" w:lineRule="auto"/>
              <w:jc w:val="both"/>
              <w:rPr>
                <w:rFonts w:ascii="Arial" w:eastAsiaTheme="minorEastAsia" w:hAnsi="Arial" w:cs="Arial"/>
                <w:sz w:val="24"/>
                <w:szCs w:val="24"/>
              </w:rPr>
            </w:pPr>
            <m:oMathPara>
              <m:oMath>
                <m:nary>
                  <m:naryPr>
                    <m:chr m:val="∑"/>
                    <m:limLoc m:val="undOvr"/>
                    <m:supHide m:val="1"/>
                    <m:ctrlPr>
                      <w:rPr>
                        <w:rFonts w:ascii="Cambria Math" w:hAnsi="Cambria Math"/>
                        <w:i/>
                        <w:sz w:val="24"/>
                        <w:szCs w:val="24"/>
                      </w:rPr>
                    </m:ctrlPr>
                  </m:naryPr>
                  <m:sub>
                    <m:r>
                      <w:rPr>
                        <w:rFonts w:ascii="Cambria Math" w:hAnsi="Cambria Math"/>
                      </w:rPr>
                      <m:t>t</m:t>
                    </m:r>
                  </m:sub>
                  <m:sup/>
                  <m:e>
                    <m:nary>
                      <m:naryPr>
                        <m:chr m:val="∑"/>
                        <m:limLoc m:val="undOvr"/>
                        <m:supHide m:val="1"/>
                        <m:ctrlPr>
                          <w:rPr>
                            <w:rFonts w:ascii="Cambria Math" w:hAnsi="Cambria Math"/>
                            <w:i/>
                            <w:sz w:val="24"/>
                            <w:szCs w:val="24"/>
                          </w:rPr>
                        </m:ctrlPr>
                      </m:naryPr>
                      <m:sub>
                        <m:r>
                          <w:rPr>
                            <w:rFonts w:ascii="Cambria Math" w:hAnsi="Cambria Math"/>
                          </w:rPr>
                          <m:t>s</m:t>
                        </m:r>
                      </m:sub>
                      <m:sup/>
                      <m:e>
                        <m:r>
                          <w:rPr>
                            <w:rFonts w:ascii="Cambria Math" w:hAnsi="Cambria Math"/>
                          </w:rPr>
                          <m:t>z</m:t>
                        </m:r>
                        <m:d>
                          <m:dPr>
                            <m:ctrlPr>
                              <w:rPr>
                                <w:rFonts w:ascii="Cambria Math" w:hAnsi="Cambria Math"/>
                                <w:i/>
                                <w:sz w:val="24"/>
                                <w:szCs w:val="24"/>
                              </w:rPr>
                            </m:ctrlPr>
                          </m:dPr>
                          <m:e>
                            <m:r>
                              <w:rPr>
                                <w:rFonts w:ascii="Cambria Math" w:hAnsi="Cambria Math"/>
                              </w:rPr>
                              <m:t>t,s,cp,mark</m:t>
                            </m:r>
                          </m:e>
                        </m:d>
                        <m:r>
                          <w:rPr>
                            <w:rFonts w:ascii="Cambria Math" w:hAnsi="Cambria Math"/>
                          </w:rPr>
                          <m:t>=0</m:t>
                        </m:r>
                      </m:e>
                    </m:nary>
                  </m:e>
                </m:nary>
              </m:oMath>
            </m:oMathPara>
          </w:p>
        </w:tc>
      </w:tr>
      <w:tr w:rsidR="0046397A" w:rsidRPr="00D709B6" w:rsidTr="00DF28AF">
        <w:tc>
          <w:tcPr>
            <w:tcW w:w="3539"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 xml:space="preserve">The </w:t>
            </w:r>
            <w:r w:rsidR="00C856B0">
              <w:rPr>
                <w:rFonts w:ascii="Arial" w:hAnsi="Arial" w:cs="Arial"/>
                <w:sz w:val="24"/>
                <w:szCs w:val="24"/>
                <w:lang w:val="en-GB"/>
              </w:rPr>
              <w:t>avoided impact</w:t>
            </w:r>
            <w:r w:rsidRPr="0046397A">
              <w:rPr>
                <w:rFonts w:ascii="Arial" w:hAnsi="Arial" w:cs="Arial"/>
                <w:sz w:val="24"/>
                <w:szCs w:val="24"/>
                <w:lang w:val="en-GB"/>
              </w:rPr>
              <w:t xml:space="preserve"> from </w:t>
            </w:r>
            <w:r w:rsidR="00C856B0">
              <w:rPr>
                <w:rFonts w:ascii="Arial" w:hAnsi="Arial" w:cs="Arial"/>
                <w:sz w:val="24"/>
                <w:szCs w:val="24"/>
                <w:lang w:val="en-GB"/>
              </w:rPr>
              <w:t>cp</w:t>
            </w:r>
            <w:r w:rsidRPr="0046397A">
              <w:rPr>
                <w:rFonts w:ascii="Arial" w:hAnsi="Arial" w:cs="Arial"/>
                <w:sz w:val="24"/>
                <w:szCs w:val="24"/>
                <w:lang w:val="en-GB"/>
              </w:rPr>
              <w:t xml:space="preserve"> </w:t>
            </w:r>
            <w:r w:rsidR="00C856B0">
              <w:rPr>
                <w:rFonts w:ascii="Arial" w:hAnsi="Arial" w:cs="Arial"/>
                <w:sz w:val="24"/>
                <w:szCs w:val="24"/>
                <w:lang w:val="en-GB"/>
              </w:rPr>
              <w:t>is</w:t>
            </w:r>
            <w:r w:rsidRPr="0046397A">
              <w:rPr>
                <w:rFonts w:ascii="Arial" w:hAnsi="Arial" w:cs="Arial"/>
                <w:sz w:val="24"/>
                <w:szCs w:val="24"/>
                <w:lang w:val="en-GB"/>
              </w:rPr>
              <w:t xml:space="preserve"> limited by the market </w:t>
            </w:r>
            <w:r>
              <w:rPr>
                <w:rFonts w:ascii="Arial" w:hAnsi="Arial" w:cs="Arial"/>
                <w:sz w:val="24"/>
                <w:szCs w:val="24"/>
                <w:lang w:val="en-GB"/>
              </w:rPr>
              <w:t xml:space="preserve">size </w:t>
            </w:r>
            <w:r w:rsidRPr="0046397A">
              <w:rPr>
                <w:rFonts w:ascii="Arial" w:hAnsi="Arial" w:cs="Arial"/>
                <w:sz w:val="24"/>
                <w:szCs w:val="24"/>
                <w:lang w:val="en-GB"/>
              </w:rPr>
              <w:t xml:space="preserve">of the conventional product being </w:t>
            </w:r>
            <w:r>
              <w:rPr>
                <w:rFonts w:ascii="Arial" w:hAnsi="Arial" w:cs="Arial"/>
                <w:sz w:val="24"/>
                <w:szCs w:val="24"/>
                <w:lang w:val="en-GB"/>
              </w:rPr>
              <w:t>substituted</w:t>
            </w:r>
          </w:p>
        </w:tc>
        <w:tc>
          <w:tcPr>
            <w:tcW w:w="5812" w:type="dxa"/>
          </w:tcPr>
          <w:p w:rsidR="001254D0" w:rsidRPr="001254D0" w:rsidRDefault="001254D0"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∀c</m:t>
              </m:r>
              <m:r>
                <w:rPr>
                  <w:rFonts w:ascii="Cambria Math" w:hAnsi="Cambria Math" w:cs="Arial"/>
                  <w:sz w:val="24"/>
                  <w:szCs w:val="24"/>
                  <w:lang w:val="en-GB"/>
                </w:rPr>
                <m:t>onv</m:t>
              </m:r>
              <m:r>
                <w:rPr>
                  <w:rFonts w:ascii="Cambria Math" w:hAnsi="Cambria Math" w:cs="Arial"/>
                  <w:sz w:val="24"/>
                  <w:szCs w:val="24"/>
                  <w:lang w:val="en-GB"/>
                </w:rPr>
                <m:t>p∈C</m:t>
              </m:r>
              <m:r>
                <w:rPr>
                  <w:rFonts w:ascii="Cambria Math" w:hAnsi="Cambria Math" w:cs="Arial"/>
                  <w:sz w:val="24"/>
                  <w:szCs w:val="24"/>
                  <w:lang w:val="en-GB"/>
                </w:rPr>
                <m:t>onv</m:t>
              </m:r>
              <m:r>
                <w:rPr>
                  <w:rFonts w:ascii="Cambria Math" w:hAnsi="Cambria Math" w:cs="Arial"/>
                  <w:sz w:val="24"/>
                  <w:szCs w:val="24"/>
                  <w:lang w:val="en-GB"/>
                </w:rPr>
                <m:t>P</m:t>
              </m:r>
            </m:oMath>
            <w:r>
              <w:rPr>
                <w:rFonts w:ascii="Arial" w:hAnsi="Arial" w:cs="Arial"/>
                <w:sz w:val="24"/>
                <w:szCs w:val="24"/>
                <w:lang w:val="en-GB"/>
              </w:rPr>
              <w:t>:</w:t>
            </w:r>
          </w:p>
          <w:p w:rsidR="00DF28AF" w:rsidRPr="00DF28AF" w:rsidRDefault="00DF28AF" w:rsidP="003B1183">
            <w:pPr>
              <w:spacing w:line="480" w:lineRule="auto"/>
              <w:contextualSpacing/>
              <w:jc w:val="both"/>
              <w:rPr>
                <w:rFonts w:ascii="Arial" w:hAnsi="Arial" w:cs="Arial"/>
                <w:iCs/>
                <w:sz w:val="24"/>
                <w:szCs w:val="24"/>
              </w:rPr>
            </w:pPr>
            <m:oMathPara>
              <m:oMath>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cp,t,s,mark</m:t>
                    </m:r>
                  </m:sub>
                  <m:sup/>
                  <m:e>
                    <m:r>
                      <w:rPr>
                        <w:rFonts w:ascii="Cambria Math" w:hAnsi="Cambria Math"/>
                        <w:sz w:val="24"/>
                        <w:szCs w:val="24"/>
                      </w:rPr>
                      <m:t>z</m:t>
                    </m:r>
                    <m:d>
                      <m:dPr>
                        <m:ctrlPr>
                          <w:rPr>
                            <w:rFonts w:ascii="Cambria Math" w:hAnsi="Cambria Math"/>
                            <w:i/>
                            <w:iCs/>
                            <w:sz w:val="24"/>
                            <w:szCs w:val="24"/>
                          </w:rPr>
                        </m:ctrlPr>
                      </m:dPr>
                      <m:e>
                        <m:r>
                          <w:rPr>
                            <w:rFonts w:ascii="Cambria Math" w:hAnsi="Cambria Math"/>
                            <w:sz w:val="24"/>
                            <w:szCs w:val="24"/>
                          </w:rPr>
                          <m:t>t,cp,s,mark</m:t>
                        </m:r>
                      </m:e>
                    </m:d>
                    <m:r>
                      <w:rPr>
                        <w:rFonts w:ascii="Cambria Math" w:hAnsi="Cambria Math"/>
                        <w:sz w:val="24"/>
                        <w:szCs w:val="24"/>
                      </w:rPr>
                      <m:t>.</m:t>
                    </m:r>
                  </m:e>
                </m:nary>
                <m:sSub>
                  <m:sSubPr>
                    <m:ctrlPr>
                      <w:rPr>
                        <w:rFonts w:ascii="Cambria Math" w:hAnsi="Cambria Math"/>
                        <w:i/>
                        <w:iCs/>
                        <w:sz w:val="24"/>
                        <w:szCs w:val="24"/>
                      </w:rPr>
                    </m:ctrlPr>
                  </m:sSubPr>
                  <m:e>
                    <m:r>
                      <w:rPr>
                        <w:rFonts w:ascii="Cambria Math" w:hAnsi="Cambria Math"/>
                      </w:rPr>
                      <m:t>γ</m:t>
                    </m:r>
                  </m:e>
                  <m:sub>
                    <m:r>
                      <w:rPr>
                        <w:rFonts w:ascii="Cambria Math" w:hAnsi="Cambria Math"/>
                      </w:rPr>
                      <m:t>cp,con</m:t>
                    </m:r>
                    <m:sSub>
                      <m:sSubPr>
                        <m:ctrlPr>
                          <w:rPr>
                            <w:rFonts w:ascii="Cambria Math" w:hAnsi="Cambria Math"/>
                            <w:i/>
                            <w:iCs/>
                            <w:sz w:val="24"/>
                            <w:szCs w:val="24"/>
                          </w:rPr>
                        </m:ctrlPr>
                      </m:sSubPr>
                      <m:e>
                        <m:r>
                          <w:rPr>
                            <w:rFonts w:ascii="Cambria Math" w:hAnsi="Cambria Math"/>
                          </w:rPr>
                          <m:t>v</m:t>
                        </m:r>
                      </m:e>
                      <m:sub>
                        <m:r>
                          <w:rPr>
                            <w:rFonts w:ascii="Cambria Math" w:hAnsi="Cambria Math"/>
                          </w:rPr>
                          <m:t>p</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I</m:t>
                    </m:r>
                  </m:e>
                  <m:sub>
                    <m:sSub>
                      <m:sSubPr>
                        <m:ctrlPr>
                          <w:rPr>
                            <w:rFonts w:ascii="Cambria Math" w:hAnsi="Cambria Math"/>
                            <w:i/>
                            <w:iCs/>
                            <w:sz w:val="24"/>
                            <w:szCs w:val="24"/>
                          </w:rPr>
                        </m:ctrlPr>
                      </m:sSubPr>
                      <m:e>
                        <m:r>
                          <w:rPr>
                            <w:rFonts w:ascii="Cambria Math" w:hAnsi="Cambria Math"/>
                            <w:sz w:val="24"/>
                            <w:szCs w:val="24"/>
                          </w:rPr>
                          <m:t>convp</m:t>
                        </m:r>
                      </m:e>
                      <m:sub>
                        <m:r>
                          <w:rPr>
                            <w:rFonts w:ascii="Cambria Math" w:hAnsi="Cambria Math"/>
                            <w:sz w:val="24"/>
                            <w:szCs w:val="24"/>
                          </w:rPr>
                          <m:t>i</m:t>
                        </m:r>
                      </m:sub>
                    </m:sSub>
                  </m:sub>
                </m:sSub>
                <m:r>
                  <w:rPr>
                    <w:rFonts w:ascii="Cambria Math" w:hAnsi="Cambria Math"/>
                    <w:sz w:val="24"/>
                    <w:szCs w:val="24"/>
                  </w:rPr>
                  <m:t>≤</m:t>
                </m:r>
                <m:r>
                  <m:rPr>
                    <m:sty m:val="p"/>
                  </m:rPr>
                  <w:rPr>
                    <w:rFonts w:ascii="Cambria Math" w:hAnsi="Cambria Math" w:cs="Arial"/>
                  </w:rPr>
                  <m:t>CAP</m:t>
                </m:r>
                <m:d>
                  <m:dPr>
                    <m:ctrlPr>
                      <w:rPr>
                        <w:rFonts w:ascii="Cambria Math" w:hAnsi="Cambria Math" w:cs="Arial"/>
                        <w:iCs/>
                      </w:rPr>
                    </m:ctrlPr>
                  </m:dPr>
                  <m:e>
                    <m:r>
                      <m:rPr>
                        <m:sty m:val="p"/>
                      </m:rPr>
                      <w:rPr>
                        <w:rFonts w:ascii="Cambria Math" w:hAnsi="Cambria Math" w:cs="Arial"/>
                      </w:rPr>
                      <m:t>convp</m:t>
                    </m:r>
                  </m:e>
                </m:d>
                <m:r>
                  <m:rPr>
                    <m:sty m:val="p"/>
                  </m:rPr>
                  <w:rPr>
                    <w:rFonts w:ascii="Cambria Math" w:hAnsi="Cambria Math" w:cs="Arial"/>
                  </w:rPr>
                  <m:t>.</m:t>
                </m:r>
                <m:sSub>
                  <m:sSubPr>
                    <m:ctrlPr>
                      <w:rPr>
                        <w:rFonts w:ascii="Cambria Math" w:hAnsi="Cambria Math"/>
                        <w:i/>
                        <w:iCs/>
                        <w:sz w:val="24"/>
                        <w:szCs w:val="24"/>
                      </w:rPr>
                    </m:ctrlPr>
                  </m:sSubPr>
                  <m:e>
                    <m:r>
                      <w:rPr>
                        <w:rFonts w:ascii="Cambria Math" w:hAnsi="Cambria Math"/>
                        <w:sz w:val="24"/>
                        <w:szCs w:val="24"/>
                      </w:rPr>
                      <m:t>I</m:t>
                    </m:r>
                  </m:e>
                  <m:sub>
                    <m:sSub>
                      <m:sSubPr>
                        <m:ctrlPr>
                          <w:rPr>
                            <w:rFonts w:ascii="Cambria Math" w:hAnsi="Cambria Math"/>
                            <w:i/>
                            <w:iCs/>
                            <w:sz w:val="24"/>
                            <w:szCs w:val="24"/>
                          </w:rPr>
                        </m:ctrlPr>
                      </m:sSubPr>
                      <m:e>
                        <m:r>
                          <w:rPr>
                            <w:rFonts w:ascii="Cambria Math" w:hAnsi="Cambria Math"/>
                            <w:sz w:val="24"/>
                            <w:szCs w:val="24"/>
                          </w:rPr>
                          <m:t>convp</m:t>
                        </m:r>
                      </m:e>
                      <m:sub>
                        <m:r>
                          <w:rPr>
                            <w:rFonts w:ascii="Cambria Math" w:hAnsi="Cambria Math"/>
                            <w:sz w:val="24"/>
                            <w:szCs w:val="24"/>
                          </w:rPr>
                          <m:t>i</m:t>
                        </m:r>
                      </m:sub>
                    </m:sSub>
                  </m:sub>
                </m:sSub>
              </m:oMath>
            </m:oMathPara>
          </w:p>
        </w:tc>
      </w:tr>
    </w:tbl>
    <w:p w:rsidR="00A43041" w:rsidRPr="0046397A" w:rsidRDefault="00A43041" w:rsidP="003B1183">
      <w:pPr>
        <w:spacing w:line="480" w:lineRule="auto"/>
        <w:contextualSpacing/>
        <w:jc w:val="both"/>
        <w:rPr>
          <w:rFonts w:ascii="Arial" w:eastAsia="Calibri" w:hAnsi="Arial" w:cs="Arial"/>
          <w:sz w:val="24"/>
          <w:szCs w:val="24"/>
          <w:lang w:val="en-GB"/>
        </w:rPr>
      </w:pPr>
    </w:p>
    <w:p w:rsidR="00B5527D" w:rsidRPr="00B5527D" w:rsidRDefault="006C74E2" w:rsidP="00A928AA">
      <w:pPr>
        <w:pStyle w:val="Titre2"/>
        <w:numPr>
          <w:ilvl w:val="0"/>
          <w:numId w:val="7"/>
        </w:numPr>
        <w:jc w:val="both"/>
        <w:rPr>
          <w:rFonts w:cs="Arial"/>
          <w:szCs w:val="24"/>
          <w:lang w:val="en-GB"/>
        </w:rPr>
      </w:pPr>
      <w:r w:rsidRPr="00B5527D">
        <w:rPr>
          <w:rFonts w:cs="Arial"/>
          <w:szCs w:val="24"/>
          <w:lang w:val="en-GB"/>
        </w:rPr>
        <w:lastRenderedPageBreak/>
        <w:t xml:space="preserve">LCA of </w:t>
      </w:r>
      <w:r w:rsidR="00B5527D" w:rsidRPr="00B5527D">
        <w:rPr>
          <w:rFonts w:cs="Arial"/>
          <w:szCs w:val="24"/>
          <w:lang w:val="en-GB"/>
        </w:rPr>
        <w:t>biowaste treatment technologies</w:t>
      </w:r>
    </w:p>
    <w:p w:rsidR="00B5527D" w:rsidRDefault="00B5527D" w:rsidP="00A928AA">
      <w:pPr>
        <w:pStyle w:val="Titre3"/>
        <w:numPr>
          <w:ilvl w:val="2"/>
          <w:numId w:val="6"/>
        </w:numPr>
        <w:rPr>
          <w:lang w:val="en-GB"/>
        </w:rPr>
      </w:pPr>
      <w:r w:rsidRPr="00B5527D">
        <w:rPr>
          <w:lang w:val="en-GB"/>
        </w:rPr>
        <w:t>Goal and scope</w:t>
      </w:r>
    </w:p>
    <w:p w:rsidR="007D4809"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This section aims to compare the different waste treatment technologies that are later integrated into the optimization framework. The functional unit is defined as the treatment of 1 tonne of biowaste. </w:t>
      </w:r>
      <w:r w:rsidR="00CF71B9">
        <w:rPr>
          <w:rFonts w:ascii="Arial" w:hAnsi="Arial" w:cs="Arial"/>
          <w:sz w:val="24"/>
          <w:szCs w:val="24"/>
          <w:lang w:val="en-GB"/>
        </w:rPr>
        <w:t>As</w:t>
      </w:r>
      <w:r w:rsidR="00CF71B9" w:rsidRPr="00CF71B9">
        <w:rPr>
          <w:rFonts w:ascii="Arial" w:hAnsi="Arial" w:cs="Arial"/>
          <w:sz w:val="24"/>
          <w:szCs w:val="24"/>
          <w:lang w:val="en-GB"/>
        </w:rPr>
        <w:t xml:space="preserve"> the technologies generate co-products, multifunctionality is addressed using a system expansion approach. In line with the case study presented below, the geographical scope of the LCA is defined as France.</w:t>
      </w:r>
    </w:p>
    <w:p w:rsidR="007B7CCA" w:rsidRDefault="00CF71B9" w:rsidP="00CF71B9">
      <w:pPr>
        <w:pStyle w:val="Titre3"/>
        <w:numPr>
          <w:ilvl w:val="2"/>
          <w:numId w:val="6"/>
        </w:numPr>
        <w:rPr>
          <w:rFonts w:cs="Arial"/>
          <w:lang w:val="en-GB"/>
        </w:rPr>
      </w:pPr>
      <w:r>
        <w:rPr>
          <w:rFonts w:cs="Arial"/>
          <w:lang w:val="en-GB"/>
        </w:rPr>
        <w:t>Description of technologies</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The two main categories of technologies assessed in this study are composting and anaerobic digestion. Composting is further distinguished into home composting and industrial composting. Both processes produce compost, which provides fertilizing functions through its nitrogen (N), phosphorus (P), and potassium (K) content, as well as soil amendment functions due to its carbon content (e.g., [ref]). Consequently, the avoided processes include the production and use of mineral fertilizers and peat, which deliver similar functions to those of compost.</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 xml:space="preserve">Anaerobic digestion technologies differ according to the post-treatment of both biogas and digestate. Regarding biogas, three </w:t>
      </w:r>
      <w:proofErr w:type="spellStart"/>
      <w:r w:rsidRPr="00CF71B9">
        <w:rPr>
          <w:rFonts w:ascii="Arial" w:hAnsi="Arial" w:cs="Arial"/>
          <w:sz w:val="24"/>
          <w:szCs w:val="24"/>
          <w:lang w:val="en-GB"/>
        </w:rPr>
        <w:t>valorization</w:t>
      </w:r>
      <w:proofErr w:type="spellEnd"/>
      <w:r w:rsidRPr="00CF71B9">
        <w:rPr>
          <w:rFonts w:ascii="Arial" w:hAnsi="Arial" w:cs="Arial"/>
          <w:sz w:val="24"/>
          <w:szCs w:val="24"/>
          <w:lang w:val="en-GB"/>
        </w:rPr>
        <w:t xml:space="preserve"> pathways are considered: (</w:t>
      </w:r>
      <w:proofErr w:type="spellStart"/>
      <w:r w:rsidRPr="00CF71B9">
        <w:rPr>
          <w:rFonts w:ascii="Arial" w:hAnsi="Arial" w:cs="Arial"/>
          <w:sz w:val="24"/>
          <w:szCs w:val="24"/>
          <w:lang w:val="en-GB"/>
        </w:rPr>
        <w:t>i</w:t>
      </w:r>
      <w:proofErr w:type="spellEnd"/>
      <w:r w:rsidRPr="00CF71B9">
        <w:rPr>
          <w:rFonts w:ascii="Arial" w:hAnsi="Arial" w:cs="Arial"/>
          <w:sz w:val="24"/>
          <w:szCs w:val="24"/>
          <w:lang w:val="en-GB"/>
        </w:rPr>
        <w:t>) combined heat and power (CHP) generation, producing both electricity and heat; (ii) direct combustion to produce heat; and (iii) upgrading to biomethane. Heat is assumed to substitute heat produced from natural gas, while electricity replaces marginal electricity production. The use phase of heat and electricity derived from biogas is assumed to generate impacts equivalent to those of the substituted energy. In contrast, biomethane injected into the gas grid directly substitutes natural gas. In this case, the use phase is explicitly included in the system boundaries, as the combustion of natural gas releases fossil carbon, unlike biomethane.</w:t>
      </w:r>
    </w:p>
    <w:p w:rsid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lastRenderedPageBreak/>
        <w:t>Regarding digestate, it can be directly applied to land after storage, providing fertilizing functions (N, P, K). Unlike compost, it is assumed not to provide a soil amendment function, as digestate is typically applied in agricultural contexts where such functions are less critical (e.g., [ref]). Alternatively, digestate can be further composted to produce compost with similar properties and functions to that derived from biowaste composting.</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Based on the different combinations of biogas and digestate treatment pathways, six types of anaerobic digestion systems are distinguished. In this study, technology labels reflect the co-products generated. For example, AD-</w:t>
      </w:r>
      <w:proofErr w:type="spellStart"/>
      <w:r w:rsidRPr="00CF71B9">
        <w:rPr>
          <w:rFonts w:ascii="Arial" w:hAnsi="Arial" w:cs="Arial"/>
          <w:sz w:val="24"/>
          <w:szCs w:val="24"/>
          <w:lang w:val="en-GB"/>
        </w:rPr>
        <w:t>elec</w:t>
      </w:r>
      <w:proofErr w:type="spellEnd"/>
      <w:r w:rsidRPr="00CF71B9">
        <w:rPr>
          <w:rFonts w:ascii="Arial" w:hAnsi="Arial" w:cs="Arial"/>
          <w:sz w:val="24"/>
          <w:szCs w:val="24"/>
          <w:lang w:val="en-GB"/>
        </w:rPr>
        <w:t>-heat-dig refers to anaerobic digestion with CHP production and direct land application of digestate.</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System boundaries exclude the transport of biowaste, as this aspect is territory-specific and addressed separately in the optimization framework.</w:t>
      </w:r>
    </w:p>
    <w:p w:rsidR="007D4809"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The technologies under study are presented in Figures […].</w:t>
      </w:r>
      <w:r>
        <w:rPr>
          <w:rFonts w:ascii="Arial" w:hAnsi="Arial" w:cs="Arial"/>
          <w:sz w:val="24"/>
          <w:szCs w:val="24"/>
          <w:lang w:val="en-GB"/>
        </w:rPr>
        <w:t xml:space="preserve"> </w:t>
      </w:r>
    </w:p>
    <w:p w:rsidR="00A928AA"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The system boundaries exclude the transport of biowaste, as distances are dependent on the specific territory considered.</w:t>
      </w:r>
    </w:p>
    <w:p w:rsidR="000B6379" w:rsidRDefault="0067617B" w:rsidP="003B1183">
      <w:pPr>
        <w:spacing w:line="480" w:lineRule="auto"/>
        <w:jc w:val="both"/>
        <w:rPr>
          <w:rFonts w:ascii="Arial" w:hAnsi="Arial" w:cs="Arial"/>
          <w:sz w:val="24"/>
          <w:szCs w:val="24"/>
          <w:lang w:val="en-GB"/>
        </w:rPr>
      </w:pPr>
      <w:r>
        <w:rPr>
          <w:rFonts w:ascii="Arial" w:hAnsi="Arial" w:cs="Arial"/>
          <w:noProof/>
          <w:sz w:val="24"/>
          <w:szCs w:val="24"/>
          <w:lang w:val="en-GB"/>
        </w:rPr>
        <w:lastRenderedPageBreak/>
        <w:drawing>
          <wp:inline distT="0" distB="0" distL="0" distR="0">
            <wp:extent cx="6054090" cy="5541434"/>
            <wp:effectExtent l="0" t="0" r="381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_tot.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0320" cy="5547136"/>
                    </a:xfrm>
                    <a:prstGeom prst="rect">
                      <a:avLst/>
                    </a:prstGeom>
                  </pic:spPr>
                </pic:pic>
              </a:graphicData>
            </a:graphic>
          </wp:inline>
        </w:drawing>
      </w:r>
    </w:p>
    <w:p w:rsidR="00B5527D" w:rsidRDefault="00B5527D" w:rsidP="00A928AA">
      <w:pPr>
        <w:pStyle w:val="Titre3"/>
        <w:numPr>
          <w:ilvl w:val="2"/>
          <w:numId w:val="6"/>
        </w:numPr>
        <w:rPr>
          <w:rFonts w:cs="Arial"/>
          <w:lang w:val="en-GB"/>
        </w:rPr>
      </w:pPr>
      <w:r>
        <w:rPr>
          <w:rFonts w:cs="Arial"/>
          <w:lang w:val="en-GB"/>
        </w:rPr>
        <w:t xml:space="preserve">Life </w:t>
      </w:r>
      <w:r w:rsidRPr="00A928AA">
        <w:rPr>
          <w:lang w:val="en-GB"/>
        </w:rPr>
        <w:t>cycle</w:t>
      </w:r>
      <w:r>
        <w:rPr>
          <w:rFonts w:cs="Arial"/>
          <w:lang w:val="en-GB"/>
        </w:rPr>
        <w:t xml:space="preserve"> inventory</w:t>
      </w:r>
    </w:p>
    <w:p w:rsid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Inventory data for home and industrial composting were obtained using the </w:t>
      </w:r>
      <w:proofErr w:type="spellStart"/>
      <w:r w:rsidRPr="00B5527D">
        <w:rPr>
          <w:rFonts w:ascii="Arial" w:hAnsi="Arial" w:cs="Arial"/>
          <w:sz w:val="24"/>
          <w:szCs w:val="24"/>
          <w:lang w:val="en-GB"/>
        </w:rPr>
        <w:t>PaCTEA</w:t>
      </w:r>
      <w:proofErr w:type="spellEnd"/>
      <w:r w:rsidRPr="00B5527D">
        <w:rPr>
          <w:rFonts w:ascii="Arial" w:hAnsi="Arial" w:cs="Arial"/>
          <w:sz w:val="24"/>
          <w:szCs w:val="24"/>
          <w:lang w:val="en-GB"/>
        </w:rPr>
        <w:t xml:space="preserve"> tool developed by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{"citationID":"cs8Jzato","properties":{"formattedCitation":"(Ravoahangy et al., 2026)","plainCitation":"(Ravoahangy et al., 2026)","noteIndex":0},"citationItems":[{"id":727,"uris":["http://zotero.org/users/8751290/items/PSC4MZTD"],"itemData":{"id":727,"type":"article-journal","container-title":"Waste Management","DOI":"10.1016/j.wasman.2026.115337","ISSN":"0956053X","journalAbbreviation":"Waste Management","language":"en","page":"115337","source":"DOI.org (Crossref)","title":"Parametrization of biowaste composting system for life cycle assessment","volume":"212","author":[{"family":"Ravoahangy","given":"Nomena"},{"family":"Majeau-Bettez","given":"Guillaume"},{"family":"Schoefs","given":"Olivier"}],"issued":{"date-parts":[["2026",2]]},"citation-key":"ravoahangy2026"}}],"schema":"https://github.com/citation-style-language/schema/raw/master/csl-citation.json"} </w:instrText>
      </w:r>
      <w:r>
        <w:rPr>
          <w:rFonts w:ascii="Arial" w:hAnsi="Arial" w:cs="Arial"/>
          <w:sz w:val="24"/>
          <w:szCs w:val="24"/>
          <w:lang w:val="en-GB"/>
        </w:rPr>
        <w:fldChar w:fldCharType="separate"/>
      </w:r>
      <w:r w:rsidRPr="00B5527D">
        <w:rPr>
          <w:rFonts w:ascii="Arial" w:hAnsi="Arial" w:cs="Arial"/>
          <w:sz w:val="24"/>
          <w:lang w:val="en-GB"/>
        </w:rPr>
        <w:t>(Ravoahangy et al., 2026)</w:t>
      </w:r>
      <w:r>
        <w:rPr>
          <w:rFonts w:ascii="Arial" w:hAnsi="Arial" w:cs="Arial"/>
          <w:sz w:val="24"/>
          <w:szCs w:val="24"/>
          <w:lang w:val="en-GB"/>
        </w:rPr>
        <w:fldChar w:fldCharType="end"/>
      </w:r>
      <w:r w:rsidRPr="00B5527D">
        <w:rPr>
          <w:rFonts w:ascii="Arial" w:hAnsi="Arial" w:cs="Arial"/>
          <w:sz w:val="24"/>
          <w:szCs w:val="24"/>
          <w:lang w:val="en-GB"/>
        </w:rPr>
        <w:t>. Data for anaerobic digestion technologies were compiled from multiple literature sources. A detailed description of all inventory data is provided in the Appendix.</w:t>
      </w:r>
    </w:p>
    <w:p w:rsidR="00B5527D" w:rsidRP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Resources and emissions related to the background processes are obtained from </w:t>
      </w:r>
      <w:proofErr w:type="spellStart"/>
      <w:r w:rsidRPr="00B5527D">
        <w:rPr>
          <w:rFonts w:ascii="Arial" w:hAnsi="Arial" w:cs="Arial"/>
          <w:sz w:val="24"/>
          <w:szCs w:val="24"/>
          <w:lang w:val="en-GB"/>
        </w:rPr>
        <w:t>ecoinvent</w:t>
      </w:r>
      <w:proofErr w:type="spellEnd"/>
      <w:r w:rsidRPr="00B5527D">
        <w:rPr>
          <w:rFonts w:ascii="Arial" w:hAnsi="Arial" w:cs="Arial"/>
          <w:sz w:val="24"/>
          <w:szCs w:val="24"/>
          <w:lang w:val="en-GB"/>
        </w:rPr>
        <w:t xml:space="preserve"> database (version 3.9).</w:t>
      </w:r>
    </w:p>
    <w:p w:rsidR="00B5527D" w:rsidRDefault="00B5527D" w:rsidP="005529BE">
      <w:pPr>
        <w:pStyle w:val="Titre3"/>
        <w:numPr>
          <w:ilvl w:val="2"/>
          <w:numId w:val="6"/>
        </w:numPr>
        <w:rPr>
          <w:rFonts w:cs="Arial"/>
          <w:lang w:val="en-GB"/>
        </w:rPr>
      </w:pPr>
      <w:r>
        <w:rPr>
          <w:rFonts w:cs="Arial"/>
          <w:lang w:val="en-GB"/>
        </w:rPr>
        <w:lastRenderedPageBreak/>
        <w:t>Life cycle impact assessment</w:t>
      </w:r>
    </w:p>
    <w:p w:rsidR="00B5527D" w:rsidRPr="00B5527D" w:rsidRDefault="00B5527D" w:rsidP="003B1183">
      <w:pPr>
        <w:spacing w:line="480" w:lineRule="auto"/>
        <w:jc w:val="both"/>
        <w:rPr>
          <w:rFonts w:ascii="Arial" w:hAnsi="Arial" w:cs="Arial"/>
          <w:sz w:val="24"/>
          <w:szCs w:val="24"/>
          <w:lang w:val="en-GB"/>
        </w:rPr>
      </w:pPr>
      <w:r>
        <w:rPr>
          <w:rFonts w:ascii="Arial" w:hAnsi="Arial" w:cs="Arial"/>
          <w:sz w:val="24"/>
          <w:szCs w:val="24"/>
          <w:lang w:val="en-GB"/>
        </w:rPr>
        <w:t xml:space="preserve">For impact assessment, we used Impact World+ v2.1 method. Specifically, the footprint version was used to calculate climate change impacts, while the expert version was applied for </w:t>
      </w:r>
      <w:r w:rsidR="00D20196">
        <w:rPr>
          <w:rFonts w:ascii="Arial" w:hAnsi="Arial" w:cs="Arial"/>
          <w:sz w:val="24"/>
          <w:szCs w:val="24"/>
          <w:lang w:val="en-GB"/>
        </w:rPr>
        <w:t>the damage categories ecosystem quality and human health.</w:t>
      </w:r>
    </w:p>
    <w:p w:rsidR="006C74E2" w:rsidRDefault="006C74E2" w:rsidP="002003F3">
      <w:pPr>
        <w:pStyle w:val="Titre2"/>
        <w:numPr>
          <w:ilvl w:val="0"/>
          <w:numId w:val="7"/>
        </w:numPr>
        <w:jc w:val="both"/>
        <w:rPr>
          <w:rFonts w:cs="Arial"/>
          <w:szCs w:val="24"/>
          <w:lang w:val="en-GB"/>
        </w:rPr>
      </w:pPr>
      <w:r w:rsidRPr="00972408">
        <w:rPr>
          <w:rFonts w:cs="Arial"/>
          <w:szCs w:val="24"/>
          <w:lang w:val="en-GB"/>
        </w:rPr>
        <w:t>Case study</w:t>
      </w:r>
    </w:p>
    <w:p w:rsidR="00653F19" w:rsidRDefault="00653F19" w:rsidP="002003F3">
      <w:pPr>
        <w:pStyle w:val="Titre3"/>
        <w:numPr>
          <w:ilvl w:val="0"/>
          <w:numId w:val="11"/>
        </w:numPr>
        <w:rPr>
          <w:lang w:val="en-GB"/>
        </w:rPr>
      </w:pPr>
      <w:r>
        <w:rPr>
          <w:lang w:val="en-GB"/>
        </w:rPr>
        <w:t>Territory description</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The optimization framework was applied to a territory located in northern France, namely the </w:t>
      </w:r>
      <w:proofErr w:type="spellStart"/>
      <w:r w:rsidRPr="00E166C4">
        <w:rPr>
          <w:rFonts w:ascii="Arial" w:hAnsi="Arial" w:cs="Arial"/>
          <w:sz w:val="24"/>
          <w:szCs w:val="24"/>
          <w:lang w:val="en-GB"/>
        </w:rPr>
        <w:t>Agglomération</w:t>
      </w:r>
      <w:proofErr w:type="spellEnd"/>
      <w:r w:rsidRPr="00E166C4">
        <w:rPr>
          <w:rFonts w:ascii="Arial" w:hAnsi="Arial" w:cs="Arial"/>
          <w:sz w:val="24"/>
          <w:szCs w:val="24"/>
          <w:lang w:val="en-GB"/>
        </w:rPr>
        <w:t xml:space="preserve"> de la </w:t>
      </w:r>
      <w:proofErr w:type="spellStart"/>
      <w:r w:rsidRPr="00E166C4">
        <w:rPr>
          <w:rFonts w:ascii="Arial" w:hAnsi="Arial" w:cs="Arial"/>
          <w:sz w:val="24"/>
          <w:szCs w:val="24"/>
          <w:lang w:val="en-GB"/>
        </w:rPr>
        <w:t>Région</w:t>
      </w:r>
      <w:proofErr w:type="spellEnd"/>
      <w:r w:rsidRPr="00E166C4">
        <w:rPr>
          <w:rFonts w:ascii="Arial" w:hAnsi="Arial" w:cs="Arial"/>
          <w:sz w:val="24"/>
          <w:szCs w:val="24"/>
          <w:lang w:val="en-GB"/>
        </w:rPr>
        <w:t xml:space="preserve"> de </w:t>
      </w:r>
      <w:proofErr w:type="spellStart"/>
      <w:r w:rsidRPr="00E166C4">
        <w:rPr>
          <w:rFonts w:ascii="Arial" w:hAnsi="Arial" w:cs="Arial"/>
          <w:sz w:val="24"/>
          <w:szCs w:val="24"/>
          <w:lang w:val="en-GB"/>
        </w:rPr>
        <w:t>Compiègne</w:t>
      </w:r>
      <w:proofErr w:type="spellEnd"/>
      <w:r w:rsidRPr="00E166C4">
        <w:rPr>
          <w:rFonts w:ascii="Arial" w:hAnsi="Arial" w:cs="Arial"/>
          <w:sz w:val="24"/>
          <w:szCs w:val="24"/>
          <w:lang w:val="en-GB"/>
        </w:rPr>
        <w:t xml:space="preserve"> (ARC). This intermunicipal authority comprises 22 municipalities, including both rural and urban areas.</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The total amount of household biowaste generated in 2023 was estimated at 5,347 tonnes. This quantity is used as the basis for the optimization. Currently, no dedicated treatment system for biowaste is implemented in the territory. As biowaste is still mixed with residual household waste, it is primarily treated through incineration.</w:t>
      </w:r>
    </w:p>
    <w:p w:rsidR="009677CF"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The input data required for the optimization at the municipal level are detailed in the </w:t>
      </w:r>
      <w:r>
        <w:rPr>
          <w:rFonts w:ascii="Arial" w:hAnsi="Arial" w:cs="Arial"/>
          <w:sz w:val="24"/>
          <w:szCs w:val="24"/>
          <w:lang w:val="en-GB"/>
        </w:rPr>
        <w:t>Supporting information</w:t>
      </w:r>
      <w:r w:rsidRPr="00E166C4">
        <w:rPr>
          <w:rFonts w:ascii="Arial" w:hAnsi="Arial" w:cs="Arial"/>
          <w:sz w:val="24"/>
          <w:szCs w:val="24"/>
          <w:lang w:val="en-GB"/>
        </w:rPr>
        <w:t>.</w:t>
      </w:r>
    </w:p>
    <w:p w:rsidR="00E166C4" w:rsidRPr="009677CF" w:rsidRDefault="00E166C4" w:rsidP="009677CF">
      <w:pPr>
        <w:pStyle w:val="Titre4"/>
        <w:numPr>
          <w:ilvl w:val="0"/>
          <w:numId w:val="12"/>
        </w:numPr>
        <w:rPr>
          <w:lang w:val="en-GB"/>
        </w:rPr>
      </w:pPr>
      <w:r w:rsidRPr="009677CF">
        <w:rPr>
          <w:lang w:val="en-GB"/>
        </w:rPr>
        <w:t>Existing technologies</w:t>
      </w:r>
    </w:p>
    <w:p w:rsidR="003E220D" w:rsidRDefault="00FB5753" w:rsidP="003B1183">
      <w:pPr>
        <w:spacing w:line="480" w:lineRule="auto"/>
        <w:jc w:val="both"/>
        <w:rPr>
          <w:rFonts w:ascii="Arial" w:hAnsi="Arial" w:cs="Arial"/>
          <w:sz w:val="24"/>
          <w:szCs w:val="24"/>
          <w:lang w:val="en-GB"/>
        </w:rPr>
      </w:pPr>
      <w:r w:rsidRPr="00FB5753">
        <w:rPr>
          <w:rFonts w:ascii="Arial" w:hAnsi="Arial" w:cs="Arial"/>
          <w:sz w:val="24"/>
          <w:szCs w:val="24"/>
          <w:lang w:val="en-GB"/>
        </w:rPr>
        <w:t xml:space="preserve">At the </w:t>
      </w:r>
      <w:proofErr w:type="spellStart"/>
      <w:r w:rsidRPr="00FB5753">
        <w:rPr>
          <w:rFonts w:ascii="Arial" w:hAnsi="Arial" w:cs="Arial"/>
          <w:sz w:val="24"/>
          <w:szCs w:val="24"/>
          <w:lang w:val="en-GB"/>
        </w:rPr>
        <w:t>departemental</w:t>
      </w:r>
      <w:proofErr w:type="spellEnd"/>
      <w:r w:rsidRPr="00FB5753">
        <w:rPr>
          <w:rFonts w:ascii="Arial" w:hAnsi="Arial" w:cs="Arial"/>
          <w:sz w:val="24"/>
          <w:szCs w:val="24"/>
          <w:lang w:val="en-GB"/>
        </w:rPr>
        <w:t xml:space="preserve"> scale, several industrial facilities dedicated to organic waste treatment have been identified </w:t>
      </w:r>
      <w:r w:rsidR="00D54640">
        <w:rPr>
          <w:rFonts w:ascii="Arial" w:hAnsi="Arial" w:cs="Arial"/>
          <w:sz w:val="24"/>
          <w:szCs w:val="24"/>
          <w:lang w:val="en-GB"/>
        </w:rPr>
        <w:t>(</w:t>
      </w:r>
      <w:r w:rsidR="009677CF">
        <w:rPr>
          <w:rFonts w:ascii="Arial" w:hAnsi="Arial" w:cs="Arial"/>
          <w:sz w:val="24"/>
          <w:szCs w:val="24"/>
          <w:lang w:val="en-GB"/>
        </w:rPr>
        <w:fldChar w:fldCharType="begin"/>
      </w:r>
      <w:r w:rsidR="009677CF">
        <w:rPr>
          <w:rFonts w:ascii="Arial" w:hAnsi="Arial" w:cs="Arial"/>
          <w:sz w:val="24"/>
          <w:szCs w:val="24"/>
          <w:lang w:val="en-GB"/>
        </w:rPr>
        <w:instrText xml:space="preserve"> REF _Ref228744492 \h </w:instrText>
      </w:r>
      <w:r w:rsidR="009677CF">
        <w:rPr>
          <w:rFonts w:ascii="Arial" w:hAnsi="Arial" w:cs="Arial"/>
          <w:sz w:val="24"/>
          <w:szCs w:val="24"/>
          <w:lang w:val="en-GB"/>
        </w:rPr>
      </w:r>
      <w:r w:rsidR="009677CF">
        <w:rPr>
          <w:rFonts w:ascii="Arial" w:hAnsi="Arial" w:cs="Arial"/>
          <w:sz w:val="24"/>
          <w:szCs w:val="24"/>
          <w:lang w:val="en-GB"/>
        </w:rPr>
        <w:fldChar w:fldCharType="separate"/>
      </w:r>
      <w:r w:rsidR="009677CF" w:rsidRPr="009677CF">
        <w:rPr>
          <w:rFonts w:ascii="Arial" w:hAnsi="Arial" w:cs="Arial"/>
          <w:i/>
          <w:iCs/>
          <w:sz w:val="24"/>
          <w:szCs w:val="24"/>
          <w:lang w:val="en-GB"/>
        </w:rPr>
        <w:t>Figure 1</w:t>
      </w:r>
      <w:r w:rsidR="009677CF">
        <w:rPr>
          <w:rFonts w:ascii="Arial" w:hAnsi="Arial" w:cs="Arial"/>
          <w:sz w:val="24"/>
          <w:szCs w:val="24"/>
          <w:lang w:val="en-GB"/>
        </w:rPr>
        <w:fldChar w:fldCharType="end"/>
      </w:r>
      <w:r>
        <w:rPr>
          <w:rFonts w:ascii="Arial" w:hAnsi="Arial" w:cs="Arial"/>
          <w:sz w:val="24"/>
          <w:szCs w:val="24"/>
          <w:lang w:val="en-GB"/>
        </w:rPr>
        <w:t xml:space="preserve">). We assume that these facilities </w:t>
      </w:r>
      <w:r w:rsidR="003E220D">
        <w:rPr>
          <w:rFonts w:ascii="Arial" w:hAnsi="Arial" w:cs="Arial"/>
          <w:sz w:val="24"/>
          <w:szCs w:val="24"/>
          <w:lang w:val="en-GB"/>
        </w:rPr>
        <w:t>can</w:t>
      </w:r>
      <w:r>
        <w:rPr>
          <w:rFonts w:ascii="Arial" w:hAnsi="Arial" w:cs="Arial"/>
          <w:sz w:val="24"/>
          <w:szCs w:val="24"/>
          <w:lang w:val="en-GB"/>
        </w:rPr>
        <w:t xml:space="preserve"> process the biowaste generated by the territory. </w:t>
      </w:r>
      <w:r w:rsidR="003E220D">
        <w:rPr>
          <w:rFonts w:ascii="Arial" w:hAnsi="Arial" w:cs="Arial"/>
          <w:sz w:val="24"/>
          <w:szCs w:val="24"/>
          <w:lang w:val="en-GB"/>
        </w:rPr>
        <w:t>The i</w:t>
      </w:r>
      <w:r>
        <w:rPr>
          <w:rFonts w:ascii="Arial" w:hAnsi="Arial" w:cs="Arial"/>
          <w:sz w:val="24"/>
          <w:szCs w:val="24"/>
          <w:lang w:val="en-GB"/>
        </w:rPr>
        <w:t xml:space="preserve">nformation </w:t>
      </w:r>
      <w:r w:rsidR="003E220D">
        <w:rPr>
          <w:rFonts w:ascii="Arial" w:hAnsi="Arial" w:cs="Arial"/>
          <w:sz w:val="24"/>
          <w:szCs w:val="24"/>
          <w:lang w:val="en-GB"/>
        </w:rPr>
        <w:t xml:space="preserve">used to characterize </w:t>
      </w:r>
      <w:r>
        <w:rPr>
          <w:rFonts w:ascii="Arial" w:hAnsi="Arial" w:cs="Arial"/>
          <w:sz w:val="24"/>
          <w:szCs w:val="24"/>
          <w:lang w:val="en-GB"/>
        </w:rPr>
        <w:t>these installations</w:t>
      </w:r>
      <w:r w:rsidR="003E220D">
        <w:rPr>
          <w:rFonts w:ascii="Arial" w:hAnsi="Arial" w:cs="Arial"/>
          <w:sz w:val="24"/>
          <w:szCs w:val="24"/>
          <w:lang w:val="en-GB"/>
        </w:rPr>
        <w:t xml:space="preserve"> </w:t>
      </w:r>
      <w:r>
        <w:rPr>
          <w:rFonts w:ascii="Arial" w:hAnsi="Arial" w:cs="Arial"/>
          <w:sz w:val="24"/>
          <w:szCs w:val="24"/>
          <w:lang w:val="en-GB"/>
        </w:rPr>
        <w:t>were obtained from publicly available sources</w:t>
      </w:r>
      <w:r w:rsidR="003E220D">
        <w:rPr>
          <w:rFonts w:ascii="Arial" w:hAnsi="Arial" w:cs="Arial"/>
          <w:sz w:val="24"/>
          <w:szCs w:val="24"/>
          <w:lang w:val="en-GB"/>
        </w:rPr>
        <w:t xml:space="preserve"> and supplemented with assumptions where necessary</w:t>
      </w:r>
      <w:r>
        <w:rPr>
          <w:rFonts w:ascii="Arial" w:hAnsi="Arial" w:cs="Arial"/>
          <w:sz w:val="24"/>
          <w:szCs w:val="24"/>
          <w:lang w:val="en-GB"/>
        </w:rPr>
        <w:t>.</w:t>
      </w:r>
    </w:p>
    <w:p w:rsidR="00D54640" w:rsidRDefault="00D54640" w:rsidP="003B1183">
      <w:pPr>
        <w:spacing w:line="480" w:lineRule="auto"/>
        <w:jc w:val="both"/>
        <w:rPr>
          <w:rFonts w:ascii="Arial" w:hAnsi="Arial" w:cs="Arial"/>
          <w:sz w:val="24"/>
          <w:szCs w:val="24"/>
          <w:lang w:val="en-GB"/>
        </w:rPr>
      </w:pPr>
    </w:p>
    <w:p w:rsidR="009677CF" w:rsidRDefault="00D54640" w:rsidP="009677CF">
      <w:pPr>
        <w:keepNext/>
        <w:spacing w:line="480" w:lineRule="auto"/>
      </w:pPr>
      <w:r>
        <w:rPr>
          <w:noProof/>
        </w:rPr>
        <w:lastRenderedPageBreak/>
        <w:drawing>
          <wp:inline distT="0" distB="0" distL="0" distR="0">
            <wp:extent cx="5759944" cy="2208985"/>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te oise.jpg"/>
                    <pic:cNvPicPr/>
                  </pic:nvPicPr>
                  <pic:blipFill rotWithShape="1">
                    <a:blip r:embed="rId9">
                      <a:extLst>
                        <a:ext uri="{28A0092B-C50C-407E-A947-70E740481C1C}">
                          <a14:useLocalDpi xmlns:a14="http://schemas.microsoft.com/office/drawing/2010/main" val="0"/>
                        </a:ext>
                      </a:extLst>
                    </a:blip>
                    <a:srcRect t="17782" b="14039"/>
                    <a:stretch/>
                  </pic:blipFill>
                  <pic:spPr bwMode="auto">
                    <a:xfrm>
                      <a:off x="0" y="0"/>
                      <a:ext cx="5760720" cy="2209282"/>
                    </a:xfrm>
                    <a:prstGeom prst="rect">
                      <a:avLst/>
                    </a:prstGeom>
                    <a:ln>
                      <a:noFill/>
                    </a:ln>
                    <a:extLst>
                      <a:ext uri="{53640926-AAD7-44D8-BBD7-CCE9431645EC}">
                        <a14:shadowObscured xmlns:a14="http://schemas.microsoft.com/office/drawing/2010/main"/>
                      </a:ext>
                    </a:extLst>
                  </pic:spPr>
                </pic:pic>
              </a:graphicData>
            </a:graphic>
          </wp:inline>
        </w:drawing>
      </w:r>
    </w:p>
    <w:p w:rsidR="00DE06CE" w:rsidRPr="009677CF" w:rsidRDefault="009677CF" w:rsidP="009677CF">
      <w:pPr>
        <w:pStyle w:val="Lgende"/>
        <w:spacing w:line="480" w:lineRule="auto"/>
        <w:rPr>
          <w:rFonts w:ascii="Arial" w:hAnsi="Arial" w:cs="Arial"/>
          <w:i w:val="0"/>
          <w:iCs w:val="0"/>
          <w:color w:val="auto"/>
          <w:sz w:val="24"/>
          <w:szCs w:val="24"/>
          <w:lang w:val="en-GB"/>
        </w:rPr>
      </w:pPr>
      <w:bookmarkStart w:id="2" w:name="_Ref228744492"/>
      <w:r w:rsidRPr="009677CF">
        <w:rPr>
          <w:rFonts w:ascii="Arial" w:hAnsi="Arial" w:cs="Arial"/>
          <w:i w:val="0"/>
          <w:iCs w:val="0"/>
          <w:color w:val="auto"/>
          <w:sz w:val="24"/>
          <w:szCs w:val="24"/>
          <w:lang w:val="en-GB"/>
        </w:rPr>
        <w:t xml:space="preserve">Figure </w:t>
      </w:r>
      <w:r w:rsidRPr="009677CF">
        <w:rPr>
          <w:rFonts w:ascii="Arial" w:hAnsi="Arial" w:cs="Arial"/>
          <w:i w:val="0"/>
          <w:iCs w:val="0"/>
          <w:color w:val="auto"/>
          <w:sz w:val="24"/>
          <w:szCs w:val="24"/>
          <w:lang w:val="en-GB"/>
        </w:rPr>
        <w:fldChar w:fldCharType="begin"/>
      </w:r>
      <w:r w:rsidRPr="009677CF">
        <w:rPr>
          <w:rFonts w:ascii="Arial" w:hAnsi="Arial" w:cs="Arial"/>
          <w:i w:val="0"/>
          <w:iCs w:val="0"/>
          <w:color w:val="auto"/>
          <w:sz w:val="24"/>
          <w:szCs w:val="24"/>
          <w:lang w:val="en-GB"/>
        </w:rPr>
        <w:instrText xml:space="preserve"> SEQ Figure \* ARABIC </w:instrText>
      </w:r>
      <w:r w:rsidRPr="009677CF">
        <w:rPr>
          <w:rFonts w:ascii="Arial" w:hAnsi="Arial" w:cs="Arial"/>
          <w:i w:val="0"/>
          <w:iCs w:val="0"/>
          <w:color w:val="auto"/>
          <w:sz w:val="24"/>
          <w:szCs w:val="24"/>
          <w:lang w:val="en-GB"/>
        </w:rPr>
        <w:fldChar w:fldCharType="separate"/>
      </w:r>
      <w:r w:rsidRPr="009677CF">
        <w:rPr>
          <w:rFonts w:ascii="Arial" w:hAnsi="Arial" w:cs="Arial"/>
          <w:i w:val="0"/>
          <w:iCs w:val="0"/>
          <w:color w:val="auto"/>
          <w:sz w:val="24"/>
          <w:szCs w:val="24"/>
          <w:lang w:val="en-GB"/>
        </w:rPr>
        <w:t>1</w:t>
      </w:r>
      <w:r w:rsidRPr="009677CF">
        <w:rPr>
          <w:rFonts w:ascii="Arial" w:hAnsi="Arial" w:cs="Arial"/>
          <w:i w:val="0"/>
          <w:iCs w:val="0"/>
          <w:color w:val="auto"/>
          <w:sz w:val="24"/>
          <w:szCs w:val="24"/>
          <w:lang w:val="en-GB"/>
        </w:rPr>
        <w:fldChar w:fldCharType="end"/>
      </w:r>
      <w:bookmarkEnd w:id="2"/>
      <w:r w:rsidRPr="009677CF">
        <w:rPr>
          <w:rFonts w:ascii="Arial" w:hAnsi="Arial" w:cs="Arial"/>
          <w:i w:val="0"/>
          <w:iCs w:val="0"/>
          <w:color w:val="auto"/>
          <w:sz w:val="24"/>
          <w:szCs w:val="24"/>
          <w:lang w:val="en-GB"/>
        </w:rPr>
        <w:t xml:space="preserve"> : Geographical </w:t>
      </w:r>
      <w:r>
        <w:rPr>
          <w:rFonts w:ascii="Arial" w:hAnsi="Arial" w:cs="Arial"/>
          <w:i w:val="0"/>
          <w:iCs w:val="0"/>
          <w:color w:val="auto"/>
          <w:sz w:val="24"/>
          <w:szCs w:val="24"/>
          <w:lang w:val="en-GB"/>
        </w:rPr>
        <w:t>location</w:t>
      </w:r>
      <w:r w:rsidRPr="009677CF">
        <w:rPr>
          <w:rFonts w:ascii="Arial" w:hAnsi="Arial" w:cs="Arial"/>
          <w:i w:val="0"/>
          <w:iCs w:val="0"/>
          <w:color w:val="auto"/>
          <w:sz w:val="24"/>
          <w:szCs w:val="24"/>
          <w:lang w:val="en-GB"/>
        </w:rPr>
        <w:t xml:space="preserve"> of the ARC territory and the existing biowaste treatment facilities</w:t>
      </w:r>
    </w:p>
    <w:p w:rsidR="00FE1844" w:rsidRDefault="003E220D" w:rsidP="003B1183">
      <w:pPr>
        <w:spacing w:line="480" w:lineRule="auto"/>
        <w:jc w:val="both"/>
        <w:rPr>
          <w:rFonts w:ascii="Arial" w:hAnsi="Arial" w:cs="Arial"/>
          <w:sz w:val="24"/>
          <w:szCs w:val="24"/>
          <w:lang w:val="en-GB"/>
        </w:rPr>
      </w:pPr>
      <w:r w:rsidRPr="003E220D">
        <w:rPr>
          <w:rFonts w:ascii="Arial" w:hAnsi="Arial" w:cs="Arial"/>
          <w:sz w:val="24"/>
          <w:szCs w:val="24"/>
          <w:lang w:val="en-GB"/>
        </w:rPr>
        <w:t xml:space="preserve">In </w:t>
      </w:r>
      <w:r>
        <w:rPr>
          <w:rFonts w:ascii="Arial" w:hAnsi="Arial" w:cs="Arial"/>
          <w:sz w:val="24"/>
          <w:szCs w:val="24"/>
          <w:lang w:val="en-GB"/>
        </w:rPr>
        <w:t>the</w:t>
      </w:r>
      <w:r w:rsidRPr="003E220D">
        <w:rPr>
          <w:rFonts w:ascii="Arial" w:hAnsi="Arial" w:cs="Arial"/>
          <w:sz w:val="24"/>
          <w:szCs w:val="24"/>
          <w:lang w:val="en-GB"/>
        </w:rPr>
        <w:t xml:space="preserve"> scenario </w:t>
      </w:r>
      <w:r>
        <w:rPr>
          <w:rFonts w:ascii="Arial" w:hAnsi="Arial" w:cs="Arial"/>
          <w:sz w:val="24"/>
          <w:szCs w:val="24"/>
          <w:lang w:val="en-GB"/>
        </w:rPr>
        <w:t>allowing</w:t>
      </w:r>
      <w:r w:rsidRPr="003E220D">
        <w:rPr>
          <w:rFonts w:ascii="Arial" w:hAnsi="Arial" w:cs="Arial"/>
          <w:sz w:val="24"/>
          <w:szCs w:val="24"/>
          <w:lang w:val="en-GB"/>
        </w:rPr>
        <w:t xml:space="preserve"> new investments</w:t>
      </w:r>
      <w:r>
        <w:rPr>
          <w:rFonts w:ascii="Arial" w:hAnsi="Arial" w:cs="Arial"/>
          <w:sz w:val="24"/>
          <w:szCs w:val="24"/>
          <w:lang w:val="en-GB"/>
        </w:rPr>
        <w:t xml:space="preserve"> </w:t>
      </w:r>
      <w:r w:rsidRPr="003E220D">
        <w:rPr>
          <w:rFonts w:ascii="Arial" w:hAnsi="Arial" w:cs="Arial"/>
          <w:sz w:val="24"/>
          <w:szCs w:val="24"/>
          <w:lang w:val="en-GB"/>
        </w:rPr>
        <w:t>a new biowaste treatment facility is assumed to be located in Villers-Saint-Paul, where a municipal solid waste incineration plant is currently operating.</w:t>
      </w:r>
      <w:r>
        <w:rPr>
          <w:rFonts w:ascii="Arial" w:hAnsi="Arial" w:cs="Arial"/>
          <w:sz w:val="24"/>
          <w:szCs w:val="24"/>
          <w:lang w:val="en-GB"/>
        </w:rPr>
        <w:t xml:space="preserve"> </w:t>
      </w:r>
    </w:p>
    <w:p w:rsidR="003E220D" w:rsidRPr="00FB5753" w:rsidRDefault="00FB5753" w:rsidP="003B1183">
      <w:pPr>
        <w:spacing w:line="480" w:lineRule="auto"/>
        <w:jc w:val="both"/>
        <w:rPr>
          <w:rFonts w:ascii="Arial" w:hAnsi="Arial" w:cs="Arial"/>
          <w:sz w:val="24"/>
          <w:szCs w:val="24"/>
          <w:lang w:val="en-GB"/>
        </w:rPr>
      </w:pPr>
      <w:r>
        <w:rPr>
          <w:rFonts w:ascii="Arial" w:hAnsi="Arial" w:cs="Arial"/>
          <w:sz w:val="24"/>
          <w:szCs w:val="24"/>
          <w:lang w:val="en-GB"/>
        </w:rPr>
        <w:t>The distances between each facility and each municipality of ARC</w:t>
      </w:r>
      <w:r w:rsidR="00FE1844">
        <w:rPr>
          <w:rFonts w:ascii="Arial" w:hAnsi="Arial" w:cs="Arial"/>
          <w:sz w:val="24"/>
          <w:szCs w:val="24"/>
          <w:lang w:val="en-GB"/>
        </w:rPr>
        <w:t>, as well as capacity constraints of each installation,</w:t>
      </w:r>
      <w:r>
        <w:rPr>
          <w:rFonts w:ascii="Arial" w:hAnsi="Arial" w:cs="Arial"/>
          <w:sz w:val="24"/>
          <w:szCs w:val="24"/>
          <w:lang w:val="en-GB"/>
        </w:rPr>
        <w:t xml:space="preserve"> are detailed in Supporting information.</w:t>
      </w:r>
    </w:p>
    <w:p w:rsidR="00E166C4" w:rsidRPr="009677CF" w:rsidRDefault="00E166C4" w:rsidP="009677CF">
      <w:pPr>
        <w:pStyle w:val="Titre4"/>
        <w:numPr>
          <w:ilvl w:val="0"/>
          <w:numId w:val="12"/>
        </w:numPr>
        <w:rPr>
          <w:rFonts w:cs="Arial"/>
          <w:szCs w:val="24"/>
          <w:lang w:val="en-GB"/>
        </w:rPr>
      </w:pPr>
      <w:r w:rsidRPr="009677CF">
        <w:rPr>
          <w:rFonts w:cs="Arial"/>
          <w:szCs w:val="24"/>
          <w:lang w:val="en-GB"/>
        </w:rPr>
        <w:t xml:space="preserve">Co-product </w:t>
      </w:r>
      <w:r w:rsidRPr="009677CF">
        <w:rPr>
          <w:lang w:val="en-GB"/>
        </w:rPr>
        <w:t>markets</w:t>
      </w:r>
      <w:r w:rsidRPr="009677CF">
        <w:rPr>
          <w:rFonts w:cs="Arial"/>
          <w:szCs w:val="24"/>
          <w:lang w:val="en-GB"/>
        </w:rPr>
        <w:t xml:space="preserve"> within the territory</w:t>
      </w:r>
    </w:p>
    <w:p w:rsidR="005C7119" w:rsidRDefault="005C7119" w:rsidP="00BB2931">
      <w:pPr>
        <w:pStyle w:val="Titre5"/>
        <w:numPr>
          <w:ilvl w:val="0"/>
          <w:numId w:val="13"/>
        </w:numPr>
        <w:rPr>
          <w:lang w:val="en-GB"/>
        </w:rPr>
      </w:pPr>
      <w:r>
        <w:rPr>
          <w:lang w:val="en-GB"/>
        </w:rPr>
        <w:t>Fertilizer market</w:t>
      </w:r>
    </w:p>
    <w:p w:rsidR="005C7119" w:rsidRP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 xml:space="preserve">According to UNIFA, France consumed 1,831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nitrogen (N), 316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phosphorus (P), and 354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potassium (K) in 2024. These are the most recent data available, and no significant variation is assumed for future years.</w:t>
      </w:r>
    </w:p>
    <w:p w:rsid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 xml:space="preserve">To estimate the fertilizer market at the ARC scale, a uniform per capita consumption across France is assumed. Based on this approach, the annual fertilizer demand within the ARC is estimated at 2.25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N, 0.39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P, and 0.44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K.</w:t>
      </w:r>
    </w:p>
    <w:p w:rsidR="00204A16" w:rsidRDefault="00204A16" w:rsidP="00BB2931">
      <w:pPr>
        <w:pStyle w:val="Titre5"/>
        <w:numPr>
          <w:ilvl w:val="0"/>
          <w:numId w:val="13"/>
        </w:numPr>
        <w:rPr>
          <w:rFonts w:cs="Arial"/>
          <w:szCs w:val="24"/>
          <w:lang w:val="en-GB"/>
        </w:rPr>
      </w:pPr>
      <w:r>
        <w:rPr>
          <w:rFonts w:cs="Arial"/>
          <w:szCs w:val="24"/>
          <w:lang w:val="en-GB"/>
        </w:rPr>
        <w:lastRenderedPageBreak/>
        <w:t xml:space="preserve">Peat </w:t>
      </w:r>
      <w:r w:rsidRPr="00BB2931">
        <w:rPr>
          <w:lang w:val="en-GB"/>
        </w:rPr>
        <w:t>market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Peat accounts for approximately 45% of the volume of growing media in France (source). The growing media market is divided into two segments: a professional market (1,670,000 m³/year) and a hobby market (1,684,000 m³/year) (source). This corresponds to peat consumption of 751,500 m³/year for the professional segment and 757,800 m³/year for the hobby segment.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Using the same scaling approach as for fertilizers, the substitution potential of compost at the ARC scale is estimated at 933 m³/year for the hobby market and 925 m³/year for the professional market.</w:t>
      </w:r>
    </w:p>
    <w:p w:rsidR="00204A16" w:rsidRPr="005C7119"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In addition, it is assumed that compost produced by households can only substitute peat in the hobby market, whereas compost produced by industrial facilities (industrial composting and anaerobic digestion) can supply both market segments.</w:t>
      </w:r>
    </w:p>
    <w:p w:rsidR="00606609" w:rsidRPr="00BB2931" w:rsidRDefault="00CE13BB" w:rsidP="00BB2931">
      <w:pPr>
        <w:pStyle w:val="Titre5"/>
        <w:numPr>
          <w:ilvl w:val="0"/>
          <w:numId w:val="13"/>
        </w:numPr>
        <w:rPr>
          <w:rFonts w:cs="Arial"/>
          <w:szCs w:val="24"/>
          <w:lang w:val="en-GB"/>
        </w:rPr>
      </w:pPr>
      <w:r w:rsidRPr="00BB2931">
        <w:rPr>
          <w:rFonts w:cs="Arial"/>
          <w:szCs w:val="24"/>
          <w:lang w:val="en-GB"/>
        </w:rPr>
        <w:t>Energy market</w:t>
      </w:r>
    </w:p>
    <w:p w:rsidR="003E220D" w:rsidRPr="003B220C" w:rsidRDefault="003B220C" w:rsidP="003B1183">
      <w:pPr>
        <w:spacing w:line="480" w:lineRule="auto"/>
        <w:jc w:val="both"/>
        <w:rPr>
          <w:rFonts w:ascii="Arial" w:hAnsi="Arial" w:cs="Arial"/>
          <w:sz w:val="24"/>
          <w:szCs w:val="24"/>
          <w:lang w:val="en-GB"/>
        </w:rPr>
      </w:pPr>
      <w:r w:rsidRPr="003B220C">
        <w:rPr>
          <w:rFonts w:ascii="Arial" w:hAnsi="Arial" w:cs="Arial"/>
          <w:sz w:val="24"/>
          <w:szCs w:val="24"/>
          <w:lang w:val="en-GB"/>
        </w:rPr>
        <w:t xml:space="preserve">Existing anaerobic digestion </w:t>
      </w:r>
      <w:r>
        <w:rPr>
          <w:rFonts w:ascii="Arial" w:hAnsi="Arial" w:cs="Arial"/>
          <w:sz w:val="24"/>
          <w:szCs w:val="24"/>
          <w:lang w:val="en-GB"/>
        </w:rPr>
        <w:t>facilitie</w:t>
      </w:r>
      <w:r w:rsidRPr="003B220C">
        <w:rPr>
          <w:rFonts w:ascii="Arial" w:hAnsi="Arial" w:cs="Arial"/>
          <w:sz w:val="24"/>
          <w:szCs w:val="24"/>
          <w:lang w:val="en-GB"/>
        </w:rPr>
        <w:t xml:space="preserve">s rely on already established infrastructure for connection to energy distribution networks. For </w:t>
      </w:r>
      <w:r>
        <w:rPr>
          <w:rFonts w:ascii="Arial" w:hAnsi="Arial" w:cs="Arial"/>
          <w:sz w:val="24"/>
          <w:szCs w:val="24"/>
          <w:lang w:val="en-GB"/>
        </w:rPr>
        <w:t xml:space="preserve">potential investment in the </w:t>
      </w:r>
      <w:r w:rsidRPr="003B220C">
        <w:rPr>
          <w:rFonts w:ascii="Arial" w:hAnsi="Arial" w:cs="Arial"/>
          <w:sz w:val="24"/>
          <w:szCs w:val="24"/>
          <w:lang w:val="en-GB"/>
        </w:rPr>
        <w:t>site E, publicly available information (website XX) indicates the presence of heat, gas, and electricity networks enabling the injection of energy co-products. In addition, the quantities of energy generated from biowaste are assumed to be sufficiently low so as not to saturate the corresponding markets.</w:t>
      </w:r>
    </w:p>
    <w:p w:rsidR="00E166C4" w:rsidRDefault="00E166C4" w:rsidP="00F67E47">
      <w:pPr>
        <w:pStyle w:val="Titre3"/>
        <w:numPr>
          <w:ilvl w:val="0"/>
          <w:numId w:val="11"/>
        </w:numPr>
        <w:rPr>
          <w:rFonts w:cs="Arial"/>
          <w:lang w:val="en-GB"/>
        </w:rPr>
      </w:pPr>
      <w:r w:rsidRPr="00F67E47">
        <w:rPr>
          <w:lang w:val="en-GB"/>
        </w:rPr>
        <w:t>Optimization</w:t>
      </w:r>
      <w:r>
        <w:rPr>
          <w:rFonts w:cs="Arial"/>
          <w:lang w:val="en-GB"/>
        </w:rPr>
        <w:t xml:space="preserve"> of biowaste management system</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In this case study, </w:t>
      </w:r>
      <w:r>
        <w:rPr>
          <w:rFonts w:ascii="Arial" w:hAnsi="Arial" w:cs="Arial"/>
          <w:sz w:val="24"/>
          <w:szCs w:val="24"/>
          <w:lang w:val="en-GB"/>
        </w:rPr>
        <w:t>we aim</w:t>
      </w:r>
      <w:r w:rsidRPr="00E166C4">
        <w:rPr>
          <w:rFonts w:ascii="Arial" w:hAnsi="Arial" w:cs="Arial"/>
          <w:sz w:val="24"/>
          <w:szCs w:val="24"/>
          <w:lang w:val="en-GB"/>
        </w:rPr>
        <w:t xml:space="preserve"> to identify the optimal biowaste management system adapted to the territory under two scenarios.</w:t>
      </w:r>
      <w:r>
        <w:rPr>
          <w:rFonts w:ascii="Arial" w:hAnsi="Arial" w:cs="Arial"/>
          <w:sz w:val="24"/>
          <w:szCs w:val="24"/>
          <w:lang w:val="en-GB"/>
        </w:rPr>
        <w:t xml:space="preserve"> </w:t>
      </w:r>
      <w:r w:rsidRPr="00E166C4">
        <w:rPr>
          <w:rFonts w:ascii="Arial" w:hAnsi="Arial" w:cs="Arial"/>
          <w:sz w:val="24"/>
          <w:szCs w:val="24"/>
          <w:lang w:val="en-GB"/>
        </w:rPr>
        <w:t xml:space="preserve">In the first scenario, no new investments are allowed, and only existing technologies can be used to treat the biowaste </w:t>
      </w:r>
      <w:r w:rsidRPr="00E166C4">
        <w:rPr>
          <w:rFonts w:ascii="Arial" w:hAnsi="Arial" w:cs="Arial"/>
          <w:sz w:val="24"/>
          <w:szCs w:val="24"/>
          <w:lang w:val="en-GB"/>
        </w:rPr>
        <w:lastRenderedPageBreak/>
        <w:t>generated within the territory. In the second scenario, the optimizer is allowed to select additional technologies from those included in the model.</w:t>
      </w:r>
    </w:p>
    <w:p w:rsidR="00D20196" w:rsidRPr="00D20196"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First, single-objective optimizations are performed to determine the optimal system when minimizing, separately, climate change, ecosystem quality, and human health impacts.</w:t>
      </w:r>
      <w:r>
        <w:rPr>
          <w:rFonts w:ascii="Arial" w:hAnsi="Arial" w:cs="Arial"/>
          <w:sz w:val="24"/>
          <w:szCs w:val="24"/>
          <w:lang w:val="en-GB"/>
        </w:rPr>
        <w:t xml:space="preserve"> </w:t>
      </w:r>
      <w:r w:rsidRPr="00E166C4">
        <w:rPr>
          <w:rFonts w:ascii="Arial" w:hAnsi="Arial" w:cs="Arial"/>
          <w:sz w:val="24"/>
          <w:szCs w:val="24"/>
          <w:lang w:val="en-GB"/>
        </w:rPr>
        <w:t xml:space="preserve">Then, given that climate change is one of the most prominent environmental concerns at the societal level </w:t>
      </w:r>
      <w:r w:rsidRPr="00E166C4">
        <w:rPr>
          <w:rFonts w:ascii="Arial" w:hAnsi="Arial" w:cs="Arial"/>
          <w:sz w:val="24"/>
          <w:szCs w:val="24"/>
          <w:highlight w:val="red"/>
          <w:lang w:val="en-GB"/>
        </w:rPr>
        <w:t>(ref),</w:t>
      </w:r>
      <w:r w:rsidRPr="00E166C4">
        <w:rPr>
          <w:rFonts w:ascii="Arial" w:hAnsi="Arial" w:cs="Arial"/>
          <w:sz w:val="24"/>
          <w:szCs w:val="24"/>
          <w:lang w:val="en-GB"/>
        </w:rPr>
        <w:t xml:space="preserve"> multi-objective optimizations are conducted to explore trade-offs between climate change and damage-level indicators. To this end, a set of optimizations is performed by varying the weight assigned to climate change (0, 0.25, 0.5, 0.75, and 1).</w:t>
      </w:r>
      <w:r>
        <w:rPr>
          <w:rFonts w:ascii="Arial" w:hAnsi="Arial" w:cs="Arial"/>
          <w:sz w:val="24"/>
          <w:szCs w:val="24"/>
          <w:lang w:val="en-GB"/>
        </w:rPr>
        <w:t xml:space="preserve"> </w:t>
      </w:r>
      <w:r w:rsidRPr="00E166C4">
        <w:rPr>
          <w:rFonts w:ascii="Arial" w:hAnsi="Arial" w:cs="Arial"/>
          <w:sz w:val="24"/>
          <w:szCs w:val="24"/>
          <w:lang w:val="en-GB"/>
        </w:rPr>
        <w:t>To avoid double counting, the contribution of climate change is excluded from the damage indicators (ecosystem quality and human health) when performing these multi-objective analyses.</w:t>
      </w:r>
    </w:p>
    <w:p w:rsidR="00317F42" w:rsidRDefault="00317F42" w:rsidP="00F67E47">
      <w:pPr>
        <w:pStyle w:val="Titre1"/>
        <w:numPr>
          <w:ilvl w:val="0"/>
          <w:numId w:val="6"/>
        </w:numPr>
        <w:rPr>
          <w:rFonts w:cs="Arial"/>
          <w:szCs w:val="24"/>
        </w:rPr>
      </w:pPr>
      <w:proofErr w:type="spellStart"/>
      <w:r w:rsidRPr="00F67E47">
        <w:rPr>
          <w:b/>
        </w:rPr>
        <w:t>Results</w:t>
      </w:r>
      <w:proofErr w:type="spellEnd"/>
    </w:p>
    <w:p w:rsidR="002178EF" w:rsidRPr="00FE3A64" w:rsidRDefault="002178EF" w:rsidP="00F67E47">
      <w:pPr>
        <w:pStyle w:val="Titre2"/>
        <w:numPr>
          <w:ilvl w:val="0"/>
          <w:numId w:val="14"/>
        </w:numPr>
      </w:pPr>
      <w:r w:rsidRPr="00FE3A64">
        <w:t xml:space="preserve">LCA </w:t>
      </w:r>
      <w:proofErr w:type="spellStart"/>
      <w:r w:rsidRPr="00FE3A64">
        <w:t>results</w:t>
      </w:r>
      <w:proofErr w:type="spellEnd"/>
    </w:p>
    <w:p w:rsidR="000A1178" w:rsidRDefault="002E761E"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486400" cy="3048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acts of technology.jpg"/>
                    <pic:cNvPicPr/>
                  </pic:nvPicPr>
                  <pic:blipFill rotWithShape="1">
                    <a:blip r:embed="rId10">
                      <a:extLst>
                        <a:ext uri="{28A0092B-C50C-407E-A947-70E740481C1C}">
                          <a14:useLocalDpi xmlns:a14="http://schemas.microsoft.com/office/drawing/2010/main" val="0"/>
                        </a:ext>
                      </a:extLst>
                    </a:blip>
                    <a:srcRect t="4116" r="4762" b="1822"/>
                    <a:stretch/>
                  </pic:blipFill>
                  <pic:spPr bwMode="auto">
                    <a:xfrm>
                      <a:off x="0" y="0"/>
                      <a:ext cx="5486400" cy="3048000"/>
                    </a:xfrm>
                    <a:prstGeom prst="rect">
                      <a:avLst/>
                    </a:prstGeom>
                    <a:ln>
                      <a:noFill/>
                    </a:ln>
                    <a:extLst>
                      <a:ext uri="{53640926-AAD7-44D8-BBD7-CCE9431645EC}">
                        <a14:shadowObscured xmlns:a14="http://schemas.microsoft.com/office/drawing/2010/main"/>
                      </a:ext>
                    </a:extLst>
                  </pic:spPr>
                </pic:pic>
              </a:graphicData>
            </a:graphic>
          </wp:inline>
        </w:drawing>
      </w:r>
    </w:p>
    <w:p w:rsidR="00F67E47" w:rsidRDefault="00F67E47" w:rsidP="003B1183">
      <w:pPr>
        <w:spacing w:line="480" w:lineRule="auto"/>
        <w:jc w:val="both"/>
        <w:rPr>
          <w:rFonts w:ascii="Arial" w:hAnsi="Arial" w:cs="Arial"/>
          <w:sz w:val="24"/>
          <w:szCs w:val="24"/>
          <w:lang w:val="en-GB"/>
        </w:rPr>
      </w:pPr>
      <w:r w:rsidRPr="00F67E47">
        <w:rPr>
          <w:rFonts w:ascii="Arial" w:hAnsi="Arial" w:cs="Arial"/>
          <w:sz w:val="24"/>
          <w:szCs w:val="24"/>
          <w:lang w:val="en-GB"/>
        </w:rPr>
        <w:t xml:space="preserve">For all indicators, the net impact is positive due to environmental benefits associated with the substitution of conventional products by co-products. For both home and </w:t>
      </w:r>
      <w:r w:rsidRPr="00F67E47">
        <w:rPr>
          <w:rFonts w:ascii="Arial" w:hAnsi="Arial" w:cs="Arial"/>
          <w:sz w:val="24"/>
          <w:szCs w:val="24"/>
          <w:lang w:val="en-GB"/>
        </w:rPr>
        <w:lastRenderedPageBreak/>
        <w:t>industrial composting, the main contribution to environmental benefits comes from avoided peat use. For anaerobic digestion systems, the benefits are mainly driven by the substitution of conventional energy sources with energy produced from biogas.”</w:t>
      </w:r>
    </w:p>
    <w:p w:rsidR="000A1178" w:rsidRPr="000A1178"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Regarding the two areas of protection—total ecosystem quality and total human health—the AD-heat-compost pathway performs best, with scores of −268.34 PDF·m²·yr per ton of biowaste and −2.64 × 10</w:t>
      </w:r>
      <w:r w:rsidRPr="000A1178">
        <w:rPr>
          <w:rFonts w:ascii="Cambria Math" w:hAnsi="Cambria Math" w:cs="Cambria Math"/>
          <w:sz w:val="24"/>
          <w:szCs w:val="24"/>
          <w:lang w:val="en-GB"/>
        </w:rPr>
        <w:t>⁻</w:t>
      </w:r>
      <w:r w:rsidRPr="000A1178">
        <w:rPr>
          <w:rFonts w:ascii="Arial" w:hAnsi="Arial" w:cs="Arial"/>
          <w:sz w:val="24"/>
          <w:szCs w:val="24"/>
          <w:lang w:val="en-GB"/>
        </w:rPr>
        <w:t xml:space="preserve">³ DALY per ton, respectively. In contrast, the AD-electricity-heat-digestate pathway shows the least </w:t>
      </w:r>
      <w:proofErr w:type="spellStart"/>
      <w:r w:rsidRPr="000A1178">
        <w:rPr>
          <w:rFonts w:ascii="Arial" w:hAnsi="Arial" w:cs="Arial"/>
          <w:sz w:val="24"/>
          <w:szCs w:val="24"/>
          <w:lang w:val="en-GB"/>
        </w:rPr>
        <w:t>favorable</w:t>
      </w:r>
      <w:proofErr w:type="spellEnd"/>
      <w:r w:rsidRPr="000A1178">
        <w:rPr>
          <w:rFonts w:ascii="Arial" w:hAnsi="Arial" w:cs="Arial"/>
          <w:sz w:val="24"/>
          <w:szCs w:val="24"/>
          <w:lang w:val="en-GB"/>
        </w:rPr>
        <w:t xml:space="preserve"> performance, with impacts of −111.81 PDF·m²·yr and −1.0 × 10</w:t>
      </w:r>
      <w:r w:rsidRPr="000A1178">
        <w:rPr>
          <w:rFonts w:ascii="Cambria Math" w:hAnsi="Cambria Math" w:cs="Cambria Math"/>
          <w:sz w:val="24"/>
          <w:szCs w:val="24"/>
          <w:lang w:val="en-GB"/>
        </w:rPr>
        <w:t>⁻</w:t>
      </w:r>
      <w:r w:rsidRPr="000A1178">
        <w:rPr>
          <w:rFonts w:ascii="Arial" w:hAnsi="Arial" w:cs="Arial"/>
          <w:sz w:val="24"/>
          <w:szCs w:val="24"/>
          <w:lang w:val="en-GB"/>
        </w:rPr>
        <w:t>³ DALY per ton of biowaste. In both technologies, the substitution of conventional heat is the main contributor to environmental benefits; however, direct biogas combustion produces more heat than combined heat and power (CHP). Furthermore, the land application of digestate significantly contributes to environmental burdens in the AD-electricity-heat-digestate scenario.</w:t>
      </w:r>
    </w:p>
    <w:p w:rsidR="000A1178" w:rsidRPr="000A1178"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Transport and collection impacts must also be considered to assess the total system performance, although these depend strongly on municipality size and facility location. Notably, home composting does not involve transport and collection impacts.</w:t>
      </w:r>
    </w:p>
    <w:p w:rsidR="00D34E54" w:rsidRPr="00D34E54"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For climate change, home composting performs best among all technologies, mainly due to substantial benefits from avoided peat use, achieving −279.99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 of biowaste. Among centralized options, AD-</w:t>
      </w:r>
      <w:proofErr w:type="spellStart"/>
      <w:r w:rsidRPr="000A1178">
        <w:rPr>
          <w:rFonts w:ascii="Arial" w:hAnsi="Arial" w:cs="Arial"/>
          <w:sz w:val="24"/>
          <w:szCs w:val="24"/>
          <w:lang w:val="en-GB"/>
        </w:rPr>
        <w:t>biomet</w:t>
      </w:r>
      <w:proofErr w:type="spellEnd"/>
      <w:r w:rsidRPr="000A1178">
        <w:rPr>
          <w:rFonts w:ascii="Arial" w:hAnsi="Arial" w:cs="Arial"/>
          <w:sz w:val="24"/>
          <w:szCs w:val="24"/>
          <w:lang w:val="en-GB"/>
        </w:rPr>
        <w:t>-compost shows the best performance (−265.33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 while AD-electricity-heat-digestate has the highest impacts (−82.31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 of biowaste).</w:t>
      </w:r>
    </w:p>
    <w:p w:rsidR="006C74E2" w:rsidRDefault="00FE3A64" w:rsidP="00D21815">
      <w:pPr>
        <w:pStyle w:val="Titre2"/>
        <w:numPr>
          <w:ilvl w:val="0"/>
          <w:numId w:val="14"/>
        </w:numPr>
        <w:rPr>
          <w:rFonts w:cs="Arial"/>
          <w:szCs w:val="24"/>
          <w:lang w:val="en-GB"/>
        </w:rPr>
      </w:pPr>
      <w:r w:rsidRPr="00D21815">
        <w:lastRenderedPageBreak/>
        <w:t>Results</w:t>
      </w:r>
      <w:r w:rsidRPr="00FE3A64">
        <w:rPr>
          <w:rFonts w:cs="Arial"/>
          <w:szCs w:val="24"/>
          <w:lang w:val="en-GB"/>
        </w:rPr>
        <w:t xml:space="preserve"> of optimization</w:t>
      </w:r>
    </w:p>
    <w:p w:rsidR="00FE3A64" w:rsidRPr="00FE3A64" w:rsidRDefault="00FE3A64" w:rsidP="00D21815">
      <w:pPr>
        <w:pStyle w:val="Titre3"/>
        <w:numPr>
          <w:ilvl w:val="0"/>
          <w:numId w:val="15"/>
        </w:numPr>
        <w:rPr>
          <w:lang w:val="en-GB"/>
        </w:rPr>
      </w:pPr>
      <w:r>
        <w:rPr>
          <w:lang w:val="en-GB"/>
        </w:rPr>
        <w:t>Single objective</w:t>
      </w:r>
    </w:p>
    <w:p w:rsidR="00C3114E" w:rsidRDefault="002178EF"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678647" cy="2353586"/>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at mono-objectif.jpg"/>
                    <pic:cNvPicPr/>
                  </pic:nvPicPr>
                  <pic:blipFill rotWithShape="1">
                    <a:blip r:embed="rId11">
                      <a:extLst>
                        <a:ext uri="{28A0092B-C50C-407E-A947-70E740481C1C}">
                          <a14:useLocalDpi xmlns:a14="http://schemas.microsoft.com/office/drawing/2010/main" val="0"/>
                        </a:ext>
                      </a:extLst>
                    </a:blip>
                    <a:srcRect l="2062" t="16858" r="7199" b="27428"/>
                    <a:stretch/>
                  </pic:blipFill>
                  <pic:spPr bwMode="auto">
                    <a:xfrm>
                      <a:off x="0" y="0"/>
                      <a:ext cx="5811864" cy="2408799"/>
                    </a:xfrm>
                    <a:prstGeom prst="rect">
                      <a:avLst/>
                    </a:prstGeom>
                    <a:ln>
                      <a:noFill/>
                    </a:ln>
                    <a:extLst>
                      <a:ext uri="{53640926-AAD7-44D8-BBD7-CCE9431645EC}">
                        <a14:shadowObscured xmlns:a14="http://schemas.microsoft.com/office/drawing/2010/main"/>
                      </a:ext>
                    </a:extLst>
                  </pic:spPr>
                </pic:pic>
              </a:graphicData>
            </a:graphic>
          </wp:inline>
        </w:drawing>
      </w:r>
    </w:p>
    <w:p w:rsidR="00AF57AB" w:rsidRDefault="00AF57AB" w:rsidP="003B1183">
      <w:pPr>
        <w:pStyle w:val="Paragraphedeliste"/>
        <w:numPr>
          <w:ilvl w:val="0"/>
          <w:numId w:val="3"/>
        </w:numPr>
        <w:spacing w:line="480" w:lineRule="auto"/>
        <w:jc w:val="both"/>
        <w:rPr>
          <w:rFonts w:ascii="Arial" w:hAnsi="Arial" w:cs="Arial"/>
          <w:sz w:val="24"/>
          <w:szCs w:val="24"/>
        </w:rPr>
      </w:pPr>
      <w:proofErr w:type="spellStart"/>
      <w:r>
        <w:rPr>
          <w:rFonts w:ascii="Arial" w:hAnsi="Arial" w:cs="Arial"/>
          <w:sz w:val="24"/>
          <w:szCs w:val="24"/>
        </w:rPr>
        <w:t>Without</w:t>
      </w:r>
      <w:proofErr w:type="spellEnd"/>
      <w:r>
        <w:rPr>
          <w:rFonts w:ascii="Arial" w:hAnsi="Arial" w:cs="Arial"/>
          <w:sz w:val="24"/>
          <w:szCs w:val="24"/>
        </w:rPr>
        <w:t xml:space="preserve"> </w:t>
      </w:r>
      <w:proofErr w:type="spellStart"/>
      <w:r>
        <w:rPr>
          <w:rFonts w:ascii="Arial" w:hAnsi="Arial" w:cs="Arial"/>
          <w:sz w:val="24"/>
          <w:szCs w:val="24"/>
        </w:rPr>
        <w:t>investement</w:t>
      </w:r>
      <w:proofErr w:type="spellEnd"/>
      <w:r>
        <w:rPr>
          <w:rFonts w:ascii="Arial" w:hAnsi="Arial" w:cs="Arial"/>
          <w:sz w:val="24"/>
          <w:szCs w:val="24"/>
        </w:rPr>
        <w:t> :</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 xml:space="preserve">Without investment, when minimizing ecosystem quality (EQ) </w:t>
      </w:r>
      <w:r>
        <w:rPr>
          <w:rFonts w:ascii="Arial" w:hAnsi="Arial" w:cs="Arial"/>
          <w:sz w:val="24"/>
          <w:szCs w:val="24"/>
          <w:lang w:val="en-GB"/>
        </w:rPr>
        <w:t>or</w:t>
      </w:r>
      <w:r w:rsidRPr="00AF57AB">
        <w:rPr>
          <w:rFonts w:ascii="Arial" w:hAnsi="Arial" w:cs="Arial"/>
          <w:sz w:val="24"/>
          <w:szCs w:val="24"/>
          <w:lang w:val="en-GB"/>
        </w:rPr>
        <w:t xml:space="preserve"> human health (HH), the optimization results in the same technology mix and flow distribution: 13.3% allocated to home composting (HC) and 86.73% to AD-electricity-heat-compost. From a life cycle assessment (LCA) perspective focused on human health, HC clearly performs best among the technologies available in the territory (Fig. 2). However, not all eligible waste streams—those originating from households—are directed toward this option. This is because, beyond a certain threshold, no additional benefits can be obtained from peat substitution due to the limited hobby peat market within the territory. The remaining biowaste is therefore allocated to the most efficient centralized technology available, namely AD-electricity-heat-</w:t>
      </w:r>
      <w:r w:rsidRPr="007F5AA1">
        <w:rPr>
          <w:rFonts w:ascii="Arial" w:hAnsi="Arial" w:cs="Arial"/>
          <w:sz w:val="24"/>
          <w:szCs w:val="24"/>
          <w:lang w:val="en-GB"/>
        </w:rPr>
        <w:t>compost</w:t>
      </w:r>
      <w:r w:rsidR="007F5AA1">
        <w:rPr>
          <w:rFonts w:ascii="Arial" w:hAnsi="Arial" w:cs="Arial"/>
          <w:sz w:val="24"/>
          <w:szCs w:val="24"/>
          <w:lang w:val="en-GB"/>
        </w:rPr>
        <w:t xml:space="preserve">. </w:t>
      </w:r>
      <w:r w:rsidRPr="007F5AA1">
        <w:rPr>
          <w:rFonts w:ascii="Arial" w:hAnsi="Arial" w:cs="Arial"/>
          <w:sz w:val="24"/>
          <w:szCs w:val="24"/>
          <w:lang w:val="en-GB"/>
        </w:rPr>
        <w:t>For</w:t>
      </w:r>
      <w:r w:rsidRPr="00AF57AB">
        <w:rPr>
          <w:rFonts w:ascii="Arial" w:hAnsi="Arial" w:cs="Arial"/>
          <w:sz w:val="24"/>
          <w:szCs w:val="24"/>
          <w:lang w:val="en-GB"/>
        </w:rPr>
        <w:t xml:space="preserve"> ecosystem quality, LCA results indicate that AD-electricity-heat-compost performs better than HC. Nevertheless, not all waste is directed toward this technology. </w:t>
      </w:r>
      <w:r>
        <w:rPr>
          <w:rFonts w:ascii="Arial" w:hAnsi="Arial" w:cs="Arial"/>
          <w:sz w:val="24"/>
          <w:szCs w:val="24"/>
          <w:lang w:val="en-GB"/>
        </w:rPr>
        <w:t>Indeed,</w:t>
      </w:r>
      <w:r w:rsidRPr="00AF57AB">
        <w:rPr>
          <w:rFonts w:ascii="Arial" w:hAnsi="Arial" w:cs="Arial"/>
          <w:sz w:val="24"/>
          <w:szCs w:val="24"/>
          <w:lang w:val="en-GB"/>
        </w:rPr>
        <w:t xml:space="preserve"> </w:t>
      </w:r>
      <w:r>
        <w:rPr>
          <w:rFonts w:ascii="Arial" w:hAnsi="Arial" w:cs="Arial"/>
          <w:sz w:val="24"/>
          <w:szCs w:val="24"/>
          <w:lang w:val="en-GB"/>
        </w:rPr>
        <w:t>for</w:t>
      </w:r>
      <w:r w:rsidRPr="00AF57AB">
        <w:rPr>
          <w:rFonts w:ascii="Arial" w:hAnsi="Arial" w:cs="Arial"/>
          <w:sz w:val="24"/>
          <w:szCs w:val="24"/>
          <w:lang w:val="en-GB"/>
        </w:rPr>
        <w:t xml:space="preserve"> some municipalities, the impacts of collection and transport reduce its overall performance. As a result, the optimizer </w:t>
      </w:r>
      <w:proofErr w:type="spellStart"/>
      <w:r w:rsidRPr="00AF57AB">
        <w:rPr>
          <w:rFonts w:ascii="Arial" w:hAnsi="Arial" w:cs="Arial"/>
          <w:sz w:val="24"/>
          <w:szCs w:val="24"/>
          <w:lang w:val="en-GB"/>
        </w:rPr>
        <w:t>favors</w:t>
      </w:r>
      <w:proofErr w:type="spellEnd"/>
      <w:r w:rsidRPr="00AF57AB">
        <w:rPr>
          <w:rFonts w:ascii="Arial" w:hAnsi="Arial" w:cs="Arial"/>
          <w:sz w:val="24"/>
          <w:szCs w:val="24"/>
          <w:lang w:val="en-GB"/>
        </w:rPr>
        <w:t xml:space="preserve"> HC instead, until the peat substitution benefit limit is also reached</w:t>
      </w:r>
      <w:r w:rsidR="007F5AA1">
        <w:rPr>
          <w:rFonts w:ascii="Arial" w:hAnsi="Arial" w:cs="Arial"/>
          <w:sz w:val="24"/>
          <w:szCs w:val="24"/>
          <w:lang w:val="en-GB"/>
        </w:rPr>
        <w:t>.</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lastRenderedPageBreak/>
        <w:t>Minimizing either HH or EQ leads to the same configuration, resulting in overall impacts of −3.72 DALY, −4.84 × 10⁵ PDF·m²·yr, and −2.48 × 10⁵ kg CO</w:t>
      </w:r>
      <w:r w:rsidRPr="00AF57AB">
        <w:rPr>
          <w:rFonts w:ascii="Cambria Math" w:hAnsi="Cambria Math" w:cs="Cambria Math"/>
          <w:sz w:val="24"/>
          <w:szCs w:val="24"/>
          <w:lang w:val="en-GB"/>
        </w:rPr>
        <w:t>₂</w:t>
      </w:r>
      <w:r w:rsidRPr="00AF57AB">
        <w:rPr>
          <w:rFonts w:ascii="Arial" w:hAnsi="Arial" w:cs="Arial"/>
          <w:sz w:val="24"/>
          <w:szCs w:val="24"/>
          <w:lang w:val="en-GB"/>
        </w:rPr>
        <w:t>-eq.</w:t>
      </w:r>
    </w:p>
    <w:p w:rsid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 xml:space="preserve">When minimizing climate change (CC), a similar constraint applies: the flow allocated to HC is limited by the hobby peat market, even though LCA results identify it as the best-performing option in terms of climate change. Subsequently, 70.6% of the flow is directed to AD-biomethane-digestate (site D), while the remaining 16.11% is sent to </w:t>
      </w:r>
      <w:r>
        <w:rPr>
          <w:rFonts w:ascii="Arial" w:hAnsi="Arial" w:cs="Arial"/>
          <w:sz w:val="24"/>
          <w:szCs w:val="24"/>
          <w:lang w:val="en-GB"/>
        </w:rPr>
        <w:t xml:space="preserve">IC </w:t>
      </w:r>
      <w:r w:rsidRPr="00AF57AB">
        <w:rPr>
          <w:rFonts w:ascii="Arial" w:hAnsi="Arial" w:cs="Arial"/>
          <w:sz w:val="24"/>
          <w:szCs w:val="24"/>
          <w:lang w:val="en-GB"/>
        </w:rPr>
        <w:t xml:space="preserve">(IC, site B). Although LCA results show that AD-biomethane-digestate performs better than </w:t>
      </w:r>
      <w:r>
        <w:rPr>
          <w:rFonts w:ascii="Arial" w:hAnsi="Arial" w:cs="Arial"/>
          <w:sz w:val="24"/>
          <w:szCs w:val="24"/>
          <w:lang w:val="en-GB"/>
        </w:rPr>
        <w:t>IC</w:t>
      </w:r>
      <w:r w:rsidRPr="00AF57AB">
        <w:rPr>
          <w:rFonts w:ascii="Arial" w:hAnsi="Arial" w:cs="Arial"/>
          <w:sz w:val="24"/>
          <w:szCs w:val="24"/>
          <w:lang w:val="en-GB"/>
        </w:rPr>
        <w:t xml:space="preserve">, spatial factors explain this allocation. Indeed, the ARC map indicates that site B is closer to the territory than site D. Consequently, incineration is </w:t>
      </w:r>
      <w:proofErr w:type="spellStart"/>
      <w:r w:rsidRPr="00AF57AB">
        <w:rPr>
          <w:rFonts w:ascii="Arial" w:hAnsi="Arial" w:cs="Arial"/>
          <w:sz w:val="24"/>
          <w:szCs w:val="24"/>
          <w:lang w:val="en-GB"/>
        </w:rPr>
        <w:t>favored</w:t>
      </w:r>
      <w:proofErr w:type="spellEnd"/>
      <w:r w:rsidRPr="00AF57AB">
        <w:rPr>
          <w:rFonts w:ascii="Arial" w:hAnsi="Arial" w:cs="Arial"/>
          <w:sz w:val="24"/>
          <w:szCs w:val="24"/>
          <w:lang w:val="en-GB"/>
        </w:rPr>
        <w:t xml:space="preserve"> until the professional peat </w:t>
      </w:r>
      <w:r>
        <w:rPr>
          <w:rFonts w:ascii="Arial" w:hAnsi="Arial" w:cs="Arial"/>
          <w:sz w:val="24"/>
          <w:szCs w:val="24"/>
          <w:lang w:val="en-GB"/>
        </w:rPr>
        <w:t>market</w:t>
      </w:r>
      <w:r w:rsidRPr="00AF57AB">
        <w:rPr>
          <w:rFonts w:ascii="Arial" w:hAnsi="Arial" w:cs="Arial"/>
          <w:sz w:val="24"/>
          <w:szCs w:val="24"/>
          <w:lang w:val="en-GB"/>
        </w:rPr>
        <w:t xml:space="preserve"> constraint is reached.</w:t>
      </w:r>
      <w:r>
        <w:rPr>
          <w:rFonts w:ascii="Arial" w:hAnsi="Arial" w:cs="Arial"/>
          <w:sz w:val="24"/>
          <w:szCs w:val="24"/>
          <w:lang w:val="en-GB"/>
        </w:rPr>
        <w:t xml:space="preserve"> </w:t>
      </w:r>
      <w:r w:rsidRPr="00AF57AB">
        <w:rPr>
          <w:rFonts w:ascii="Arial" w:hAnsi="Arial" w:cs="Arial"/>
          <w:sz w:val="24"/>
          <w:szCs w:val="24"/>
          <w:lang w:val="en-GB"/>
        </w:rPr>
        <w:t>Minimizing climate change leads to overall impacts of −5.45 × 10⁵ kg CO</w:t>
      </w:r>
      <w:r w:rsidRPr="00AF57AB">
        <w:rPr>
          <w:rFonts w:ascii="Cambria Math" w:hAnsi="Cambria Math" w:cs="Cambria Math"/>
          <w:sz w:val="24"/>
          <w:szCs w:val="24"/>
          <w:lang w:val="en-GB"/>
        </w:rPr>
        <w:t>₂</w:t>
      </w:r>
      <w:r w:rsidRPr="00AF57AB">
        <w:rPr>
          <w:rFonts w:ascii="Arial" w:hAnsi="Arial" w:cs="Arial"/>
          <w:sz w:val="24"/>
          <w:szCs w:val="24"/>
          <w:lang w:val="en-GB"/>
        </w:rPr>
        <w:t>-</w:t>
      </w:r>
      <w:proofErr w:type="spellStart"/>
      <w:r w:rsidRPr="00AF57AB">
        <w:rPr>
          <w:rFonts w:ascii="Arial" w:hAnsi="Arial" w:cs="Arial"/>
          <w:sz w:val="24"/>
          <w:szCs w:val="24"/>
          <w:lang w:val="en-GB"/>
        </w:rPr>
        <w:t>eq</w:t>
      </w:r>
      <w:proofErr w:type="spellEnd"/>
      <w:r w:rsidRPr="00AF57AB">
        <w:rPr>
          <w:rFonts w:ascii="Arial" w:hAnsi="Arial" w:cs="Arial"/>
          <w:sz w:val="24"/>
          <w:szCs w:val="24"/>
          <w:lang w:val="en-GB"/>
        </w:rPr>
        <w:t>, −2.16 × 10⁵ PDF·m²·yr, and −3.14 DALY.</w:t>
      </w:r>
    </w:p>
    <w:p w:rsidR="00A76616" w:rsidRPr="00061089" w:rsidRDefault="00A76616" w:rsidP="003B1183">
      <w:pPr>
        <w:spacing w:line="480" w:lineRule="auto"/>
        <w:jc w:val="both"/>
        <w:rPr>
          <w:rFonts w:ascii="Arial" w:hAnsi="Arial" w:cs="Arial"/>
          <w:sz w:val="24"/>
          <w:szCs w:val="24"/>
          <w:lang w:val="en-GB"/>
        </w:rPr>
      </w:pPr>
      <w:r w:rsidRPr="00061089">
        <w:rPr>
          <w:rFonts w:ascii="Arial" w:hAnsi="Arial" w:cs="Arial"/>
          <w:sz w:val="24"/>
          <w:szCs w:val="24"/>
          <w:lang w:val="en-GB"/>
        </w:rPr>
        <w:t>With investment</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investment is allowed, existing facilities are no longer utilized, and new installations are deployed depending on the optimization objective. </w:t>
      </w:r>
      <w:r>
        <w:rPr>
          <w:rFonts w:ascii="Arial" w:hAnsi="Arial" w:cs="Arial"/>
          <w:sz w:val="24"/>
          <w:szCs w:val="24"/>
          <w:lang w:val="en-GB"/>
        </w:rPr>
        <w:t>In the case of</w:t>
      </w:r>
      <w:r w:rsidRPr="00A76616">
        <w:rPr>
          <w:rFonts w:ascii="Arial" w:hAnsi="Arial" w:cs="Arial"/>
          <w:sz w:val="24"/>
          <w:szCs w:val="24"/>
          <w:lang w:val="en-GB"/>
        </w:rPr>
        <w:t xml:space="preserve"> climate change (CC)</w:t>
      </w:r>
      <w:r>
        <w:rPr>
          <w:rFonts w:ascii="Arial" w:hAnsi="Arial" w:cs="Arial"/>
          <w:sz w:val="24"/>
          <w:szCs w:val="24"/>
          <w:lang w:val="en-GB"/>
        </w:rPr>
        <w:t xml:space="preserve"> minimization</w:t>
      </w:r>
      <w:r w:rsidRPr="00A76616">
        <w:rPr>
          <w:rFonts w:ascii="Arial" w:hAnsi="Arial" w:cs="Arial"/>
          <w:sz w:val="24"/>
          <w:szCs w:val="24"/>
          <w:lang w:val="en-GB"/>
        </w:rPr>
        <w:t>, 93.5% of biowaste is directed to AD-biomethane-compost, while only 6.5% is allocated to home composting (HC). Among all available technologies, AD-biomethane-compost is the second-best performing option after HC. However, the share of biowaste sent to HC does not correspond either to the total waste generated by households or to the maximum amount that would yield environmental benefits through peat substitution. This is because the optimizer is constrained to allocate at least 93.5% of the flow to AD-biomethane-compost, which corresponds to the minimum capacity required to justify the construction of a new facility. Under this objective, the system achieves impacts of −6.51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w:t>
      </w:r>
      <w:r w:rsidRPr="00A76616">
        <w:rPr>
          <w:rFonts w:ascii="Arial" w:hAnsi="Arial" w:cs="Arial"/>
          <w:sz w:val="24"/>
          <w:szCs w:val="24"/>
          <w:lang w:val="en-GB"/>
        </w:rPr>
        <w:lastRenderedPageBreak/>
        <w:t>for climate change, −4.79 × 10⁵ PDF·m²·yr for ecosystem quality, and −5.10 DALY for human health.</w:t>
      </w:r>
    </w:p>
    <w:p w:rsidR="00A76616" w:rsidRPr="00A76616" w:rsidRDefault="00A76616" w:rsidP="003B1183">
      <w:pPr>
        <w:spacing w:line="480" w:lineRule="auto"/>
        <w:jc w:val="both"/>
        <w:rPr>
          <w:rFonts w:ascii="Arial" w:hAnsi="Arial" w:cs="Arial"/>
          <w:sz w:val="24"/>
          <w:szCs w:val="24"/>
          <w:lang w:val="en-GB"/>
        </w:rPr>
      </w:pPr>
      <w:r>
        <w:rPr>
          <w:rFonts w:ascii="Arial" w:hAnsi="Arial" w:cs="Arial"/>
          <w:sz w:val="24"/>
          <w:szCs w:val="24"/>
          <w:lang w:val="en-GB"/>
        </w:rPr>
        <w:t>Regarding</w:t>
      </w:r>
      <w:r w:rsidRPr="00A76616">
        <w:rPr>
          <w:rFonts w:ascii="Arial" w:hAnsi="Arial" w:cs="Arial"/>
          <w:sz w:val="24"/>
          <w:szCs w:val="24"/>
          <w:lang w:val="en-GB"/>
        </w:rPr>
        <w:t xml:space="preserve"> </w:t>
      </w:r>
      <w:r>
        <w:rPr>
          <w:rFonts w:ascii="Arial" w:hAnsi="Arial" w:cs="Arial"/>
          <w:sz w:val="24"/>
          <w:szCs w:val="24"/>
          <w:lang w:val="en-GB"/>
        </w:rPr>
        <w:t>the scenario of total ecosystem quality minimization</w:t>
      </w:r>
      <w:r w:rsidRPr="00A76616">
        <w:rPr>
          <w:rFonts w:ascii="Arial" w:hAnsi="Arial" w:cs="Arial"/>
          <w:sz w:val="24"/>
          <w:szCs w:val="24"/>
          <w:lang w:val="en-GB"/>
        </w:rPr>
        <w:t>, all biowaste flows are directed to a single centralized technology, namely AD-heat-compost, which is also the best-performing option for this indicator among all technologies. This configuration results in impacts of −6.84 × 10⁵ PDF·m²·yr for ecosystem quality, −6.35 DALY for human health, and −5.79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for climate change.</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minimizing human health (HH) impacts, the same centralized technology is </w:t>
      </w:r>
      <w:proofErr w:type="spellStart"/>
      <w:r w:rsidRPr="00A76616">
        <w:rPr>
          <w:rFonts w:ascii="Arial" w:hAnsi="Arial" w:cs="Arial"/>
          <w:sz w:val="24"/>
          <w:szCs w:val="24"/>
          <w:lang w:val="en-GB"/>
        </w:rPr>
        <w:t>favored</w:t>
      </w:r>
      <w:proofErr w:type="spellEnd"/>
      <w:r w:rsidRPr="00A76616">
        <w:rPr>
          <w:rFonts w:ascii="Arial" w:hAnsi="Arial" w:cs="Arial"/>
          <w:sz w:val="24"/>
          <w:szCs w:val="24"/>
          <w:lang w:val="en-GB"/>
        </w:rPr>
        <w:t>, receiving 98.71% of the total biowaste, as it also performs best for this indicator. The remaining 1.29% is allocated to HC and originates from a municipality with the highest collection distance among all municipalities. This optimized system yields an impact of −6.36 DALY for human health, along with −5.83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for climate change and −6.83 × 10⁵ PDF·m²·yr for ecosystem quality.</w:t>
      </w:r>
    </w:p>
    <w:p w:rsidR="00223BA2" w:rsidRPr="00D21815" w:rsidRDefault="00223BA2" w:rsidP="00D21815">
      <w:pPr>
        <w:spacing w:line="480" w:lineRule="auto"/>
        <w:jc w:val="both"/>
        <w:rPr>
          <w:rFonts w:ascii="Arial" w:hAnsi="Arial" w:cs="Arial"/>
          <w:sz w:val="24"/>
          <w:szCs w:val="24"/>
        </w:rPr>
      </w:pPr>
      <w:r w:rsidRPr="00A76616">
        <w:rPr>
          <w:rFonts w:ascii="Arial" w:hAnsi="Arial" w:cs="Arial"/>
          <w:sz w:val="24"/>
          <w:szCs w:val="24"/>
        </w:rPr>
        <w:t xml:space="preserve">Impact de l’objectif choisi : différence entre les scénarios </w:t>
      </w:r>
    </w:p>
    <w:p w:rsidR="006C74E2" w:rsidRPr="00193736" w:rsidRDefault="006C74E2" w:rsidP="00D21815">
      <w:pPr>
        <w:pStyle w:val="Titre3"/>
        <w:numPr>
          <w:ilvl w:val="0"/>
          <w:numId w:val="15"/>
        </w:numPr>
        <w:rPr>
          <w:rFonts w:cs="Arial"/>
          <w:lang w:val="en-GB"/>
        </w:rPr>
      </w:pPr>
      <w:r w:rsidRPr="00D21815">
        <w:rPr>
          <w:lang w:val="en-GB"/>
        </w:rPr>
        <w:lastRenderedPageBreak/>
        <w:t>Multi</w:t>
      </w:r>
      <w:r w:rsidRPr="00193736">
        <w:rPr>
          <w:rFonts w:cs="Arial"/>
          <w:lang w:val="en-GB"/>
        </w:rPr>
        <w:t>-objectives</w:t>
      </w:r>
    </w:p>
    <w:p w:rsidR="006673E9" w:rsidRDefault="006673E9"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objectif (CC, HH, EQ).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65438C"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 Trade-off between climate change (CC) and ecosystem quality (EQ)</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Without investment.</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For CC weights ranging from 0 to 0.5, the selected technologies remain home composting (HC) and AD-electricity-heat-compost, with variations in the allocation of flows between them. When the CC weight increases to 0.75, a small fraction of biowaste (6.7%) is redirected to industrial composting (IC). Across the range from 0 to 0.75, no abrupt technological transition is observed. Over this interval, climate change impacts improve from −2.03 × 10⁵ to −2.72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while ecosystem quality impacts excluding CC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decrease from −1.90 × 10⁵ to −1.59 × 10⁵ PDF·m²·yr.</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 xml:space="preserve">A major shift occurs when the CC weight reaches 1. The dominant technology switches from AD-electricity-heat-compost to AD-biomethane-digestate, accompanied by an increase in flows directed to industrial composting in order to reach the maximum peat </w:t>
      </w:r>
      <w:r w:rsidRPr="005963DB">
        <w:rPr>
          <w:rFonts w:ascii="Arial" w:hAnsi="Arial" w:cs="Arial"/>
          <w:sz w:val="24"/>
          <w:szCs w:val="24"/>
          <w:lang w:val="en-GB"/>
        </w:rPr>
        <w:lastRenderedPageBreak/>
        <w:t>substitution market. Between weights of 0.75 and 1, climate change performance improves substantially (from −2.72 × 10⁵ to −5.45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while ecosystem quality deteriorates significantly (from −1.59 × 10⁵ to +1.89 × 10⁵ PDF·m²·yr).</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With investment.</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When CC is not considered (weight = 0), only AD-electricity-heat-compost is selected, with 93.5% of biowaste directed to a newly installed facility and the remainder treated by existing technologies. As soon as a weight of 0.25 is assigned to CC, the system configuration changes completely, with all biowaste redirected to AD-heat-compost. This leads to a marked improvement in climate change performance (from −1.54 × 10⁵ to −5.79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xml:space="preserve">), while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xml:space="preserve"> slightly deteriorates (from −1.98 × 10⁵ to −1.65 × 10⁵ PDF·m²·yr).</w:t>
      </w:r>
    </w:p>
    <w:p w:rsid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Between CC weights of 0.25 and 0.75, the dominant technology remains unchanged, although the share of biowaste allocated to HC gradually increases for municipalities with higher collection distances and associated impacts. When the CC weight reaches 1, AD-biomethane-compost becomes the dominant technology. Climate change performance further improves to −6.51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xml:space="preserve">, whereas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xml:space="preserve"> benefits are substantially reduced to −3.46 × 10⁴ PDF·m²·yr.</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Trade-off between climate change (CC) and human health (HH)</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Without investment.</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 xml:space="preserve">When varying the weights of CC and HH (excluding CC), similar technologies are selected as in the CC–EQ trade-off, but system configurations stabilize earlier, i.e., at lower CC weights. From CC weights of 0 to 0.5, the dominant technology remains AD-electricity-heat-compost, with a gradual increase in the share of biowaste allocated to both home composting (HC) and industrial composting (IC). Over this range, climate </w:t>
      </w:r>
      <w:r w:rsidRPr="00274E88">
        <w:rPr>
          <w:rFonts w:ascii="Arial" w:hAnsi="Arial" w:cs="Arial"/>
          <w:sz w:val="24"/>
          <w:szCs w:val="24"/>
          <w:lang w:val="en-GB"/>
        </w:rPr>
        <w:lastRenderedPageBreak/>
        <w:t>change impacts improve from −2.03 × 10⁵ to −2.72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while HH impacts excluding CC increase slightly from −0.365 to 0.415 DALY.</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CC weights of 0.75 and 1, the system configuration shifts markedly toward a combination of AD-biomethane-digestate (70.62%), industrial composting (16.11%), and HC (13.28%). As the CC weight increases from 0 to 0.75 and 1, climate change impacts improve from −2.03 × 10⁵ to −5.45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impacts increase significantly from −0.365 to 2.3 DALY.</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With investment.</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 xml:space="preserve">When investment is allowed and CC is not weighted (weight = 0), the existing AD-electricity-heat-compost technology is </w:t>
      </w:r>
      <w:proofErr w:type="spellStart"/>
      <w:r w:rsidRPr="00274E88">
        <w:rPr>
          <w:rFonts w:ascii="Arial" w:hAnsi="Arial" w:cs="Arial"/>
          <w:sz w:val="24"/>
          <w:szCs w:val="24"/>
          <w:lang w:val="en-GB"/>
        </w:rPr>
        <w:t>favored</w:t>
      </w:r>
      <w:proofErr w:type="spellEnd"/>
      <w:r w:rsidRPr="00274E88">
        <w:rPr>
          <w:rFonts w:ascii="Arial" w:hAnsi="Arial" w:cs="Arial"/>
          <w:sz w:val="24"/>
          <w:szCs w:val="24"/>
          <w:lang w:val="en-GB"/>
        </w:rPr>
        <w:t>, receiving 93.5% of the total flow, with the remainder allocated to HC. This configuration results in impacts of −2.03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for climate change and −0.365 DALY for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w:t>
      </w:r>
    </w:p>
    <w:p w:rsidR="006C74E2"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a CC weight of 0.25, AD-electricity-heat-compost is replaced by AD-heat-compost, leading to a substantial improvement in climate change performance (−5.97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increases to 0.62 DALY. The system configuration then changes and stabilizes from a CC weight of 0.5 onward, with AD-biomethane-compost becoming the dominant technology. Under this configuration, climate change impacts reach −6.51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rises to 0.88 DALY.</w:t>
      </w:r>
    </w:p>
    <w:p w:rsidR="006C74E2" w:rsidRDefault="006C74E2" w:rsidP="00ED6ACB">
      <w:pPr>
        <w:pStyle w:val="Titre3"/>
        <w:numPr>
          <w:ilvl w:val="0"/>
          <w:numId w:val="15"/>
        </w:numPr>
        <w:rPr>
          <w:rFonts w:cs="Arial"/>
        </w:rPr>
      </w:pPr>
      <w:proofErr w:type="spellStart"/>
      <w:r>
        <w:rPr>
          <w:rFonts w:cs="Arial"/>
        </w:rPr>
        <w:t>Sensitivity</w:t>
      </w:r>
      <w:proofErr w:type="spellEnd"/>
      <w:r>
        <w:rPr>
          <w:rFonts w:cs="Arial"/>
        </w:rPr>
        <w:t xml:space="preserve"> </w:t>
      </w:r>
      <w:proofErr w:type="spellStart"/>
      <w:r w:rsidRPr="00ED6ACB">
        <w:rPr>
          <w:lang w:val="en-GB"/>
        </w:rPr>
        <w:t>analysis</w:t>
      </w:r>
      <w:proofErr w:type="spellEnd"/>
    </w:p>
    <w:p w:rsidR="00B64E21" w:rsidRDefault="00185217" w:rsidP="00ED6ACB">
      <w:pPr>
        <w:pStyle w:val="Titre4"/>
        <w:numPr>
          <w:ilvl w:val="0"/>
          <w:numId w:val="16"/>
        </w:numPr>
      </w:pPr>
      <w:proofErr w:type="spellStart"/>
      <w:r w:rsidRPr="00193736">
        <w:t>Sorting</w:t>
      </w:r>
      <w:proofErr w:type="spellEnd"/>
      <w:r w:rsidRPr="00193736">
        <w:t xml:space="preserve"> rate</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In this sensitivity analysis, the nominal sorting rate was varied by −50% and +50% (Figure XX</w:t>
      </w:r>
      <w:r>
        <w:rPr>
          <w:rFonts w:ascii="Arial" w:hAnsi="Arial" w:cs="Arial"/>
          <w:sz w:val="24"/>
          <w:szCs w:val="24"/>
          <w:lang w:val="en-GB"/>
        </w:rPr>
        <w:t>X)</w:t>
      </w:r>
      <w:r w:rsidR="00794083">
        <w:rPr>
          <w:rFonts w:ascii="Arial" w:hAnsi="Arial" w:cs="Arial"/>
          <w:sz w:val="24"/>
          <w:szCs w:val="24"/>
          <w:lang w:val="en-GB"/>
        </w:rPr>
        <w:t>.</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lastRenderedPageBreak/>
        <w:t>Without investment, when the sorting rate decreases to 30%, the quantity of biowaste allocated to composting remains unchanged</w:t>
      </w:r>
      <w:r w:rsidR="00794083">
        <w:rPr>
          <w:rFonts w:ascii="Arial" w:hAnsi="Arial" w:cs="Arial"/>
          <w:sz w:val="24"/>
          <w:szCs w:val="24"/>
          <w:lang w:val="en-GB"/>
        </w:rPr>
        <w:t xml:space="preserve"> </w:t>
      </w:r>
      <w:r w:rsidR="00794083" w:rsidRPr="00794083">
        <w:rPr>
          <w:rFonts w:ascii="Arial" w:hAnsi="Arial" w:cs="Arial"/>
          <w:sz w:val="24"/>
          <w:szCs w:val="24"/>
          <w:lang w:val="en-GB"/>
        </w:rPr>
        <w:t>in order to maintain the same level of peat substitution</w:t>
      </w:r>
      <w:r w:rsidRPr="00E27C6D">
        <w:rPr>
          <w:rFonts w:ascii="Arial" w:hAnsi="Arial" w:cs="Arial"/>
          <w:sz w:val="24"/>
          <w:szCs w:val="24"/>
          <w:lang w:val="en-GB"/>
        </w:rPr>
        <w:t>. As a result, the reduction in sorted waste mainly affects the flows directed to anaerobic digestion. The impacts of the minimized indicators decrease by −65%, −67%, and −78% for climate change (CC), ecosystem quality (EQ), and human health (HH), respectively.</w:t>
      </w:r>
      <w:r w:rsidR="00794083">
        <w:rPr>
          <w:rFonts w:ascii="Arial" w:hAnsi="Arial" w:cs="Arial"/>
          <w:sz w:val="24"/>
          <w:szCs w:val="24"/>
          <w:lang w:val="en-GB"/>
        </w:rPr>
        <w:t xml:space="preserve"> </w:t>
      </w:r>
      <w:r w:rsidRPr="00E27C6D">
        <w:rPr>
          <w:rFonts w:ascii="Arial" w:hAnsi="Arial" w:cs="Arial"/>
          <w:sz w:val="24"/>
          <w:szCs w:val="24"/>
          <w:lang w:val="en-GB"/>
        </w:rPr>
        <w:t>When the sorting rate increases to 90%, the dominant technology (i.e., the one receiving the largest share of flows under the nominal sorting rate) receives additional inputs until reaching its maximum capacity. This corresponds to AD-biomethane-digestate in the CC minimization scenario and to AD-electricity-heat-compost in the EQ and HH scenarios. Additional technologies are then mobilized to treat the remaining waste. Under these conditions, the impacts of the minimized indicators increase by +35%, +40%, and +70% for CC, EQ, and HH, respectively.</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When investment is allowed, a sorting rate of 30% does not generate sufficient waste to justify the installation of new facilities. Consequently, both the technology selection and flow distribution remain identical to the no-investment scenario</w:t>
      </w:r>
      <w:r w:rsidR="00794083">
        <w:rPr>
          <w:rFonts w:ascii="Arial" w:hAnsi="Arial" w:cs="Arial"/>
          <w:sz w:val="24"/>
          <w:szCs w:val="24"/>
          <w:lang w:val="en-GB"/>
        </w:rPr>
        <w:t xml:space="preserve"> at the same sorting rate</w:t>
      </w:r>
      <w:r w:rsidRPr="00E27C6D">
        <w:rPr>
          <w:rFonts w:ascii="Arial" w:hAnsi="Arial" w:cs="Arial"/>
          <w:sz w:val="24"/>
          <w:szCs w:val="24"/>
          <w:lang w:val="en-GB"/>
        </w:rPr>
        <w:t>. The impacts of the minimized indicators decrease further, reaching −71%, −77%, and −87% for CC, EQ, and HH, respectively.</w:t>
      </w:r>
    </w:p>
    <w:p w:rsidR="00995AE6"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 xml:space="preserve">At a sorting rate of 90%, </w:t>
      </w:r>
      <w:r w:rsidR="00794083" w:rsidRPr="00794083">
        <w:rPr>
          <w:rFonts w:ascii="Arial" w:hAnsi="Arial" w:cs="Arial"/>
          <w:sz w:val="24"/>
          <w:szCs w:val="24"/>
          <w:lang w:val="en-GB"/>
        </w:rPr>
        <w:t>newly installed facilities receive larger material flows</w:t>
      </w:r>
      <w:r w:rsidRPr="00E27C6D">
        <w:rPr>
          <w:rFonts w:ascii="Arial" w:hAnsi="Arial" w:cs="Arial"/>
          <w:sz w:val="24"/>
          <w:szCs w:val="24"/>
          <w:lang w:val="en-GB"/>
        </w:rPr>
        <w:t>. This leads to higher impacts, with the impacts of the minimized indicators increasing by +67%, +63%, and +70% for CC, EQ, and HH, respectively.</w:t>
      </w:r>
    </w:p>
    <w:p w:rsidR="00193736" w:rsidRPr="00193736" w:rsidRDefault="00995AE6" w:rsidP="003B1183">
      <w:pPr>
        <w:spacing w:line="480" w:lineRule="auto"/>
        <w:jc w:val="both"/>
        <w:rPr>
          <w:rFonts w:ascii="Arial" w:hAnsi="Arial" w:cs="Arial"/>
          <w:sz w:val="24"/>
          <w:szCs w:val="24"/>
        </w:rPr>
      </w:pPr>
      <w:r>
        <w:rPr>
          <w:rFonts w:ascii="Arial" w:hAnsi="Arial" w:cs="Arial"/>
          <w:noProof/>
          <w:sz w:val="24"/>
          <w:szCs w:val="24"/>
        </w:rPr>
        <w:lastRenderedPageBreak/>
        <w:drawing>
          <wp:inline distT="0" distB="0" distL="0" distR="0">
            <wp:extent cx="5978261" cy="2615609"/>
            <wp:effectExtent l="0" t="0" r="381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_tri.jpg"/>
                    <pic:cNvPicPr/>
                  </pic:nvPicPr>
                  <pic:blipFill rotWithShape="1">
                    <a:blip r:embed="rId13">
                      <a:extLst>
                        <a:ext uri="{28A0092B-C50C-407E-A947-70E740481C1C}">
                          <a14:useLocalDpi xmlns:a14="http://schemas.microsoft.com/office/drawing/2010/main" val="0"/>
                        </a:ext>
                      </a:extLst>
                    </a:blip>
                    <a:srcRect l="1108" t="5250" r="2710" b="19937"/>
                    <a:stretch/>
                  </pic:blipFill>
                  <pic:spPr bwMode="auto">
                    <a:xfrm>
                      <a:off x="0" y="0"/>
                      <a:ext cx="5978261" cy="2615609"/>
                    </a:xfrm>
                    <a:prstGeom prst="rect">
                      <a:avLst/>
                    </a:prstGeom>
                    <a:ln>
                      <a:noFill/>
                    </a:ln>
                    <a:extLst>
                      <a:ext uri="{53640926-AAD7-44D8-BBD7-CCE9431645EC}">
                        <a14:shadowObscured xmlns:a14="http://schemas.microsoft.com/office/drawing/2010/main"/>
                      </a:ext>
                    </a:extLst>
                  </pic:spPr>
                </pic:pic>
              </a:graphicData>
            </a:graphic>
          </wp:inline>
        </w:drawing>
      </w:r>
    </w:p>
    <w:p w:rsidR="00185217" w:rsidRDefault="00D05715" w:rsidP="00ED6ACB">
      <w:pPr>
        <w:pStyle w:val="Titre4"/>
        <w:numPr>
          <w:ilvl w:val="0"/>
          <w:numId w:val="16"/>
        </w:numPr>
        <w:rPr>
          <w:rFonts w:cs="Arial"/>
          <w:szCs w:val="24"/>
        </w:rPr>
      </w:pPr>
      <w:r>
        <w:rPr>
          <w:rFonts w:cs="Arial"/>
          <w:szCs w:val="24"/>
        </w:rPr>
        <w:t xml:space="preserve">Peat </w:t>
      </w:r>
      <w:proofErr w:type="spellStart"/>
      <w:r>
        <w:rPr>
          <w:rFonts w:cs="Arial"/>
          <w:szCs w:val="24"/>
        </w:rPr>
        <w:t>m</w:t>
      </w:r>
      <w:r w:rsidR="00185217">
        <w:rPr>
          <w:rFonts w:cs="Arial"/>
          <w:szCs w:val="24"/>
        </w:rPr>
        <w:t>arket</w:t>
      </w:r>
      <w:proofErr w:type="spellEnd"/>
    </w:p>
    <w:p w:rsidR="00D05715" w:rsidRPr="00D05715" w:rsidRDefault="00D05715" w:rsidP="003B1183">
      <w:pPr>
        <w:spacing w:line="480" w:lineRule="auto"/>
        <w:jc w:val="both"/>
        <w:rPr>
          <w:rFonts w:ascii="Arial" w:hAnsi="Arial" w:cs="Arial"/>
          <w:sz w:val="24"/>
          <w:szCs w:val="24"/>
          <w:lang w:val="en-GB"/>
        </w:rPr>
      </w:pPr>
      <w:r w:rsidRPr="00D05715">
        <w:rPr>
          <w:rFonts w:ascii="Arial" w:hAnsi="Arial" w:cs="Arial"/>
          <w:sz w:val="24"/>
          <w:szCs w:val="24"/>
          <w:lang w:val="en-GB"/>
        </w:rPr>
        <w:t xml:space="preserve">As there is a </w:t>
      </w:r>
      <w:r>
        <w:rPr>
          <w:rFonts w:ascii="Arial" w:hAnsi="Arial" w:cs="Arial"/>
          <w:sz w:val="24"/>
          <w:szCs w:val="24"/>
          <w:lang w:val="en-GB"/>
        </w:rPr>
        <w:t>significant uncertainty of peat market size due to lack of recent data, we varied the values used in previous optimization simulations by -80% and +80% (both for hobby market and professional market).</w:t>
      </w:r>
    </w:p>
    <w:p w:rsidR="00D05715" w:rsidRPr="00D05715" w:rsidRDefault="00D05715"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6035040" cy="2461922"/>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_marche2.jpg"/>
                    <pic:cNvPicPr/>
                  </pic:nvPicPr>
                  <pic:blipFill rotWithShape="1">
                    <a:blip r:embed="rId14">
                      <a:extLst>
                        <a:ext uri="{28A0092B-C50C-407E-A947-70E740481C1C}">
                          <a14:useLocalDpi xmlns:a14="http://schemas.microsoft.com/office/drawing/2010/main" val="0"/>
                        </a:ext>
                      </a:extLst>
                    </a:blip>
                    <a:srcRect l="1589" t="15195" r="1422" b="14465"/>
                    <a:stretch/>
                  </pic:blipFill>
                  <pic:spPr bwMode="auto">
                    <a:xfrm>
                      <a:off x="0" y="0"/>
                      <a:ext cx="6086467" cy="2482901"/>
                    </a:xfrm>
                    <a:prstGeom prst="rect">
                      <a:avLst/>
                    </a:prstGeom>
                    <a:ln>
                      <a:noFill/>
                    </a:ln>
                    <a:extLst>
                      <a:ext uri="{53640926-AAD7-44D8-BBD7-CCE9431645EC}">
                        <a14:shadowObscured xmlns:a14="http://schemas.microsoft.com/office/drawing/2010/main"/>
                      </a:ext>
                    </a:extLst>
                  </pic:spPr>
                </pic:pic>
              </a:graphicData>
            </a:graphic>
          </wp:inline>
        </w:drawing>
      </w:r>
    </w:p>
    <w:p w:rsidR="00E32403" w:rsidRP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 Without investment</w:t>
      </w:r>
    </w:p>
    <w:p w:rsidR="00E32403" w:rsidRP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 xml:space="preserve">In the scenario minimizing climate change (CC), when the peat market is reduced by 80%, the flow directed to AD-biomethane-digestate increases until reaching its maximum capacity, while the shares allocated to home composting (HC) and industrial composting (IC) decrease significantly. In parallel, AD-electricity-heat-compost is </w:t>
      </w:r>
      <w:r w:rsidRPr="00E32403">
        <w:rPr>
          <w:rFonts w:ascii="Arial" w:hAnsi="Arial" w:cs="Arial"/>
          <w:sz w:val="24"/>
          <w:szCs w:val="24"/>
          <w:lang w:val="en-GB"/>
        </w:rPr>
        <w:lastRenderedPageBreak/>
        <w:t>mobilized to ensure saturation of both hobby and professional peat markets. Conversely, when the peat market increases by 80%, flows to HC and IC rise substantially until market limits are reached. Under these conditions, the CC indicator decreases by 18% for a −80% variation in the peat market and increases by 6% for a +80% variation.</w:t>
      </w:r>
    </w:p>
    <w:p w:rsid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 xml:space="preserve">For ecosystem quality (EQ), a reduction of the peat market by 80% leads to the complete disappearance of HC. Most of the biowaste is then directed to AD-electricity-heat-compost until its capacity is reached, even if part of the compost’s agronomic value cannot be </w:t>
      </w:r>
      <w:proofErr w:type="spellStart"/>
      <w:r w:rsidRPr="00E32403">
        <w:rPr>
          <w:rFonts w:ascii="Arial" w:hAnsi="Arial" w:cs="Arial"/>
          <w:sz w:val="24"/>
          <w:szCs w:val="24"/>
          <w:lang w:val="en-GB"/>
        </w:rPr>
        <w:t>valorized</w:t>
      </w:r>
      <w:proofErr w:type="spellEnd"/>
      <w:r w:rsidRPr="00E32403">
        <w:rPr>
          <w:rFonts w:ascii="Arial" w:hAnsi="Arial" w:cs="Arial"/>
          <w:sz w:val="24"/>
          <w:szCs w:val="24"/>
          <w:lang w:val="en-GB"/>
        </w:rPr>
        <w:t xml:space="preserve"> due to market saturation. In contrast, increasing the peat market by 80% results in higher flows to HC, up to the maximum substitution potential of the hobby market. As a result, the EQ indicator decreases by 12% and increases by 12% for −80% and +80% market variations, respectively.</w:t>
      </w:r>
    </w:p>
    <w:p w:rsidR="00D05715"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A similar trend is observed for human health (HH). At −80% of the peat market, HC is no longer selected and most flows are directed to AD-electricity-heat-compost, with part of the compost exceeding market demand and therefore not generating substitution benefits. Additionally, 12% of the flows are allocated to AD-biomethane-digestate. The HH indicator decreases by 19% for a −80% variation and increases by 8% for a +80% variation in the peat market.</w:t>
      </w:r>
    </w:p>
    <w:p w:rsidR="00E32403" w:rsidRDefault="00B3354C" w:rsidP="003B1183">
      <w:pPr>
        <w:spacing w:line="480" w:lineRule="auto"/>
        <w:jc w:val="both"/>
        <w:rPr>
          <w:rFonts w:ascii="Arial" w:hAnsi="Arial" w:cs="Arial"/>
          <w:sz w:val="24"/>
          <w:szCs w:val="24"/>
          <w:lang w:val="en-GB"/>
        </w:rPr>
      </w:pPr>
      <w:r>
        <w:rPr>
          <w:rFonts w:ascii="Arial" w:hAnsi="Arial" w:cs="Arial"/>
          <w:sz w:val="24"/>
          <w:szCs w:val="24"/>
          <w:lang w:val="en-GB"/>
        </w:rPr>
        <w:t>With investment</w:t>
      </w:r>
    </w:p>
    <w:p w:rsidR="0080501D" w:rsidRPr="0080501D"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An increase in market capacity by +80% does not lead to any change in system configurations, regardless of the minimization scenario considered.</w:t>
      </w:r>
    </w:p>
    <w:p w:rsidR="00102D38" w:rsidRPr="00E32403"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 xml:space="preserve">Conversely, reducing the market by −80% results in the disappearance of the HC technology in both the climate change (CC) and human health (HH) minimization scenarios, while the configuration remains unchanged in the ecosystem quality (EQ) </w:t>
      </w:r>
      <w:r w:rsidRPr="0080501D">
        <w:rPr>
          <w:rFonts w:ascii="Arial" w:hAnsi="Arial" w:cs="Arial"/>
          <w:sz w:val="24"/>
          <w:szCs w:val="24"/>
          <w:lang w:val="en-GB"/>
        </w:rPr>
        <w:lastRenderedPageBreak/>
        <w:t>minimization scenario.</w:t>
      </w:r>
      <w:r w:rsidR="009C0E47">
        <w:rPr>
          <w:rFonts w:ascii="Arial" w:hAnsi="Arial" w:cs="Arial"/>
          <w:sz w:val="24"/>
          <w:szCs w:val="24"/>
          <w:lang w:val="en-GB"/>
        </w:rPr>
        <w:t xml:space="preserve"> </w:t>
      </w:r>
      <w:r w:rsidRPr="0080501D">
        <w:rPr>
          <w:rFonts w:ascii="Arial" w:hAnsi="Arial" w:cs="Arial"/>
          <w:sz w:val="24"/>
          <w:szCs w:val="24"/>
          <w:lang w:val="en-GB"/>
        </w:rPr>
        <w:t>In all cases</w:t>
      </w:r>
      <w:r w:rsidR="009C0E47">
        <w:rPr>
          <w:rFonts w:ascii="Arial" w:hAnsi="Arial" w:cs="Arial"/>
          <w:sz w:val="24"/>
          <w:szCs w:val="24"/>
          <w:lang w:val="en-GB"/>
        </w:rPr>
        <w:t xml:space="preserve">, </w:t>
      </w:r>
      <w:r w:rsidRPr="0080501D">
        <w:rPr>
          <w:rFonts w:ascii="Arial" w:hAnsi="Arial" w:cs="Arial"/>
          <w:sz w:val="24"/>
          <w:szCs w:val="24"/>
          <w:lang w:val="en-GB"/>
        </w:rPr>
        <w:t>the amendment value of compost produced from anaerobic digestion is not fully translated into environmental benefits, as production exceeds the capacity of peat substitution markets (both professional and hobby sectors).</w:t>
      </w:r>
      <w:r w:rsidR="009C0E47">
        <w:rPr>
          <w:rFonts w:ascii="Arial" w:hAnsi="Arial" w:cs="Arial"/>
          <w:sz w:val="24"/>
          <w:szCs w:val="24"/>
          <w:lang w:val="en-GB"/>
        </w:rPr>
        <w:t xml:space="preserve"> </w:t>
      </w:r>
      <w:r w:rsidRPr="0080501D">
        <w:rPr>
          <w:rFonts w:ascii="Arial" w:hAnsi="Arial" w:cs="Arial"/>
          <w:sz w:val="24"/>
          <w:szCs w:val="24"/>
          <w:lang w:val="en-GB"/>
        </w:rPr>
        <w:t>As a result, impacts decrease by 9% for CC in the CC minimization scenario, by 5% for EQ in the EQ minimization scenario, and by 5% for HH in the HH minimization scenario.</w:t>
      </w:r>
    </w:p>
    <w:p w:rsidR="00185217" w:rsidRDefault="00185217" w:rsidP="00ED6ACB">
      <w:pPr>
        <w:pStyle w:val="Titre4"/>
        <w:numPr>
          <w:ilvl w:val="0"/>
          <w:numId w:val="16"/>
        </w:numPr>
        <w:rPr>
          <w:rFonts w:cs="Arial"/>
          <w:szCs w:val="24"/>
        </w:rPr>
      </w:pPr>
      <w:r>
        <w:rPr>
          <w:rFonts w:cs="Arial"/>
          <w:szCs w:val="24"/>
        </w:rPr>
        <w:t xml:space="preserve">Future </w:t>
      </w:r>
      <w:proofErr w:type="spellStart"/>
      <w:r>
        <w:rPr>
          <w:rFonts w:cs="Arial"/>
          <w:szCs w:val="24"/>
        </w:rPr>
        <w:t>electricity</w:t>
      </w:r>
      <w:proofErr w:type="spellEnd"/>
      <w:r>
        <w:rPr>
          <w:rFonts w:cs="Arial"/>
          <w:szCs w:val="24"/>
        </w:rPr>
        <w:t xml:space="preserve"> mix</w:t>
      </w:r>
    </w:p>
    <w:p w:rsidR="009C0E47" w:rsidRPr="008B354C" w:rsidRDefault="008B354C" w:rsidP="003B1183">
      <w:pPr>
        <w:spacing w:line="480" w:lineRule="auto"/>
        <w:jc w:val="both"/>
        <w:rPr>
          <w:rFonts w:ascii="Arial" w:hAnsi="Arial" w:cs="Arial"/>
          <w:sz w:val="24"/>
          <w:szCs w:val="24"/>
          <w:lang w:val="en-GB"/>
        </w:rPr>
      </w:pPr>
      <w:r w:rsidRPr="008B354C">
        <w:rPr>
          <w:rFonts w:ascii="Arial" w:hAnsi="Arial" w:cs="Arial"/>
          <w:sz w:val="24"/>
          <w:szCs w:val="24"/>
          <w:lang w:val="en-GB"/>
        </w:rPr>
        <w:t xml:space="preserve">We investigated the influence of the marginal electricity mix on the optimization results by simulating a pessimistic scenario, in which marginal electricity is fossil-based, and an optimistic scenario, in which it is entirely wind-based. In the former case, the optimization </w:t>
      </w:r>
      <w:proofErr w:type="spellStart"/>
      <w:r w:rsidRPr="008B354C">
        <w:rPr>
          <w:rFonts w:ascii="Arial" w:hAnsi="Arial" w:cs="Arial"/>
          <w:sz w:val="24"/>
          <w:szCs w:val="24"/>
          <w:lang w:val="en-GB"/>
        </w:rPr>
        <w:t>favors</w:t>
      </w:r>
      <w:proofErr w:type="spellEnd"/>
      <w:r w:rsidRPr="008B354C">
        <w:rPr>
          <w:rFonts w:ascii="Arial" w:hAnsi="Arial" w:cs="Arial"/>
          <w:sz w:val="24"/>
          <w:szCs w:val="24"/>
          <w:lang w:val="en-GB"/>
        </w:rPr>
        <w:t xml:space="preserve"> system configurations prioritizing AD–electricity–heat–compost pathways. In contrast, the latter scenario shows negligible deviation from the reference case, reflecting the already low-impact nature of the marginal electricity mix in France.</w:t>
      </w:r>
    </w:p>
    <w:p w:rsidR="00317F42" w:rsidRPr="00F91517" w:rsidRDefault="00317F42" w:rsidP="00F91517">
      <w:pPr>
        <w:pStyle w:val="Titre1"/>
        <w:numPr>
          <w:ilvl w:val="0"/>
          <w:numId w:val="6"/>
        </w:numPr>
        <w:rPr>
          <w:rFonts w:cs="Arial"/>
          <w:b/>
          <w:szCs w:val="24"/>
        </w:rPr>
      </w:pPr>
      <w:r w:rsidRPr="00F91517">
        <w:rPr>
          <w:b/>
        </w:rPr>
        <w:t>Discussion</w:t>
      </w:r>
      <w:r w:rsidR="00870C3E" w:rsidRPr="00F91517">
        <w:rPr>
          <w:rFonts w:cs="Arial"/>
          <w:b/>
          <w:szCs w:val="24"/>
        </w:rPr>
        <w:t xml:space="preserve"> and </w:t>
      </w:r>
      <w:proofErr w:type="spellStart"/>
      <w:r w:rsidR="00870C3E" w:rsidRPr="00F91517">
        <w:rPr>
          <w:rFonts w:cs="Arial"/>
          <w:b/>
          <w:szCs w:val="24"/>
        </w:rPr>
        <w:t>limits</w:t>
      </w:r>
      <w:proofErr w:type="spellEnd"/>
    </w:p>
    <w:p w:rsidR="00BF215C" w:rsidRDefault="00870C3E" w:rsidP="00F91517">
      <w:pPr>
        <w:pStyle w:val="Titre2"/>
        <w:numPr>
          <w:ilvl w:val="0"/>
          <w:numId w:val="18"/>
        </w:numPr>
      </w:pPr>
      <w:r>
        <w:t xml:space="preserve">Discussion of </w:t>
      </w:r>
      <w:proofErr w:type="spellStart"/>
      <w:r>
        <w:t>results</w:t>
      </w:r>
      <w:proofErr w:type="spellEnd"/>
    </w:p>
    <w:p w:rsidR="00333E66" w:rsidRDefault="00333E66" w:rsidP="003B1183">
      <w:pPr>
        <w:spacing w:line="480" w:lineRule="auto"/>
        <w:jc w:val="both"/>
        <w:rPr>
          <w:rFonts w:ascii="Arial" w:hAnsi="Arial" w:cs="Arial"/>
          <w:sz w:val="24"/>
          <w:szCs w:val="24"/>
        </w:rPr>
      </w:pPr>
      <w:proofErr w:type="spellStart"/>
      <w:r>
        <w:rPr>
          <w:rFonts w:ascii="Arial" w:hAnsi="Arial" w:cs="Arial"/>
          <w:sz w:val="24"/>
          <w:szCs w:val="24"/>
        </w:rPr>
        <w:t>Conventional</w:t>
      </w:r>
      <w:proofErr w:type="spellEnd"/>
      <w:r>
        <w:rPr>
          <w:rFonts w:ascii="Arial" w:hAnsi="Arial" w:cs="Arial"/>
          <w:sz w:val="24"/>
          <w:szCs w:val="24"/>
        </w:rPr>
        <w:t xml:space="preserve"> LCA vs </w:t>
      </w:r>
      <w:proofErr w:type="spellStart"/>
      <w:r>
        <w:rPr>
          <w:rFonts w:ascii="Arial" w:hAnsi="Arial" w:cs="Arial"/>
          <w:sz w:val="24"/>
          <w:szCs w:val="24"/>
        </w:rPr>
        <w:t>optimization</w:t>
      </w:r>
      <w:proofErr w:type="spellEnd"/>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This study highlights that results from a conventional life cycle assessment (LCA) alone are not sufficient to determine an optimal biowaste management system at the territorial scale. When real-world constraints—such as market limitations and technological capacities—are considered, the optimal configuration often involves a combination of technologies rather than relying on the single best-performing option identified by LCA. Furthermore, the results emphasize the importance of accounting for transport and collection impacts, as these can significantly influence the degree of centralization or decentralization of the system.</w:t>
      </w:r>
    </w:p>
    <w:p w:rsidR="000D36AC" w:rsidRDefault="00333E66" w:rsidP="003B1183">
      <w:pPr>
        <w:spacing w:line="480" w:lineRule="auto"/>
        <w:jc w:val="both"/>
        <w:rPr>
          <w:rFonts w:ascii="Arial" w:hAnsi="Arial" w:cs="Arial"/>
          <w:sz w:val="24"/>
          <w:szCs w:val="24"/>
          <w:lang w:val="en-GB"/>
        </w:rPr>
      </w:pPr>
      <w:r>
        <w:rPr>
          <w:rFonts w:ascii="Arial" w:hAnsi="Arial" w:cs="Arial"/>
          <w:sz w:val="24"/>
          <w:szCs w:val="24"/>
          <w:lang w:val="en-GB"/>
        </w:rPr>
        <w:lastRenderedPageBreak/>
        <w:t>Influence of the optimization objective</w:t>
      </w:r>
    </w:p>
    <w:p w:rsid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The choice of impact indicator strongly affects the optimized system configuration. While minimizing ecosystem quality (EQ) and human health (HH) leads to similar technological configurations, minimizing climate change (CC) results in substantially different outcomes.</w:t>
      </w:r>
      <w:r>
        <w:rPr>
          <w:rFonts w:ascii="Arial" w:hAnsi="Arial" w:cs="Arial"/>
          <w:sz w:val="24"/>
          <w:szCs w:val="24"/>
          <w:lang w:val="en-GB"/>
        </w:rPr>
        <w:t xml:space="preserve"> </w:t>
      </w:r>
      <w:r w:rsidRPr="00333E66">
        <w:rPr>
          <w:rFonts w:ascii="Arial" w:hAnsi="Arial" w:cs="Arial"/>
          <w:sz w:val="24"/>
          <w:szCs w:val="24"/>
          <w:lang w:val="en-GB"/>
        </w:rPr>
        <w:t xml:space="preserve">In particular, CC minimization prioritizes anaerobic digestion with biomethane production, whereas EQ and HH minimization </w:t>
      </w:r>
      <w:proofErr w:type="spellStart"/>
      <w:r w:rsidRPr="00333E66">
        <w:rPr>
          <w:rFonts w:ascii="Arial" w:hAnsi="Arial" w:cs="Arial"/>
          <w:sz w:val="24"/>
          <w:szCs w:val="24"/>
          <w:lang w:val="en-GB"/>
        </w:rPr>
        <w:t>favor</w:t>
      </w:r>
      <w:proofErr w:type="spellEnd"/>
      <w:r w:rsidRPr="00333E66">
        <w:rPr>
          <w:rFonts w:ascii="Arial" w:hAnsi="Arial" w:cs="Arial"/>
          <w:sz w:val="24"/>
          <w:szCs w:val="24"/>
          <w:lang w:val="en-GB"/>
        </w:rPr>
        <w:t xml:space="preserve"> anaerobic digestion oriented toward heat production. This difference highlights the influence of the type of substituted energy on environmental performance.</w:t>
      </w:r>
      <w:r>
        <w:rPr>
          <w:rFonts w:ascii="Arial" w:hAnsi="Arial" w:cs="Arial"/>
          <w:sz w:val="24"/>
          <w:szCs w:val="24"/>
          <w:lang w:val="en-GB"/>
        </w:rPr>
        <w:t xml:space="preserve"> </w:t>
      </w:r>
      <w:r w:rsidRPr="00333E66">
        <w:rPr>
          <w:rFonts w:ascii="Arial" w:hAnsi="Arial" w:cs="Arial"/>
          <w:sz w:val="24"/>
          <w:szCs w:val="24"/>
          <w:lang w:val="en-GB"/>
        </w:rPr>
        <w:t>In addition, multi-objective optimization—by varying the relative weight assigned to CC and damage indicators—allows the identification of compromise solutions between competing environmental objectives.</w:t>
      </w:r>
    </w:p>
    <w:p w:rsidR="00333E66" w:rsidRDefault="00333E66" w:rsidP="003B1183">
      <w:pPr>
        <w:spacing w:line="480" w:lineRule="auto"/>
        <w:jc w:val="both"/>
        <w:rPr>
          <w:rFonts w:ascii="Arial" w:hAnsi="Arial" w:cs="Arial"/>
          <w:sz w:val="24"/>
          <w:szCs w:val="24"/>
          <w:lang w:val="en-GB"/>
        </w:rPr>
      </w:pPr>
      <w:r>
        <w:rPr>
          <w:rFonts w:ascii="Arial" w:hAnsi="Arial" w:cs="Arial"/>
          <w:sz w:val="24"/>
          <w:szCs w:val="24"/>
          <w:lang w:val="en-GB"/>
        </w:rPr>
        <w:t>No-investment vs investment scenarios</w:t>
      </w:r>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Allowing new investments leads to a complete shift away from existing facilities, indicating that currently available technologies are not the most environmentally efficient. It also results in a more centralized system configuration.</w:t>
      </w:r>
      <w:r>
        <w:rPr>
          <w:rFonts w:ascii="Arial" w:hAnsi="Arial" w:cs="Arial"/>
          <w:sz w:val="24"/>
          <w:szCs w:val="24"/>
          <w:lang w:val="en-GB"/>
        </w:rPr>
        <w:t xml:space="preserve"> </w:t>
      </w:r>
      <w:r w:rsidRPr="00333E66">
        <w:rPr>
          <w:rFonts w:ascii="Arial" w:hAnsi="Arial" w:cs="Arial"/>
          <w:sz w:val="24"/>
          <w:szCs w:val="24"/>
          <w:lang w:val="en-GB"/>
        </w:rPr>
        <w:t>For the EQ and HH minimization scenarios, this reflects the selection of the best-performing technology.</w:t>
      </w:r>
      <w:r>
        <w:rPr>
          <w:rFonts w:ascii="Arial" w:hAnsi="Arial" w:cs="Arial"/>
          <w:sz w:val="24"/>
          <w:szCs w:val="24"/>
          <w:lang w:val="en-GB"/>
        </w:rPr>
        <w:t xml:space="preserve"> Under</w:t>
      </w:r>
      <w:r w:rsidRPr="00333E66">
        <w:rPr>
          <w:rFonts w:ascii="Arial" w:hAnsi="Arial" w:cs="Arial"/>
          <w:sz w:val="24"/>
          <w:szCs w:val="24"/>
          <w:lang w:val="en-GB"/>
        </w:rPr>
        <w:t xml:space="preserve"> CC minimization,</w:t>
      </w:r>
      <w:r>
        <w:rPr>
          <w:rFonts w:ascii="Arial" w:hAnsi="Arial" w:cs="Arial"/>
          <w:sz w:val="24"/>
          <w:szCs w:val="24"/>
          <w:lang w:val="en-GB"/>
        </w:rPr>
        <w:t xml:space="preserve"> a</w:t>
      </w:r>
      <w:r w:rsidRPr="00333E66">
        <w:rPr>
          <w:rFonts w:ascii="Arial" w:hAnsi="Arial" w:cs="Arial"/>
          <w:sz w:val="24"/>
          <w:szCs w:val="24"/>
          <w:lang w:val="en-GB"/>
        </w:rPr>
        <w:t>lthough home composting (HC) would have been more environmentally beneficial for some municipalities, these flows are instead directed to a centralized system, driven by the minimum flow required to justify the construction of a new facility</w:t>
      </w:r>
    </w:p>
    <w:p w:rsidR="00870C3E" w:rsidRDefault="00870C3E" w:rsidP="00F91517">
      <w:pPr>
        <w:pStyle w:val="Titre2"/>
        <w:numPr>
          <w:ilvl w:val="0"/>
          <w:numId w:val="18"/>
        </w:numPr>
        <w:rPr>
          <w:rFonts w:cs="Arial"/>
          <w:szCs w:val="24"/>
          <w:lang w:val="en-GB"/>
        </w:rPr>
      </w:pPr>
      <w:r w:rsidRPr="00F91517">
        <w:t>Limit</w:t>
      </w:r>
      <w:r w:rsidR="00A8647B" w:rsidRPr="00F91517">
        <w:t>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The first limitation of this study relates to the data and assumptions used, particularly in the case study. The sensitivity analysis shows that the results are strongly influenced by the size of the peat market, especially in the no-investment scenario.</w:t>
      </w:r>
      <w:r w:rsidRPr="00951D75">
        <w:rPr>
          <w:lang w:val="en-GB"/>
        </w:rPr>
        <w:t xml:space="preserve"> </w:t>
      </w:r>
      <w:r w:rsidRPr="00951D75">
        <w:rPr>
          <w:rFonts w:ascii="Arial" w:hAnsi="Arial" w:cs="Arial"/>
          <w:sz w:val="24"/>
          <w:szCs w:val="24"/>
          <w:lang w:val="en-GB"/>
        </w:rPr>
        <w:t xml:space="preserve">However, </w:t>
      </w:r>
      <w:r w:rsidRPr="00951D75">
        <w:rPr>
          <w:rFonts w:ascii="Arial" w:hAnsi="Arial" w:cs="Arial"/>
          <w:sz w:val="24"/>
          <w:szCs w:val="24"/>
          <w:lang w:val="en-GB"/>
        </w:rPr>
        <w:lastRenderedPageBreak/>
        <w:t>these data are derived from dated sources and are based on national-level consumption estimates. For a case study of this type, a more localized market assessment would be necessary to better reflect the specific conditions of the territory.</w:t>
      </w:r>
      <w:r>
        <w:rPr>
          <w:rFonts w:ascii="Arial" w:hAnsi="Arial" w:cs="Arial"/>
          <w:sz w:val="24"/>
          <w:szCs w:val="24"/>
          <w:lang w:val="en-GB"/>
        </w:rPr>
        <w:t xml:space="preserve"> The </w:t>
      </w:r>
      <w:r w:rsidRPr="00951D75">
        <w:rPr>
          <w:rFonts w:ascii="Arial" w:hAnsi="Arial" w:cs="Arial"/>
          <w:sz w:val="24"/>
          <w:szCs w:val="24"/>
          <w:lang w:val="en-GB"/>
        </w:rPr>
        <w:t xml:space="preserve">results are </w:t>
      </w:r>
      <w:r>
        <w:rPr>
          <w:rFonts w:ascii="Arial" w:hAnsi="Arial" w:cs="Arial"/>
          <w:sz w:val="24"/>
          <w:szCs w:val="24"/>
          <w:lang w:val="en-GB"/>
        </w:rPr>
        <w:t xml:space="preserve">also </w:t>
      </w:r>
      <w:r w:rsidRPr="00951D75">
        <w:rPr>
          <w:rFonts w:ascii="Arial" w:hAnsi="Arial" w:cs="Arial"/>
          <w:sz w:val="24"/>
          <w:szCs w:val="24"/>
          <w:lang w:val="en-GB"/>
        </w:rPr>
        <w:t>sensitive to the biowaste sorting rate. In this study, this parameter is based on a simplifying assumption, but it could be more accurately estimated using proxies better aligned with local conditions.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More broadly, the study aims to design a future biowaste management system while assuming that current data remain valid over time. This includes, for example, the total quantity of biowaste generated</w:t>
      </w:r>
      <w:r w:rsidR="00034176">
        <w:rPr>
          <w:rFonts w:ascii="Arial" w:hAnsi="Arial" w:cs="Arial"/>
          <w:sz w:val="24"/>
          <w:szCs w:val="24"/>
          <w:lang w:val="en-GB"/>
        </w:rPr>
        <w:t>, or the urbanization</w:t>
      </w:r>
      <w:r w:rsidRPr="00951D75">
        <w:rPr>
          <w:rFonts w:ascii="Arial" w:hAnsi="Arial" w:cs="Arial"/>
          <w:sz w:val="24"/>
          <w:szCs w:val="24"/>
          <w:lang w:val="en-GB"/>
        </w:rPr>
        <w:t>, which may evolve significantly in the coming years</w:t>
      </w:r>
      <w:r w:rsidR="00034176">
        <w:rPr>
          <w:rFonts w:ascii="Arial" w:hAnsi="Arial" w:cs="Arial"/>
          <w:sz w:val="24"/>
          <w:szCs w:val="24"/>
          <w:lang w:val="en-GB"/>
        </w:rPr>
        <w:t>.</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Finally, it should be acknowledged that the optimization framework does not cover all possible treatment options. Additional mature technologies, such as community composting, could be included. Less mature technologies should also be considered in a forward-looking perspective, such as gasification.</w:t>
      </w:r>
    </w:p>
    <w:p w:rsidR="00870C3E" w:rsidRDefault="00870C3E" w:rsidP="00F91517">
      <w:pPr>
        <w:pStyle w:val="Titre1"/>
        <w:numPr>
          <w:ilvl w:val="0"/>
          <w:numId w:val="6"/>
        </w:numPr>
        <w:rPr>
          <w:rFonts w:cs="Arial"/>
          <w:szCs w:val="24"/>
          <w:lang w:val="en-GB"/>
        </w:rPr>
      </w:pPr>
      <w:r w:rsidRPr="00F91517">
        <w:rPr>
          <w:b/>
        </w:rPr>
        <w:t>Conclusion</w:t>
      </w:r>
    </w:p>
    <w:p w:rsidR="00CE7375" w:rsidRP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This study demonstrates the developme</w:t>
      </w:r>
      <w:bookmarkStart w:id="3" w:name="_GoBack"/>
      <w:bookmarkEnd w:id="3"/>
      <w:r w:rsidRPr="00CE7375">
        <w:rPr>
          <w:rFonts w:ascii="Arial" w:hAnsi="Arial" w:cs="Arial"/>
          <w:sz w:val="24"/>
          <w:szCs w:val="24"/>
          <w:lang w:val="en-GB"/>
        </w:rPr>
        <w:t xml:space="preserve">nt of an optimization framework that overcomes the limitations of conventional comparative LCA by identifying the lowest-impact biowaste management pathway adapted to a given territory. As illustrated in the case study, the optimal system may involve a combination of technologies rather than a single option. The framework integrates real-world market constraints, thereby avoiding the overestimation of environmental benefits often associated with substitution. In addition, it enables a detailed spatial allocation of flows, specifying how biowaste from different municipalities is distributed across treatment technologies. </w:t>
      </w:r>
      <w:r w:rsidRPr="00CE7375">
        <w:rPr>
          <w:rFonts w:ascii="Arial" w:hAnsi="Arial" w:cs="Arial"/>
          <w:sz w:val="24"/>
          <w:szCs w:val="24"/>
          <w:lang w:val="en-GB"/>
        </w:rPr>
        <w:lastRenderedPageBreak/>
        <w:t>Although several assumptions were required, the case study provides a first demonstration of the capabilities and relevance of the proposed approach.</w:t>
      </w:r>
    </w:p>
    <w:p w:rsid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These findings have important implications for stakeholders. For the LCA community, they highlight the need to refine assumptions—particularly those related to substitution effects—in order to better support decision-making at the territorial level. For local authorities, the results emphasize that the choice of optimization objective can significantly influence system configuration and may shift impacts across environmental indicators. Decision-makers should therefore consider the full value chain, including the end-use of co-products, rather than focusing solely on waste treatment processes.</w:t>
      </w:r>
    </w:p>
    <w:p w:rsidR="005016DC"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 xml:space="preserve">Future work should focus on expanding the framework by incorporating additional treatment technologies, including both mature options such as community composting and emerging ones such as gasification. It would also be valuable to explore prospective scenarios to assess whether systems designed today remain robust under future societal and environmental changes. More broadly, this approach could be extended to support the planning of territorial </w:t>
      </w:r>
      <w:proofErr w:type="spellStart"/>
      <w:r w:rsidRPr="00CE7375">
        <w:rPr>
          <w:rFonts w:ascii="Arial" w:hAnsi="Arial" w:cs="Arial"/>
          <w:sz w:val="24"/>
          <w:szCs w:val="24"/>
          <w:lang w:val="en-GB"/>
        </w:rPr>
        <w:t>bioeconomy</w:t>
      </w:r>
      <w:proofErr w:type="spellEnd"/>
      <w:r w:rsidRPr="00CE7375">
        <w:rPr>
          <w:rFonts w:ascii="Arial" w:hAnsi="Arial" w:cs="Arial"/>
          <w:sz w:val="24"/>
          <w:szCs w:val="24"/>
          <w:lang w:val="en-GB"/>
        </w:rPr>
        <w:t xml:space="preserve"> systems beyond biowaste management.</w:t>
      </w:r>
    </w:p>
    <w:p w:rsidR="00057FCD" w:rsidRDefault="00057FCD" w:rsidP="003B1183">
      <w:pPr>
        <w:spacing w:line="480" w:lineRule="auto"/>
        <w:jc w:val="both"/>
        <w:rPr>
          <w:rFonts w:ascii="Arial" w:hAnsi="Arial" w:cs="Arial"/>
          <w:sz w:val="24"/>
          <w:szCs w:val="24"/>
          <w:lang w:val="en-GB"/>
        </w:rPr>
      </w:pPr>
    </w:p>
    <w:p w:rsidR="00057FCD" w:rsidRDefault="00057FCD" w:rsidP="003B1183">
      <w:pPr>
        <w:spacing w:line="480" w:lineRule="auto"/>
        <w:jc w:val="both"/>
        <w:rPr>
          <w:rFonts w:ascii="Arial" w:hAnsi="Arial" w:cs="Arial"/>
          <w:sz w:val="24"/>
          <w:szCs w:val="24"/>
          <w:lang w:val="en-GB"/>
        </w:rPr>
      </w:pPr>
      <w:r>
        <w:rPr>
          <w:rFonts w:ascii="Arial" w:hAnsi="Arial" w:cs="Arial"/>
          <w:sz w:val="24"/>
          <w:szCs w:val="24"/>
          <w:lang w:val="en-GB"/>
        </w:rPr>
        <w:t>References</w:t>
      </w:r>
    </w:p>
    <w:p w:rsidR="00057FCD" w:rsidRPr="00057FCD" w:rsidRDefault="00057FCD" w:rsidP="003B1183">
      <w:pPr>
        <w:pStyle w:val="Bibliographie"/>
        <w:spacing w:line="480" w:lineRule="auto"/>
        <w:jc w:val="both"/>
        <w:rPr>
          <w:rFonts w:ascii="Arial" w:hAnsi="Arial" w:cs="Arial"/>
          <w:sz w:val="24"/>
          <w:lang w:val="en-GB"/>
        </w:rPr>
      </w:pPr>
      <w:r>
        <w:rPr>
          <w:rFonts w:ascii="Arial" w:hAnsi="Arial" w:cs="Arial"/>
          <w:lang w:val="en-GB"/>
        </w:rPr>
        <w:fldChar w:fldCharType="begin"/>
      </w:r>
      <w:r>
        <w:rPr>
          <w:rFonts w:ascii="Arial" w:hAnsi="Arial" w:cs="Arial"/>
          <w:lang w:val="en-GB"/>
        </w:rPr>
        <w:instrText xml:space="preserve"> ADDIN ZOTERO_BIBL {"uncited":[],"omitted":[],"custom":[]} CSL_BIBLIOGRAPHY </w:instrText>
      </w:r>
      <w:r>
        <w:rPr>
          <w:rFonts w:ascii="Arial" w:hAnsi="Arial" w:cs="Arial"/>
          <w:lang w:val="en-GB"/>
        </w:rPr>
        <w:fldChar w:fldCharType="separate"/>
      </w:r>
      <w:r w:rsidRPr="00057FCD">
        <w:rPr>
          <w:rFonts w:ascii="Arial" w:hAnsi="Arial" w:cs="Arial"/>
          <w:sz w:val="24"/>
          <w:lang w:val="en-GB"/>
        </w:rPr>
        <w:t>Al-</w:t>
      </w:r>
      <w:proofErr w:type="spellStart"/>
      <w:r w:rsidRPr="00057FCD">
        <w:rPr>
          <w:rFonts w:ascii="Arial" w:hAnsi="Arial" w:cs="Arial"/>
          <w:sz w:val="24"/>
          <w:lang w:val="en-GB"/>
        </w:rPr>
        <w:t>Rumaihi</w:t>
      </w:r>
      <w:proofErr w:type="spellEnd"/>
      <w:r w:rsidRPr="00057FCD">
        <w:rPr>
          <w:rFonts w:ascii="Arial" w:hAnsi="Arial" w:cs="Arial"/>
          <w:sz w:val="24"/>
          <w:lang w:val="en-GB"/>
        </w:rPr>
        <w:t>, A., McKay, G., Mackey, H.R., Al-Ansari, T., 2020. Sustainability 12, 1595.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Angelo, A.C.M., Saraiva, A.B., </w:t>
      </w:r>
      <w:proofErr w:type="spellStart"/>
      <w:r w:rsidRPr="00057FCD">
        <w:rPr>
          <w:rFonts w:ascii="Arial" w:hAnsi="Arial" w:cs="Arial"/>
          <w:sz w:val="24"/>
          <w:lang w:val="en-GB"/>
        </w:rPr>
        <w:t>Clímaco</w:t>
      </w:r>
      <w:proofErr w:type="spellEnd"/>
      <w:r w:rsidRPr="00057FCD">
        <w:rPr>
          <w:rFonts w:ascii="Arial" w:hAnsi="Arial" w:cs="Arial"/>
          <w:sz w:val="24"/>
          <w:lang w:val="en-GB"/>
        </w:rPr>
        <w:t xml:space="preserve">, J.C.N., </w:t>
      </w:r>
      <w:proofErr w:type="spellStart"/>
      <w:r w:rsidRPr="00057FCD">
        <w:rPr>
          <w:rFonts w:ascii="Arial" w:hAnsi="Arial" w:cs="Arial"/>
          <w:sz w:val="24"/>
          <w:lang w:val="en-GB"/>
        </w:rPr>
        <w:t>Infante</w:t>
      </w:r>
      <w:proofErr w:type="spellEnd"/>
      <w:r w:rsidRPr="00057FCD">
        <w:rPr>
          <w:rFonts w:ascii="Arial" w:hAnsi="Arial" w:cs="Arial"/>
          <w:sz w:val="24"/>
          <w:lang w:val="en-GB"/>
        </w:rPr>
        <w:t>, C.E., Valle, R., 2017. Journal of Cleaner Production 143, 744–756.</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Angouria-Tsorochidou</w:t>
      </w:r>
      <w:proofErr w:type="spellEnd"/>
      <w:r w:rsidRPr="00057FCD">
        <w:rPr>
          <w:rFonts w:ascii="Arial" w:hAnsi="Arial" w:cs="Arial"/>
          <w:sz w:val="24"/>
          <w:lang w:val="en-GB"/>
        </w:rPr>
        <w:t xml:space="preserve">, E., </w:t>
      </w:r>
      <w:proofErr w:type="spellStart"/>
      <w:r w:rsidRPr="00057FCD">
        <w:rPr>
          <w:rFonts w:ascii="Arial" w:hAnsi="Arial" w:cs="Arial"/>
          <w:sz w:val="24"/>
          <w:lang w:val="en-GB"/>
        </w:rPr>
        <w:t>Teigiserova</w:t>
      </w:r>
      <w:proofErr w:type="spellEnd"/>
      <w:r w:rsidRPr="00057FCD">
        <w:rPr>
          <w:rFonts w:ascii="Arial" w:hAnsi="Arial" w:cs="Arial"/>
          <w:sz w:val="24"/>
          <w:lang w:val="en-GB"/>
        </w:rPr>
        <w:t>, D.A., Thomsen, M., 2022. Resources, Conservation and Recycling 176, 105898.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 xml:space="preserve">Anne, T., Julia, B., Rémy, B., </w:t>
      </w:r>
      <w:proofErr w:type="spellStart"/>
      <w:r w:rsidRPr="00057FCD">
        <w:rPr>
          <w:rFonts w:ascii="Arial" w:hAnsi="Arial" w:cs="Arial"/>
          <w:sz w:val="24"/>
          <w:lang w:val="en-GB"/>
        </w:rPr>
        <w:t>Sylvaine</w:t>
      </w:r>
      <w:proofErr w:type="spellEnd"/>
      <w:r w:rsidRPr="00057FCD">
        <w:rPr>
          <w:rFonts w:ascii="Arial" w:hAnsi="Arial" w:cs="Arial"/>
          <w:sz w:val="24"/>
          <w:lang w:val="en-GB"/>
        </w:rPr>
        <w:t xml:space="preserve">, B., Mathilde, B., Manon, V.B., Isabelle, Z., Etienne, P., 2025. Waste Biomass </w:t>
      </w:r>
      <w:proofErr w:type="spellStart"/>
      <w:r w:rsidRPr="00057FCD">
        <w:rPr>
          <w:rFonts w:ascii="Arial" w:hAnsi="Arial" w:cs="Arial"/>
          <w:sz w:val="24"/>
          <w:lang w:val="en-GB"/>
        </w:rPr>
        <w:t>Valor</w:t>
      </w:r>
      <w:proofErr w:type="spellEnd"/>
      <w:r w:rsidRPr="00057FCD">
        <w:rPr>
          <w:rFonts w:ascii="Arial" w:hAnsi="Arial" w:cs="Arial"/>
          <w:sz w:val="24"/>
          <w:lang w:val="en-GB"/>
        </w:rPr>
        <w:t xml:space="preserve"> 16, 2985–2998.</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Ardolino</w:t>
      </w:r>
      <w:proofErr w:type="spellEnd"/>
      <w:r w:rsidRPr="00057FCD">
        <w:rPr>
          <w:rFonts w:ascii="Arial" w:hAnsi="Arial" w:cs="Arial"/>
          <w:sz w:val="24"/>
          <w:lang w:val="en-GB"/>
        </w:rPr>
        <w:t xml:space="preserve">, F., </w:t>
      </w:r>
      <w:proofErr w:type="spellStart"/>
      <w:r w:rsidRPr="00057FCD">
        <w:rPr>
          <w:rFonts w:ascii="Arial" w:hAnsi="Arial" w:cs="Arial"/>
          <w:sz w:val="24"/>
          <w:lang w:val="en-GB"/>
        </w:rPr>
        <w:t>Parrillo</w:t>
      </w:r>
      <w:proofErr w:type="spellEnd"/>
      <w:r w:rsidRPr="00057FCD">
        <w:rPr>
          <w:rFonts w:ascii="Arial" w:hAnsi="Arial" w:cs="Arial"/>
          <w:sz w:val="24"/>
          <w:lang w:val="en-GB"/>
        </w:rPr>
        <w:t>, F., Arena, U., 2018. Journal of Cleaner Production 174, 462–476.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Ashraf, A.I., </w:t>
      </w:r>
      <w:proofErr w:type="spellStart"/>
      <w:r w:rsidRPr="00057FCD">
        <w:rPr>
          <w:rFonts w:ascii="Arial" w:hAnsi="Arial" w:cs="Arial"/>
          <w:sz w:val="24"/>
          <w:lang w:val="en-GB"/>
        </w:rPr>
        <w:t>Mohareb</w:t>
      </w:r>
      <w:proofErr w:type="spellEnd"/>
      <w:r w:rsidRPr="00057FCD">
        <w:rPr>
          <w:rFonts w:ascii="Arial" w:hAnsi="Arial" w:cs="Arial"/>
          <w:sz w:val="24"/>
          <w:lang w:val="en-GB"/>
        </w:rPr>
        <w:t xml:space="preserve">, E., </w:t>
      </w:r>
      <w:proofErr w:type="spellStart"/>
      <w:r w:rsidRPr="00057FCD">
        <w:rPr>
          <w:rFonts w:ascii="Arial" w:hAnsi="Arial" w:cs="Arial"/>
          <w:sz w:val="24"/>
          <w:lang w:val="en-GB"/>
        </w:rPr>
        <w:t>Vahdati</w:t>
      </w:r>
      <w:proofErr w:type="spellEnd"/>
      <w:r w:rsidRPr="00057FCD">
        <w:rPr>
          <w:rFonts w:ascii="Arial" w:hAnsi="Arial" w:cs="Arial"/>
          <w:sz w:val="24"/>
          <w:lang w:val="en-GB"/>
        </w:rPr>
        <w:t xml:space="preserve">, M., Abbas, F., 2025. </w:t>
      </w:r>
      <w:proofErr w:type="spellStart"/>
      <w:r w:rsidRPr="00057FCD">
        <w:rPr>
          <w:rFonts w:ascii="Arial" w:hAnsi="Arial" w:cs="Arial"/>
          <w:sz w:val="24"/>
          <w:lang w:val="en-GB"/>
        </w:rPr>
        <w:t>Discov</w:t>
      </w:r>
      <w:proofErr w:type="spellEnd"/>
      <w:r w:rsidRPr="00057FCD">
        <w:rPr>
          <w:rFonts w:ascii="Arial" w:hAnsi="Arial" w:cs="Arial"/>
          <w:sz w:val="24"/>
          <w:lang w:val="en-GB"/>
        </w:rPr>
        <w:t xml:space="preserve"> Sustain 6, 138.</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Bahramian</w:t>
      </w:r>
      <w:proofErr w:type="spellEnd"/>
      <w:r w:rsidRPr="00057FCD">
        <w:rPr>
          <w:rFonts w:ascii="Arial" w:hAnsi="Arial" w:cs="Arial"/>
          <w:sz w:val="24"/>
          <w:lang w:val="en-GB"/>
        </w:rPr>
        <w:t xml:space="preserve">, M., </w:t>
      </w:r>
      <w:proofErr w:type="spellStart"/>
      <w:r w:rsidRPr="00057FCD">
        <w:rPr>
          <w:rFonts w:ascii="Arial" w:hAnsi="Arial" w:cs="Arial"/>
          <w:sz w:val="24"/>
          <w:lang w:val="en-GB"/>
        </w:rPr>
        <w:t>Krah</w:t>
      </w:r>
      <w:proofErr w:type="spellEnd"/>
      <w:r w:rsidRPr="00057FCD">
        <w:rPr>
          <w:rFonts w:ascii="Arial" w:hAnsi="Arial" w:cs="Arial"/>
          <w:sz w:val="24"/>
          <w:lang w:val="en-GB"/>
        </w:rPr>
        <w:t xml:space="preserve">, C., </w:t>
      </w:r>
      <w:proofErr w:type="spellStart"/>
      <w:r w:rsidRPr="00057FCD">
        <w:rPr>
          <w:rFonts w:ascii="Arial" w:hAnsi="Arial" w:cs="Arial"/>
          <w:sz w:val="24"/>
          <w:lang w:val="en-GB"/>
        </w:rPr>
        <w:t>Hynds</w:t>
      </w:r>
      <w:proofErr w:type="spellEnd"/>
      <w:r w:rsidRPr="00057FCD">
        <w:rPr>
          <w:rFonts w:ascii="Arial" w:hAnsi="Arial" w:cs="Arial"/>
          <w:sz w:val="24"/>
          <w:lang w:val="en-GB"/>
        </w:rPr>
        <w:t>, P., Priyadarshini, A., 2025. Recycling 10, 94.</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Behrooznia</w:t>
      </w:r>
      <w:proofErr w:type="spellEnd"/>
      <w:r w:rsidRPr="00057FCD">
        <w:rPr>
          <w:rFonts w:ascii="Arial" w:hAnsi="Arial" w:cs="Arial"/>
          <w:sz w:val="24"/>
          <w:lang w:val="en-GB"/>
        </w:rPr>
        <w:t xml:space="preserve">, L., Sharifi, M., </w:t>
      </w:r>
      <w:proofErr w:type="spellStart"/>
      <w:r w:rsidRPr="00057FCD">
        <w:rPr>
          <w:rFonts w:ascii="Arial" w:hAnsi="Arial" w:cs="Arial"/>
          <w:sz w:val="24"/>
          <w:lang w:val="en-GB"/>
        </w:rPr>
        <w:t>Hosseinzadeh-Bandbafha</w:t>
      </w:r>
      <w:proofErr w:type="spellEnd"/>
      <w:r w:rsidRPr="00057FCD">
        <w:rPr>
          <w:rFonts w:ascii="Arial" w:hAnsi="Arial" w:cs="Arial"/>
          <w:sz w:val="24"/>
          <w:lang w:val="en-GB"/>
        </w:rPr>
        <w:t>, H., 2020. Journal of Cleaner Production 268, 122217.</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Favoino</w:t>
      </w:r>
      <w:proofErr w:type="spellEnd"/>
      <w:r w:rsidRPr="00057FCD">
        <w:rPr>
          <w:rFonts w:ascii="Arial" w:hAnsi="Arial" w:cs="Arial"/>
          <w:sz w:val="24"/>
          <w:lang w:val="en-GB"/>
        </w:rPr>
        <w:t xml:space="preserve">, E., </w:t>
      </w:r>
      <w:proofErr w:type="spellStart"/>
      <w:r w:rsidRPr="00057FCD">
        <w:rPr>
          <w:rFonts w:ascii="Arial" w:hAnsi="Arial" w:cs="Arial"/>
          <w:sz w:val="24"/>
          <w:lang w:val="en-GB"/>
        </w:rPr>
        <w:t>Giavini</w:t>
      </w:r>
      <w:proofErr w:type="spellEnd"/>
      <w:r w:rsidRPr="00057FCD">
        <w:rPr>
          <w:rFonts w:ascii="Arial" w:hAnsi="Arial" w:cs="Arial"/>
          <w:sz w:val="24"/>
          <w:lang w:val="en-GB"/>
        </w:rPr>
        <w:t>, M., 2024. Bio-waste generation in the EU: Current capture levels and future potential.</w:t>
      </w:r>
    </w:p>
    <w:p w:rsidR="00057FCD" w:rsidRPr="00057FCD" w:rsidRDefault="00057FCD" w:rsidP="003B1183">
      <w:pPr>
        <w:pStyle w:val="Bibliographie"/>
        <w:spacing w:line="480" w:lineRule="auto"/>
        <w:jc w:val="both"/>
        <w:rPr>
          <w:rFonts w:ascii="Arial" w:hAnsi="Arial" w:cs="Arial"/>
          <w:sz w:val="24"/>
        </w:rPr>
      </w:pPr>
      <w:proofErr w:type="spellStart"/>
      <w:r w:rsidRPr="00057FCD">
        <w:rPr>
          <w:rFonts w:ascii="Arial" w:hAnsi="Arial" w:cs="Arial"/>
          <w:sz w:val="24"/>
        </w:rPr>
        <w:t>Gentric</w:t>
      </w:r>
      <w:proofErr w:type="spellEnd"/>
      <w:r w:rsidRPr="00057FCD">
        <w:rPr>
          <w:rFonts w:ascii="Arial" w:hAnsi="Arial" w:cs="Arial"/>
          <w:sz w:val="24"/>
        </w:rPr>
        <w:t>, A., MAHE, C., BELLENOUE, K., 2022. Évaluation de la généralisation du tri à la source des biodéchets.</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Gilbert, J., Siebert, S., 2022. Compost and digestate for a circular </w:t>
      </w:r>
      <w:proofErr w:type="spellStart"/>
      <w:r w:rsidRPr="00057FCD">
        <w:rPr>
          <w:rFonts w:ascii="Arial" w:hAnsi="Arial" w:cs="Arial"/>
          <w:sz w:val="24"/>
          <w:lang w:val="en-GB"/>
        </w:rPr>
        <w:t>bioeconomy</w:t>
      </w:r>
      <w:proofErr w:type="spellEnd"/>
      <w:r w:rsidRPr="00057FCD">
        <w:rPr>
          <w:rFonts w:ascii="Arial" w:hAnsi="Arial" w:cs="Arial"/>
          <w:sz w:val="24"/>
          <w:lang w:val="en-GB"/>
        </w:rPr>
        <w:t xml:space="preserve">. Overview of Bio-Waste collection, </w:t>
      </w:r>
      <w:proofErr w:type="spellStart"/>
      <w:r w:rsidRPr="00057FCD">
        <w:rPr>
          <w:rFonts w:ascii="Arial" w:hAnsi="Arial" w:cs="Arial"/>
          <w:sz w:val="24"/>
          <w:lang w:val="en-GB"/>
        </w:rPr>
        <w:t>treatmet</w:t>
      </w:r>
      <w:proofErr w:type="spellEnd"/>
      <w:r w:rsidRPr="00057FCD">
        <w:rPr>
          <w:rFonts w:ascii="Arial" w:hAnsi="Arial" w:cs="Arial"/>
          <w:sz w:val="24"/>
          <w:lang w:val="en-GB"/>
        </w:rPr>
        <w:t xml:space="preserve"> and markets across Europe.</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Kapoor, R., Ghosh, P., Tyagi, B., Vijay, V.K., Vijay, V., Thakur, I.S., </w:t>
      </w:r>
      <w:proofErr w:type="spellStart"/>
      <w:r w:rsidRPr="00057FCD">
        <w:rPr>
          <w:rFonts w:ascii="Arial" w:hAnsi="Arial" w:cs="Arial"/>
          <w:sz w:val="24"/>
          <w:lang w:val="en-GB"/>
        </w:rPr>
        <w:t>Kamyab</w:t>
      </w:r>
      <w:proofErr w:type="spellEnd"/>
      <w:r w:rsidRPr="00057FCD">
        <w:rPr>
          <w:rFonts w:ascii="Arial" w:hAnsi="Arial" w:cs="Arial"/>
          <w:sz w:val="24"/>
          <w:lang w:val="en-GB"/>
        </w:rPr>
        <w:t>, H., Nguyen, D.D., Kumar, A., 2020. Journal of Cleaner Production 273, 123052.</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Kaza</w:t>
      </w:r>
      <w:proofErr w:type="spellEnd"/>
      <w:r w:rsidRPr="00057FCD">
        <w:rPr>
          <w:rFonts w:ascii="Arial" w:hAnsi="Arial" w:cs="Arial"/>
          <w:sz w:val="24"/>
          <w:lang w:val="en-GB"/>
        </w:rPr>
        <w:t xml:space="preserve">, S., Yao, L.C., </w:t>
      </w:r>
      <w:proofErr w:type="spellStart"/>
      <w:r w:rsidRPr="00057FCD">
        <w:rPr>
          <w:rFonts w:ascii="Arial" w:hAnsi="Arial" w:cs="Arial"/>
          <w:sz w:val="24"/>
          <w:lang w:val="en-GB"/>
        </w:rPr>
        <w:t>Bhada</w:t>
      </w:r>
      <w:proofErr w:type="spellEnd"/>
      <w:r w:rsidRPr="00057FCD">
        <w:rPr>
          <w:rFonts w:ascii="Arial" w:hAnsi="Arial" w:cs="Arial"/>
          <w:sz w:val="24"/>
          <w:lang w:val="en-GB"/>
        </w:rPr>
        <w:t xml:space="preserve">-Tata, P., Van </w:t>
      </w:r>
      <w:proofErr w:type="spellStart"/>
      <w:r w:rsidRPr="00057FCD">
        <w:rPr>
          <w:rFonts w:ascii="Arial" w:hAnsi="Arial" w:cs="Arial"/>
          <w:sz w:val="24"/>
          <w:lang w:val="en-GB"/>
        </w:rPr>
        <w:t>Woerden</w:t>
      </w:r>
      <w:proofErr w:type="spellEnd"/>
      <w:r w:rsidRPr="00057FCD">
        <w:rPr>
          <w:rFonts w:ascii="Arial" w:hAnsi="Arial" w:cs="Arial"/>
          <w:sz w:val="24"/>
          <w:lang w:val="en-GB"/>
        </w:rPr>
        <w:t>, F., 2018. What a Waste 2.0: A Global Snapshot of Solid Waste Management to 2050. Washington, DC: World Bank.</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Lin, Z., </w:t>
      </w:r>
      <w:proofErr w:type="spellStart"/>
      <w:r w:rsidRPr="00057FCD">
        <w:rPr>
          <w:rFonts w:ascii="Arial" w:hAnsi="Arial" w:cs="Arial"/>
          <w:sz w:val="24"/>
          <w:lang w:val="en-GB"/>
        </w:rPr>
        <w:t>Ooi</w:t>
      </w:r>
      <w:proofErr w:type="spellEnd"/>
      <w:r w:rsidRPr="00057FCD">
        <w:rPr>
          <w:rFonts w:ascii="Arial" w:hAnsi="Arial" w:cs="Arial"/>
          <w:sz w:val="24"/>
          <w:lang w:val="en-GB"/>
        </w:rPr>
        <w:t xml:space="preserve">, J.K., </w:t>
      </w:r>
      <w:proofErr w:type="spellStart"/>
      <w:r w:rsidRPr="00057FCD">
        <w:rPr>
          <w:rFonts w:ascii="Arial" w:hAnsi="Arial" w:cs="Arial"/>
          <w:sz w:val="24"/>
          <w:lang w:val="en-GB"/>
        </w:rPr>
        <w:t>Woon</w:t>
      </w:r>
      <w:proofErr w:type="spellEnd"/>
      <w:r w:rsidRPr="00057FCD">
        <w:rPr>
          <w:rFonts w:ascii="Arial" w:hAnsi="Arial" w:cs="Arial"/>
          <w:sz w:val="24"/>
          <w:lang w:val="en-GB"/>
        </w:rPr>
        <w:t>, K.S., 2022. Science of The Total Environment 816, 151541.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Liu, M., </w:t>
      </w:r>
      <w:proofErr w:type="spellStart"/>
      <w:r w:rsidRPr="00057FCD">
        <w:rPr>
          <w:rFonts w:ascii="Arial" w:hAnsi="Arial" w:cs="Arial"/>
          <w:sz w:val="24"/>
          <w:lang w:val="en-GB"/>
        </w:rPr>
        <w:t>Ogunmoroti</w:t>
      </w:r>
      <w:proofErr w:type="spellEnd"/>
      <w:r w:rsidRPr="00057FCD">
        <w:rPr>
          <w:rFonts w:ascii="Arial" w:hAnsi="Arial" w:cs="Arial"/>
          <w:sz w:val="24"/>
          <w:lang w:val="en-GB"/>
        </w:rPr>
        <w:t xml:space="preserve">, A., Liu, Wei, Li, M., Bi, M., Liu, </w:t>
      </w:r>
      <w:proofErr w:type="spellStart"/>
      <w:r w:rsidRPr="00057FCD">
        <w:rPr>
          <w:rFonts w:ascii="Arial" w:hAnsi="Arial" w:cs="Arial"/>
          <w:sz w:val="24"/>
          <w:lang w:val="en-GB"/>
        </w:rPr>
        <w:t>Wenqiu</w:t>
      </w:r>
      <w:proofErr w:type="spellEnd"/>
      <w:r w:rsidRPr="00057FCD">
        <w:rPr>
          <w:rFonts w:ascii="Arial" w:hAnsi="Arial" w:cs="Arial"/>
          <w:sz w:val="24"/>
          <w:lang w:val="en-GB"/>
        </w:rPr>
        <w:t>, Cui, Z., 2022. Science of The Total Environment 807, 150751.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Münster, M., </w:t>
      </w:r>
      <w:proofErr w:type="spellStart"/>
      <w:r w:rsidRPr="00057FCD">
        <w:rPr>
          <w:rFonts w:ascii="Arial" w:hAnsi="Arial" w:cs="Arial"/>
          <w:sz w:val="24"/>
          <w:lang w:val="en-GB"/>
        </w:rPr>
        <w:t>Ravn</w:t>
      </w:r>
      <w:proofErr w:type="spellEnd"/>
      <w:r w:rsidRPr="00057FCD">
        <w:rPr>
          <w:rFonts w:ascii="Arial" w:hAnsi="Arial" w:cs="Arial"/>
          <w:sz w:val="24"/>
          <w:lang w:val="en-GB"/>
        </w:rPr>
        <w:t xml:space="preserve">, H., Hedegaard, K., </w:t>
      </w:r>
      <w:proofErr w:type="spellStart"/>
      <w:r w:rsidRPr="00057FCD">
        <w:rPr>
          <w:rFonts w:ascii="Arial" w:hAnsi="Arial" w:cs="Arial"/>
          <w:sz w:val="24"/>
          <w:lang w:val="en-GB"/>
        </w:rPr>
        <w:t>Juul</w:t>
      </w:r>
      <w:proofErr w:type="spellEnd"/>
      <w:r w:rsidRPr="00057FCD">
        <w:rPr>
          <w:rFonts w:ascii="Arial" w:hAnsi="Arial" w:cs="Arial"/>
          <w:sz w:val="24"/>
          <w:lang w:val="en-GB"/>
        </w:rPr>
        <w:t xml:space="preserve">, N., </w:t>
      </w:r>
      <w:proofErr w:type="spellStart"/>
      <w:r w:rsidRPr="00057FCD">
        <w:rPr>
          <w:rFonts w:ascii="Arial" w:hAnsi="Arial" w:cs="Arial"/>
          <w:sz w:val="24"/>
          <w:lang w:val="en-GB"/>
        </w:rPr>
        <w:t>Ljunggren</w:t>
      </w:r>
      <w:proofErr w:type="spellEnd"/>
      <w:r w:rsidRPr="00057FCD">
        <w:rPr>
          <w:rFonts w:ascii="Arial" w:hAnsi="Arial" w:cs="Arial"/>
          <w:sz w:val="24"/>
          <w:lang w:val="en-GB"/>
        </w:rPr>
        <w:t xml:space="preserve"> </w:t>
      </w:r>
      <w:proofErr w:type="spellStart"/>
      <w:r w:rsidRPr="00057FCD">
        <w:rPr>
          <w:rFonts w:ascii="Arial" w:hAnsi="Arial" w:cs="Arial"/>
          <w:sz w:val="24"/>
          <w:lang w:val="en-GB"/>
        </w:rPr>
        <w:t>Söderman</w:t>
      </w:r>
      <w:proofErr w:type="spellEnd"/>
      <w:r w:rsidRPr="00057FCD">
        <w:rPr>
          <w:rFonts w:ascii="Arial" w:hAnsi="Arial" w:cs="Arial"/>
          <w:sz w:val="24"/>
          <w:lang w:val="en-GB"/>
        </w:rPr>
        <w:t>, M., 2015. Waste Management 38, 486–495.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 xml:space="preserve">Oliveira, L.S.B.L., Oliveira, D.S.B.L., </w:t>
      </w:r>
      <w:proofErr w:type="spellStart"/>
      <w:r w:rsidRPr="00057FCD">
        <w:rPr>
          <w:rFonts w:ascii="Arial" w:hAnsi="Arial" w:cs="Arial"/>
          <w:sz w:val="24"/>
          <w:lang w:val="en-GB"/>
        </w:rPr>
        <w:t>Bezerra</w:t>
      </w:r>
      <w:proofErr w:type="spellEnd"/>
      <w:r w:rsidRPr="00057FCD">
        <w:rPr>
          <w:rFonts w:ascii="Arial" w:hAnsi="Arial" w:cs="Arial"/>
          <w:sz w:val="24"/>
          <w:lang w:val="en-GB"/>
        </w:rPr>
        <w:t xml:space="preserve">, B.S., Silva Pereira, B., </w:t>
      </w:r>
      <w:proofErr w:type="spellStart"/>
      <w:r w:rsidRPr="00057FCD">
        <w:rPr>
          <w:rFonts w:ascii="Arial" w:hAnsi="Arial" w:cs="Arial"/>
          <w:sz w:val="24"/>
          <w:lang w:val="en-GB"/>
        </w:rPr>
        <w:t>Battistelle</w:t>
      </w:r>
      <w:proofErr w:type="spellEnd"/>
      <w:r w:rsidRPr="00057FCD">
        <w:rPr>
          <w:rFonts w:ascii="Arial" w:hAnsi="Arial" w:cs="Arial"/>
          <w:sz w:val="24"/>
          <w:lang w:val="en-GB"/>
        </w:rPr>
        <w:t>, R.A.G., 2017. Journal of Cleaner Production, Sustainable Development of Energy, Water and Environmental Systems 155, 229–237.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rPr>
        <w:t xml:space="preserve">Ravoahangy, N., Majeau-Bettez, G., Schoefs, O., 2026. </w:t>
      </w:r>
      <w:r w:rsidRPr="00057FCD">
        <w:rPr>
          <w:rFonts w:ascii="Arial" w:hAnsi="Arial" w:cs="Arial"/>
          <w:sz w:val="24"/>
          <w:lang w:val="en-GB"/>
        </w:rPr>
        <w:t>Waste Management 212, 115337.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Roberts, K.P., Turner, D.A., </w:t>
      </w:r>
      <w:proofErr w:type="spellStart"/>
      <w:r w:rsidRPr="00057FCD">
        <w:rPr>
          <w:rFonts w:ascii="Arial" w:hAnsi="Arial" w:cs="Arial"/>
          <w:sz w:val="24"/>
          <w:lang w:val="en-GB"/>
        </w:rPr>
        <w:t>Coello</w:t>
      </w:r>
      <w:proofErr w:type="spellEnd"/>
      <w:r w:rsidRPr="00057FCD">
        <w:rPr>
          <w:rFonts w:ascii="Arial" w:hAnsi="Arial" w:cs="Arial"/>
          <w:sz w:val="24"/>
          <w:lang w:val="en-GB"/>
        </w:rPr>
        <w:t xml:space="preserve">, J., </w:t>
      </w:r>
      <w:proofErr w:type="spellStart"/>
      <w:r w:rsidRPr="00057FCD">
        <w:rPr>
          <w:rFonts w:ascii="Arial" w:hAnsi="Arial" w:cs="Arial"/>
          <w:sz w:val="24"/>
          <w:lang w:val="en-GB"/>
        </w:rPr>
        <w:t>Stringfellow</w:t>
      </w:r>
      <w:proofErr w:type="spellEnd"/>
      <w:r w:rsidRPr="00057FCD">
        <w:rPr>
          <w:rFonts w:ascii="Arial" w:hAnsi="Arial" w:cs="Arial"/>
          <w:sz w:val="24"/>
          <w:lang w:val="en-GB"/>
        </w:rPr>
        <w:t xml:space="preserve">, A.M., Bello, I.A., </w:t>
      </w:r>
      <w:proofErr w:type="spellStart"/>
      <w:r w:rsidRPr="00057FCD">
        <w:rPr>
          <w:rFonts w:ascii="Arial" w:hAnsi="Arial" w:cs="Arial"/>
          <w:sz w:val="24"/>
          <w:lang w:val="en-GB"/>
        </w:rPr>
        <w:t>Powrie</w:t>
      </w:r>
      <w:proofErr w:type="spellEnd"/>
      <w:r w:rsidRPr="00057FCD">
        <w:rPr>
          <w:rFonts w:ascii="Arial" w:hAnsi="Arial" w:cs="Arial"/>
          <w:sz w:val="24"/>
          <w:lang w:val="en-GB"/>
        </w:rPr>
        <w:t>, W., Watson, G.V.R., 2018. Journal of Cleaner Production 196, 547–563.</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Sardarmehni</w:t>
      </w:r>
      <w:proofErr w:type="spellEnd"/>
      <w:r w:rsidRPr="00057FCD">
        <w:rPr>
          <w:rFonts w:ascii="Arial" w:hAnsi="Arial" w:cs="Arial"/>
          <w:sz w:val="24"/>
          <w:lang w:val="en-GB"/>
        </w:rPr>
        <w:t xml:space="preserve">, M., </w:t>
      </w:r>
      <w:proofErr w:type="spellStart"/>
      <w:r w:rsidRPr="00057FCD">
        <w:rPr>
          <w:rFonts w:ascii="Arial" w:hAnsi="Arial" w:cs="Arial"/>
          <w:sz w:val="24"/>
          <w:lang w:val="en-GB"/>
        </w:rPr>
        <w:t>Anchieta</w:t>
      </w:r>
      <w:proofErr w:type="spellEnd"/>
      <w:r w:rsidRPr="00057FCD">
        <w:rPr>
          <w:rFonts w:ascii="Arial" w:hAnsi="Arial" w:cs="Arial"/>
          <w:sz w:val="24"/>
          <w:lang w:val="en-GB"/>
        </w:rPr>
        <w:t xml:space="preserve">, P.H.C., </w:t>
      </w:r>
      <w:proofErr w:type="spellStart"/>
      <w:r w:rsidRPr="00057FCD">
        <w:rPr>
          <w:rFonts w:ascii="Arial" w:hAnsi="Arial" w:cs="Arial"/>
          <w:sz w:val="24"/>
          <w:lang w:val="en-GB"/>
        </w:rPr>
        <w:t>Levis</w:t>
      </w:r>
      <w:proofErr w:type="spellEnd"/>
      <w:r w:rsidRPr="00057FCD">
        <w:rPr>
          <w:rFonts w:ascii="Arial" w:hAnsi="Arial" w:cs="Arial"/>
          <w:sz w:val="24"/>
          <w:lang w:val="en-GB"/>
        </w:rPr>
        <w:t>, J.W., 2022. J of Industrial Ecology 26, 748–762.</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Tascione</w:t>
      </w:r>
      <w:proofErr w:type="spellEnd"/>
      <w:r w:rsidRPr="00057FCD">
        <w:rPr>
          <w:rFonts w:ascii="Arial" w:hAnsi="Arial" w:cs="Arial"/>
          <w:sz w:val="24"/>
          <w:lang w:val="en-GB"/>
        </w:rPr>
        <w:t xml:space="preserve">, V., </w:t>
      </w:r>
      <w:proofErr w:type="spellStart"/>
      <w:r w:rsidRPr="00057FCD">
        <w:rPr>
          <w:rFonts w:ascii="Arial" w:hAnsi="Arial" w:cs="Arial"/>
          <w:sz w:val="24"/>
          <w:lang w:val="en-GB"/>
        </w:rPr>
        <w:t>Mosca</w:t>
      </w:r>
      <w:proofErr w:type="spellEnd"/>
      <w:r w:rsidRPr="00057FCD">
        <w:rPr>
          <w:rFonts w:ascii="Arial" w:hAnsi="Arial" w:cs="Arial"/>
          <w:sz w:val="24"/>
          <w:lang w:val="en-GB"/>
        </w:rPr>
        <w:t>, R., Raggi, A., 2016. Journal of Cleaner Production 112, 3086–3096.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UNEP (Ed.), 2024. Beyond an age of waste: turning rubbish into a resource, Global waste management outlook. UNEP, Nairobi.</w:t>
      </w:r>
    </w:p>
    <w:p w:rsidR="00057FCD" w:rsidRPr="00057FCD" w:rsidRDefault="00057FCD" w:rsidP="003B1183">
      <w:pPr>
        <w:pStyle w:val="Bibliographie"/>
        <w:spacing w:line="480" w:lineRule="auto"/>
        <w:jc w:val="both"/>
        <w:rPr>
          <w:rFonts w:ascii="Arial" w:hAnsi="Arial" w:cs="Arial"/>
          <w:sz w:val="24"/>
          <w:lang w:val="en-GB"/>
        </w:rPr>
      </w:pPr>
      <w:proofErr w:type="spellStart"/>
      <w:r w:rsidRPr="00057FCD">
        <w:rPr>
          <w:rFonts w:ascii="Arial" w:hAnsi="Arial" w:cs="Arial"/>
          <w:sz w:val="24"/>
          <w:lang w:val="en-GB"/>
        </w:rPr>
        <w:t>Weidema</w:t>
      </w:r>
      <w:proofErr w:type="spellEnd"/>
      <w:r w:rsidRPr="00057FCD">
        <w:rPr>
          <w:rFonts w:ascii="Arial" w:hAnsi="Arial" w:cs="Arial"/>
          <w:sz w:val="24"/>
          <w:lang w:val="en-GB"/>
        </w:rPr>
        <w:t>, B., 2003. Market information in life cycle assessment.</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Weidner, T., </w:t>
      </w:r>
      <w:proofErr w:type="spellStart"/>
      <w:r w:rsidRPr="00057FCD">
        <w:rPr>
          <w:rFonts w:ascii="Arial" w:hAnsi="Arial" w:cs="Arial"/>
          <w:sz w:val="24"/>
          <w:lang w:val="en-GB"/>
        </w:rPr>
        <w:t>Graça</w:t>
      </w:r>
      <w:proofErr w:type="spellEnd"/>
      <w:r w:rsidRPr="00057FCD">
        <w:rPr>
          <w:rFonts w:ascii="Arial" w:hAnsi="Arial" w:cs="Arial"/>
          <w:sz w:val="24"/>
          <w:lang w:val="en-GB"/>
        </w:rPr>
        <w:t>, J., Machado, T., Yang, A., 2020. Waste Management 118, 552–562.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 xml:space="preserve">Zeller, V., Lavigne, C., </w:t>
      </w:r>
      <w:proofErr w:type="spellStart"/>
      <w:r w:rsidRPr="00057FCD">
        <w:rPr>
          <w:rFonts w:ascii="Arial" w:hAnsi="Arial" w:cs="Arial"/>
          <w:sz w:val="24"/>
          <w:lang w:val="en-GB"/>
        </w:rPr>
        <w:t>D’Ans</w:t>
      </w:r>
      <w:proofErr w:type="spellEnd"/>
      <w:r w:rsidRPr="00057FCD">
        <w:rPr>
          <w:rFonts w:ascii="Arial" w:hAnsi="Arial" w:cs="Arial"/>
          <w:sz w:val="24"/>
          <w:lang w:val="en-GB"/>
        </w:rPr>
        <w:t xml:space="preserve">, P., Towa, E., </w:t>
      </w:r>
      <w:proofErr w:type="spellStart"/>
      <w:r w:rsidRPr="00057FCD">
        <w:rPr>
          <w:rFonts w:ascii="Arial" w:hAnsi="Arial" w:cs="Arial"/>
          <w:sz w:val="24"/>
          <w:lang w:val="en-GB"/>
        </w:rPr>
        <w:t>Achten</w:t>
      </w:r>
      <w:proofErr w:type="spellEnd"/>
      <w:r w:rsidRPr="00057FCD">
        <w:rPr>
          <w:rFonts w:ascii="Arial" w:hAnsi="Arial" w:cs="Arial"/>
          <w:sz w:val="24"/>
          <w:lang w:val="en-GB"/>
        </w:rPr>
        <w:t>, W.M.J., 2020. Science of The Total Environment 745, 140690.</w:t>
      </w:r>
    </w:p>
    <w:p w:rsidR="00057FCD" w:rsidRPr="005016DC" w:rsidRDefault="00057FCD" w:rsidP="003B1183">
      <w:pPr>
        <w:spacing w:line="480" w:lineRule="auto"/>
        <w:jc w:val="both"/>
        <w:rPr>
          <w:rFonts w:ascii="Arial" w:hAnsi="Arial" w:cs="Arial"/>
          <w:sz w:val="24"/>
          <w:szCs w:val="24"/>
          <w:lang w:val="en-GB"/>
        </w:rPr>
      </w:pPr>
      <w:r>
        <w:rPr>
          <w:rFonts w:ascii="Arial" w:hAnsi="Arial" w:cs="Arial"/>
          <w:sz w:val="24"/>
          <w:szCs w:val="24"/>
          <w:lang w:val="en-GB"/>
        </w:rPr>
        <w:fldChar w:fldCharType="end"/>
      </w:r>
    </w:p>
    <w:p w:rsidR="00870C3E" w:rsidRPr="00870C3E" w:rsidRDefault="00870C3E" w:rsidP="003B1183">
      <w:pPr>
        <w:spacing w:line="480" w:lineRule="auto"/>
        <w:jc w:val="both"/>
        <w:rPr>
          <w:rFonts w:ascii="Arial" w:hAnsi="Arial" w:cs="Arial"/>
          <w:sz w:val="24"/>
          <w:szCs w:val="24"/>
          <w:lang w:val="en-GB"/>
        </w:rPr>
      </w:pPr>
    </w:p>
    <w:p w:rsidR="00317F42" w:rsidRPr="00870C3E" w:rsidRDefault="00317F42" w:rsidP="003B1183">
      <w:pPr>
        <w:spacing w:line="480" w:lineRule="auto"/>
        <w:jc w:val="both"/>
        <w:rPr>
          <w:rFonts w:ascii="Arial" w:hAnsi="Arial" w:cs="Arial"/>
          <w:sz w:val="24"/>
          <w:szCs w:val="24"/>
          <w:lang w:val="en-GB"/>
        </w:rPr>
      </w:pPr>
    </w:p>
    <w:sectPr w:rsidR="00317F42" w:rsidRPr="00870C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0217" w:rsidRDefault="00B60217" w:rsidP="00770846">
      <w:pPr>
        <w:spacing w:after="0" w:line="240" w:lineRule="auto"/>
      </w:pPr>
      <w:r>
        <w:separator/>
      </w:r>
    </w:p>
  </w:endnote>
  <w:endnote w:type="continuationSeparator" w:id="0">
    <w:p w:rsidR="00B60217" w:rsidRDefault="00B60217" w:rsidP="00770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0217" w:rsidRDefault="00B60217" w:rsidP="00770846">
      <w:pPr>
        <w:spacing w:after="0" w:line="240" w:lineRule="auto"/>
      </w:pPr>
      <w:r>
        <w:separator/>
      </w:r>
    </w:p>
  </w:footnote>
  <w:footnote w:type="continuationSeparator" w:id="0">
    <w:p w:rsidR="00B60217" w:rsidRDefault="00B60217" w:rsidP="00770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B12B7"/>
    <w:multiLevelType w:val="hybridMultilevel"/>
    <w:tmpl w:val="4BDE1B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AA0C85"/>
    <w:multiLevelType w:val="multilevel"/>
    <w:tmpl w:val="A37663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A72326F"/>
    <w:multiLevelType w:val="hybridMultilevel"/>
    <w:tmpl w:val="F5FC4650"/>
    <w:lvl w:ilvl="0" w:tplc="61E2AD12">
      <w:start w:val="1"/>
      <w:numFmt w:val="decimal"/>
      <w:suff w:val="space"/>
      <w:lvlText w:val="3.2.%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F885229"/>
    <w:multiLevelType w:val="hybridMultilevel"/>
    <w:tmpl w:val="6F22D0FE"/>
    <w:lvl w:ilvl="0" w:tplc="BF385EB8">
      <w:start w:val="1"/>
      <w:numFmt w:val="decimal"/>
      <w:suff w:val="space"/>
      <w:lvlText w:val="2.3.1.%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17E6C39"/>
    <w:multiLevelType w:val="hybridMultilevel"/>
    <w:tmpl w:val="462A2D6E"/>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E02513"/>
    <w:multiLevelType w:val="hybridMultilevel"/>
    <w:tmpl w:val="64686B7E"/>
    <w:lvl w:ilvl="0" w:tplc="3D206FD0">
      <w:start w:val="1"/>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39B814D9"/>
    <w:multiLevelType w:val="hybridMultilevel"/>
    <w:tmpl w:val="03426A56"/>
    <w:lvl w:ilvl="0" w:tplc="1186A5D6">
      <w:start w:val="1"/>
      <w:numFmt w:val="decimal"/>
      <w:suff w:val="space"/>
      <w:lvlText w:val="4.%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F820C2"/>
    <w:multiLevelType w:val="hybridMultilevel"/>
    <w:tmpl w:val="B5F4EE72"/>
    <w:lvl w:ilvl="0" w:tplc="6B8A0140">
      <w:start w:val="1"/>
      <w:numFmt w:val="decimal"/>
      <w:suff w:val="space"/>
      <w:lvlText w:val="3.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8B343DB"/>
    <w:multiLevelType w:val="hybridMultilevel"/>
    <w:tmpl w:val="E486713A"/>
    <w:lvl w:ilvl="0" w:tplc="B082FCB0">
      <w:start w:val="1"/>
      <w:numFmt w:val="decimal"/>
      <w:suff w:val="space"/>
      <w:lvlText w:val="3.2.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B7967A1"/>
    <w:multiLevelType w:val="hybridMultilevel"/>
    <w:tmpl w:val="A14C6998"/>
    <w:lvl w:ilvl="0" w:tplc="F2147682">
      <w:start w:val="1"/>
      <w:numFmt w:val="decimal"/>
      <w:suff w:val="space"/>
      <w:lvlText w:val="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5C15A24"/>
    <w:multiLevelType w:val="hybridMultilevel"/>
    <w:tmpl w:val="4344D410"/>
    <w:lvl w:ilvl="0" w:tplc="6652E866">
      <w:start w:val="1"/>
      <w:numFmt w:val="decimal"/>
      <w:suff w:val="space"/>
      <w:lvlText w:val="2.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6227EC0"/>
    <w:multiLevelType w:val="hybridMultilevel"/>
    <w:tmpl w:val="F7BC67B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88D283B"/>
    <w:multiLevelType w:val="hybridMultilevel"/>
    <w:tmpl w:val="4FE0DCBC"/>
    <w:lvl w:ilvl="0" w:tplc="5120A1A6">
      <w:start w:val="1"/>
      <w:numFmt w:val="decimal"/>
      <w:suff w:val="space"/>
      <w:lvlText w:val="2.1.%1."/>
      <w:lvlJc w:val="left"/>
      <w:pPr>
        <w:ind w:left="794" w:hanging="43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9BA5EF3"/>
    <w:multiLevelType w:val="multilevel"/>
    <w:tmpl w:val="A124749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A4B7B12"/>
    <w:multiLevelType w:val="hybridMultilevel"/>
    <w:tmpl w:val="5B589E8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55D3FF7"/>
    <w:multiLevelType w:val="hybridMultilevel"/>
    <w:tmpl w:val="9B744EBE"/>
    <w:lvl w:ilvl="0" w:tplc="15D4CCB4">
      <w:start w:val="1"/>
      <w:numFmt w:val="decimal"/>
      <w:suff w:val="space"/>
      <w:lvlText w:val="2.%1."/>
      <w:lvlJc w:val="left"/>
      <w:pPr>
        <w:ind w:left="794" w:hanging="434"/>
      </w:pPr>
      <w:rPr>
        <w:rFonts w:hint="default"/>
      </w:rPr>
    </w:lvl>
    <w:lvl w:ilvl="1" w:tplc="040C0019" w:tentative="1">
      <w:start w:val="1"/>
      <w:numFmt w:val="lowerLetter"/>
      <w:lvlText w:val="%2."/>
      <w:lvlJc w:val="left"/>
      <w:pPr>
        <w:ind w:left="1630" w:hanging="360"/>
      </w:pPr>
    </w:lvl>
    <w:lvl w:ilvl="2" w:tplc="040C001B" w:tentative="1">
      <w:start w:val="1"/>
      <w:numFmt w:val="lowerRoman"/>
      <w:lvlText w:val="%3."/>
      <w:lvlJc w:val="right"/>
      <w:pPr>
        <w:ind w:left="2350" w:hanging="180"/>
      </w:pPr>
    </w:lvl>
    <w:lvl w:ilvl="3" w:tplc="040C000F" w:tentative="1">
      <w:start w:val="1"/>
      <w:numFmt w:val="decimal"/>
      <w:lvlText w:val="%4."/>
      <w:lvlJc w:val="left"/>
      <w:pPr>
        <w:ind w:left="3070" w:hanging="360"/>
      </w:pPr>
    </w:lvl>
    <w:lvl w:ilvl="4" w:tplc="040C0019" w:tentative="1">
      <w:start w:val="1"/>
      <w:numFmt w:val="lowerLetter"/>
      <w:lvlText w:val="%5."/>
      <w:lvlJc w:val="left"/>
      <w:pPr>
        <w:ind w:left="3790" w:hanging="360"/>
      </w:pPr>
    </w:lvl>
    <w:lvl w:ilvl="5" w:tplc="040C001B" w:tentative="1">
      <w:start w:val="1"/>
      <w:numFmt w:val="lowerRoman"/>
      <w:lvlText w:val="%6."/>
      <w:lvlJc w:val="right"/>
      <w:pPr>
        <w:ind w:left="4510" w:hanging="180"/>
      </w:pPr>
    </w:lvl>
    <w:lvl w:ilvl="6" w:tplc="040C000F" w:tentative="1">
      <w:start w:val="1"/>
      <w:numFmt w:val="decimal"/>
      <w:lvlText w:val="%7."/>
      <w:lvlJc w:val="left"/>
      <w:pPr>
        <w:ind w:left="5230" w:hanging="360"/>
      </w:pPr>
    </w:lvl>
    <w:lvl w:ilvl="7" w:tplc="040C0019" w:tentative="1">
      <w:start w:val="1"/>
      <w:numFmt w:val="lowerLetter"/>
      <w:lvlText w:val="%8."/>
      <w:lvlJc w:val="left"/>
      <w:pPr>
        <w:ind w:left="5950" w:hanging="360"/>
      </w:pPr>
    </w:lvl>
    <w:lvl w:ilvl="8" w:tplc="040C001B" w:tentative="1">
      <w:start w:val="1"/>
      <w:numFmt w:val="lowerRoman"/>
      <w:lvlText w:val="%9."/>
      <w:lvlJc w:val="right"/>
      <w:pPr>
        <w:ind w:left="6670" w:hanging="180"/>
      </w:pPr>
    </w:lvl>
  </w:abstractNum>
  <w:abstractNum w:abstractNumId="16" w15:restartNumberingAfterBreak="0">
    <w:nsid w:val="79162396"/>
    <w:multiLevelType w:val="hybridMultilevel"/>
    <w:tmpl w:val="8C32C83E"/>
    <w:lvl w:ilvl="0" w:tplc="36A849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E2C27B6"/>
    <w:multiLevelType w:val="hybridMultilevel"/>
    <w:tmpl w:val="5FCA485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11"/>
  </w:num>
  <w:num w:numId="4">
    <w:abstractNumId w:val="4"/>
  </w:num>
  <w:num w:numId="5">
    <w:abstractNumId w:val="5"/>
  </w:num>
  <w:num w:numId="6">
    <w:abstractNumId w:val="1"/>
  </w:num>
  <w:num w:numId="7">
    <w:abstractNumId w:val="15"/>
  </w:num>
  <w:num w:numId="8">
    <w:abstractNumId w:val="12"/>
  </w:num>
  <w:num w:numId="9">
    <w:abstractNumId w:val="17"/>
  </w:num>
  <w:num w:numId="10">
    <w:abstractNumId w:val="0"/>
  </w:num>
  <w:num w:numId="11">
    <w:abstractNumId w:val="10"/>
  </w:num>
  <w:num w:numId="12">
    <w:abstractNumId w:val="3"/>
  </w:num>
  <w:num w:numId="13">
    <w:abstractNumId w:val="14"/>
  </w:num>
  <w:num w:numId="14">
    <w:abstractNumId w:val="9"/>
  </w:num>
  <w:num w:numId="15">
    <w:abstractNumId w:val="2"/>
  </w:num>
  <w:num w:numId="16">
    <w:abstractNumId w:val="8"/>
  </w:num>
  <w:num w:numId="17">
    <w:abstractNumId w:val="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84"/>
    <w:rsid w:val="0003366E"/>
    <w:rsid w:val="00034176"/>
    <w:rsid w:val="00057FCD"/>
    <w:rsid w:val="00061089"/>
    <w:rsid w:val="00063F3A"/>
    <w:rsid w:val="000745C9"/>
    <w:rsid w:val="00084FCA"/>
    <w:rsid w:val="00094613"/>
    <w:rsid w:val="00095364"/>
    <w:rsid w:val="000A1178"/>
    <w:rsid w:val="000A6DCA"/>
    <w:rsid w:val="000B6379"/>
    <w:rsid w:val="000D2432"/>
    <w:rsid w:val="000D36AC"/>
    <w:rsid w:val="000F19AA"/>
    <w:rsid w:val="000F1C38"/>
    <w:rsid w:val="00102341"/>
    <w:rsid w:val="00102D38"/>
    <w:rsid w:val="00111571"/>
    <w:rsid w:val="00113390"/>
    <w:rsid w:val="001254D0"/>
    <w:rsid w:val="00165F1F"/>
    <w:rsid w:val="00185217"/>
    <w:rsid w:val="00193736"/>
    <w:rsid w:val="001E48F5"/>
    <w:rsid w:val="002003F3"/>
    <w:rsid w:val="00204A16"/>
    <w:rsid w:val="00213BFD"/>
    <w:rsid w:val="002178EF"/>
    <w:rsid w:val="00223BA2"/>
    <w:rsid w:val="00226509"/>
    <w:rsid w:val="002475E9"/>
    <w:rsid w:val="00274E88"/>
    <w:rsid w:val="002A44FE"/>
    <w:rsid w:val="002C3193"/>
    <w:rsid w:val="002E0C74"/>
    <w:rsid w:val="002E761E"/>
    <w:rsid w:val="002F1DDF"/>
    <w:rsid w:val="003028F7"/>
    <w:rsid w:val="00317F42"/>
    <w:rsid w:val="00333E66"/>
    <w:rsid w:val="003373E5"/>
    <w:rsid w:val="00347710"/>
    <w:rsid w:val="00363439"/>
    <w:rsid w:val="00394A82"/>
    <w:rsid w:val="003A47FD"/>
    <w:rsid w:val="003B1183"/>
    <w:rsid w:val="003B220C"/>
    <w:rsid w:val="003E220D"/>
    <w:rsid w:val="003E23F7"/>
    <w:rsid w:val="003F3231"/>
    <w:rsid w:val="00403311"/>
    <w:rsid w:val="004058FF"/>
    <w:rsid w:val="004143B2"/>
    <w:rsid w:val="00430524"/>
    <w:rsid w:val="0044691E"/>
    <w:rsid w:val="0046397A"/>
    <w:rsid w:val="00464581"/>
    <w:rsid w:val="0047440F"/>
    <w:rsid w:val="004F1832"/>
    <w:rsid w:val="005016DC"/>
    <w:rsid w:val="00503038"/>
    <w:rsid w:val="00505184"/>
    <w:rsid w:val="00524217"/>
    <w:rsid w:val="00542153"/>
    <w:rsid w:val="005529BE"/>
    <w:rsid w:val="005543A8"/>
    <w:rsid w:val="00556D5A"/>
    <w:rsid w:val="00561190"/>
    <w:rsid w:val="00566920"/>
    <w:rsid w:val="005854A8"/>
    <w:rsid w:val="00594994"/>
    <w:rsid w:val="005963DB"/>
    <w:rsid w:val="005A341B"/>
    <w:rsid w:val="005B5A70"/>
    <w:rsid w:val="005C7119"/>
    <w:rsid w:val="005D13E2"/>
    <w:rsid w:val="00606609"/>
    <w:rsid w:val="00647B51"/>
    <w:rsid w:val="00653F19"/>
    <w:rsid w:val="0065438C"/>
    <w:rsid w:val="006673E9"/>
    <w:rsid w:val="00674A17"/>
    <w:rsid w:val="0067617B"/>
    <w:rsid w:val="00691BC2"/>
    <w:rsid w:val="006C74E2"/>
    <w:rsid w:val="006E0BBF"/>
    <w:rsid w:val="006F7736"/>
    <w:rsid w:val="0077036A"/>
    <w:rsid w:val="00770846"/>
    <w:rsid w:val="00776699"/>
    <w:rsid w:val="00794083"/>
    <w:rsid w:val="007A4718"/>
    <w:rsid w:val="007B7CCA"/>
    <w:rsid w:val="007C178B"/>
    <w:rsid w:val="007C30F9"/>
    <w:rsid w:val="007C4F26"/>
    <w:rsid w:val="007D4809"/>
    <w:rsid w:val="007F5AA1"/>
    <w:rsid w:val="007F7108"/>
    <w:rsid w:val="00801861"/>
    <w:rsid w:val="0080501D"/>
    <w:rsid w:val="00870C3E"/>
    <w:rsid w:val="00891B74"/>
    <w:rsid w:val="008B354C"/>
    <w:rsid w:val="008D33E3"/>
    <w:rsid w:val="008E02AD"/>
    <w:rsid w:val="008F1A7D"/>
    <w:rsid w:val="008F68BA"/>
    <w:rsid w:val="009033E0"/>
    <w:rsid w:val="0094350A"/>
    <w:rsid w:val="00951D75"/>
    <w:rsid w:val="00967564"/>
    <w:rsid w:val="009677CF"/>
    <w:rsid w:val="00972408"/>
    <w:rsid w:val="009850BB"/>
    <w:rsid w:val="009901C7"/>
    <w:rsid w:val="00995AE6"/>
    <w:rsid w:val="009C0E47"/>
    <w:rsid w:val="009D6CA2"/>
    <w:rsid w:val="009F2830"/>
    <w:rsid w:val="00A43041"/>
    <w:rsid w:val="00A52E57"/>
    <w:rsid w:val="00A76616"/>
    <w:rsid w:val="00A8647B"/>
    <w:rsid w:val="00A928AA"/>
    <w:rsid w:val="00AA1920"/>
    <w:rsid w:val="00AA384A"/>
    <w:rsid w:val="00AF57AB"/>
    <w:rsid w:val="00B06F15"/>
    <w:rsid w:val="00B11E27"/>
    <w:rsid w:val="00B32ABF"/>
    <w:rsid w:val="00B3354C"/>
    <w:rsid w:val="00B37594"/>
    <w:rsid w:val="00B5527D"/>
    <w:rsid w:val="00B60217"/>
    <w:rsid w:val="00B624E7"/>
    <w:rsid w:val="00B64E21"/>
    <w:rsid w:val="00BA1229"/>
    <w:rsid w:val="00BB24F6"/>
    <w:rsid w:val="00BB2931"/>
    <w:rsid w:val="00BE48FC"/>
    <w:rsid w:val="00BE7013"/>
    <w:rsid w:val="00BF0371"/>
    <w:rsid w:val="00BF215C"/>
    <w:rsid w:val="00BF41F4"/>
    <w:rsid w:val="00C3114E"/>
    <w:rsid w:val="00C33A3C"/>
    <w:rsid w:val="00C516EE"/>
    <w:rsid w:val="00C57298"/>
    <w:rsid w:val="00C856B0"/>
    <w:rsid w:val="00CA5DC6"/>
    <w:rsid w:val="00CB3D9F"/>
    <w:rsid w:val="00CD268B"/>
    <w:rsid w:val="00CD37EA"/>
    <w:rsid w:val="00CE13BB"/>
    <w:rsid w:val="00CE4261"/>
    <w:rsid w:val="00CE7375"/>
    <w:rsid w:val="00CF3484"/>
    <w:rsid w:val="00CF71B9"/>
    <w:rsid w:val="00D00661"/>
    <w:rsid w:val="00D05715"/>
    <w:rsid w:val="00D20196"/>
    <w:rsid w:val="00D21815"/>
    <w:rsid w:val="00D34E54"/>
    <w:rsid w:val="00D54640"/>
    <w:rsid w:val="00D61EB7"/>
    <w:rsid w:val="00D65DA4"/>
    <w:rsid w:val="00D709B6"/>
    <w:rsid w:val="00D70ED6"/>
    <w:rsid w:val="00D90F29"/>
    <w:rsid w:val="00DB4537"/>
    <w:rsid w:val="00DC31B3"/>
    <w:rsid w:val="00DD6DE0"/>
    <w:rsid w:val="00DE06CE"/>
    <w:rsid w:val="00DF28AF"/>
    <w:rsid w:val="00E166C4"/>
    <w:rsid w:val="00E269D4"/>
    <w:rsid w:val="00E27C6D"/>
    <w:rsid w:val="00E32403"/>
    <w:rsid w:val="00E64A4F"/>
    <w:rsid w:val="00E93315"/>
    <w:rsid w:val="00EA3DD1"/>
    <w:rsid w:val="00EA41CF"/>
    <w:rsid w:val="00EB2E78"/>
    <w:rsid w:val="00ED2B03"/>
    <w:rsid w:val="00ED6ACB"/>
    <w:rsid w:val="00EF2DE0"/>
    <w:rsid w:val="00EF4033"/>
    <w:rsid w:val="00F078A4"/>
    <w:rsid w:val="00F2135E"/>
    <w:rsid w:val="00F2405E"/>
    <w:rsid w:val="00F466A6"/>
    <w:rsid w:val="00F51429"/>
    <w:rsid w:val="00F52C34"/>
    <w:rsid w:val="00F66406"/>
    <w:rsid w:val="00F67E47"/>
    <w:rsid w:val="00F91517"/>
    <w:rsid w:val="00FA72B8"/>
    <w:rsid w:val="00FB27A4"/>
    <w:rsid w:val="00FB5753"/>
    <w:rsid w:val="00FE1844"/>
    <w:rsid w:val="00FE35B6"/>
    <w:rsid w:val="00FE3A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D651"/>
  <w15:chartTrackingRefBased/>
  <w15:docId w15:val="{F27E8A73-3047-48D0-801D-E8022C6B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397A"/>
    <w:pPr>
      <w:spacing w:line="256" w:lineRule="auto"/>
    </w:pPr>
  </w:style>
  <w:style w:type="paragraph" w:styleId="Titre1">
    <w:name w:val="heading 1"/>
    <w:basedOn w:val="Normal"/>
    <w:next w:val="Normal"/>
    <w:link w:val="Titre1Car"/>
    <w:uiPriority w:val="9"/>
    <w:qFormat/>
    <w:rsid w:val="000A6DCA"/>
    <w:pPr>
      <w:keepNext/>
      <w:keepLines/>
      <w:spacing w:before="360" w:after="120"/>
      <w:jc w:val="both"/>
      <w:outlineLvl w:val="0"/>
    </w:pPr>
    <w:rPr>
      <w:rFonts w:ascii="Arial" w:eastAsiaTheme="majorEastAsia" w:hAnsi="Arial" w:cstheme="majorBidi"/>
      <w:sz w:val="24"/>
      <w:szCs w:val="32"/>
    </w:rPr>
  </w:style>
  <w:style w:type="paragraph" w:styleId="Titre2">
    <w:name w:val="heading 2"/>
    <w:basedOn w:val="Normal"/>
    <w:next w:val="Normal"/>
    <w:link w:val="Titre2Car"/>
    <w:uiPriority w:val="9"/>
    <w:unhideWhenUsed/>
    <w:qFormat/>
    <w:rsid w:val="001E48F5"/>
    <w:pPr>
      <w:keepNext/>
      <w:keepLines/>
      <w:spacing w:before="280" w:after="240"/>
      <w:outlineLvl w:val="1"/>
    </w:pPr>
    <w:rPr>
      <w:rFonts w:ascii="Arial" w:eastAsiaTheme="majorEastAsia" w:hAnsi="Arial" w:cstheme="majorBidi"/>
      <w:sz w:val="24"/>
      <w:szCs w:val="26"/>
    </w:rPr>
  </w:style>
  <w:style w:type="paragraph" w:styleId="Titre3">
    <w:name w:val="heading 3"/>
    <w:basedOn w:val="Normal"/>
    <w:next w:val="Normal"/>
    <w:link w:val="Titre3Car"/>
    <w:uiPriority w:val="9"/>
    <w:unhideWhenUsed/>
    <w:qFormat/>
    <w:rsid w:val="001E48F5"/>
    <w:pPr>
      <w:keepNext/>
      <w:keepLines/>
      <w:spacing w:before="280" w:after="240"/>
      <w:outlineLvl w:val="2"/>
    </w:pPr>
    <w:rPr>
      <w:rFonts w:ascii="Arial" w:eastAsiaTheme="majorEastAsia" w:hAnsi="Arial" w:cstheme="majorBidi"/>
      <w:sz w:val="24"/>
      <w:szCs w:val="24"/>
    </w:rPr>
  </w:style>
  <w:style w:type="paragraph" w:styleId="Titre4">
    <w:name w:val="heading 4"/>
    <w:basedOn w:val="Normal"/>
    <w:next w:val="Normal"/>
    <w:link w:val="Titre4Car"/>
    <w:uiPriority w:val="9"/>
    <w:unhideWhenUsed/>
    <w:qFormat/>
    <w:rsid w:val="009677CF"/>
    <w:pPr>
      <w:keepNext/>
      <w:keepLines/>
      <w:spacing w:before="280" w:after="240"/>
      <w:outlineLvl w:val="3"/>
    </w:pPr>
    <w:rPr>
      <w:rFonts w:ascii="Arial" w:eastAsiaTheme="majorEastAsia" w:hAnsi="Arial" w:cstheme="majorBidi"/>
      <w:iCs/>
      <w:sz w:val="24"/>
    </w:rPr>
  </w:style>
  <w:style w:type="paragraph" w:styleId="Titre5">
    <w:name w:val="heading 5"/>
    <w:basedOn w:val="Normal"/>
    <w:next w:val="Normal"/>
    <w:link w:val="Titre5Car"/>
    <w:uiPriority w:val="9"/>
    <w:unhideWhenUsed/>
    <w:qFormat/>
    <w:rsid w:val="00BB2931"/>
    <w:pPr>
      <w:keepNext/>
      <w:keepLines/>
      <w:spacing w:before="240" w:after="240"/>
      <w:outlineLvl w:val="4"/>
    </w:pPr>
    <w:rPr>
      <w:rFonts w:ascii="Arial" w:eastAsiaTheme="majorEastAsia" w:hAnsi="Arial" w:cstheme="majorBidi"/>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7F42"/>
    <w:pPr>
      <w:ind w:left="720"/>
      <w:contextualSpacing/>
    </w:pPr>
  </w:style>
  <w:style w:type="table" w:styleId="Grilledutableau">
    <w:name w:val="Table Grid"/>
    <w:basedOn w:val="TableauNormal"/>
    <w:uiPriority w:val="39"/>
    <w:rsid w:val="00FB27A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B11E27"/>
    <w:rPr>
      <w:color w:val="808080"/>
    </w:rPr>
  </w:style>
  <w:style w:type="paragraph" w:styleId="Bibliographie">
    <w:name w:val="Bibliography"/>
    <w:basedOn w:val="Normal"/>
    <w:next w:val="Normal"/>
    <w:uiPriority w:val="37"/>
    <w:unhideWhenUsed/>
    <w:rsid w:val="00057FCD"/>
    <w:pPr>
      <w:spacing w:after="0" w:line="240" w:lineRule="auto"/>
      <w:ind w:left="720" w:hanging="720"/>
    </w:pPr>
  </w:style>
  <w:style w:type="paragraph" w:styleId="Lgende">
    <w:name w:val="caption"/>
    <w:basedOn w:val="Normal"/>
    <w:next w:val="Normal"/>
    <w:uiPriority w:val="35"/>
    <w:unhideWhenUsed/>
    <w:qFormat/>
    <w:rsid w:val="003A47FD"/>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0A6DCA"/>
    <w:rPr>
      <w:rFonts w:ascii="Arial" w:eastAsiaTheme="majorEastAsia" w:hAnsi="Arial" w:cstheme="majorBidi"/>
      <w:sz w:val="24"/>
      <w:szCs w:val="32"/>
    </w:rPr>
  </w:style>
  <w:style w:type="character" w:customStyle="1" w:styleId="Titre2Car">
    <w:name w:val="Titre 2 Car"/>
    <w:basedOn w:val="Policepardfaut"/>
    <w:link w:val="Titre2"/>
    <w:uiPriority w:val="9"/>
    <w:rsid w:val="001E48F5"/>
    <w:rPr>
      <w:rFonts w:ascii="Arial" w:eastAsiaTheme="majorEastAsia" w:hAnsi="Arial" w:cstheme="majorBidi"/>
      <w:sz w:val="24"/>
      <w:szCs w:val="26"/>
    </w:rPr>
  </w:style>
  <w:style w:type="character" w:customStyle="1" w:styleId="Titre3Car">
    <w:name w:val="Titre 3 Car"/>
    <w:basedOn w:val="Policepardfaut"/>
    <w:link w:val="Titre3"/>
    <w:uiPriority w:val="9"/>
    <w:rsid w:val="001E48F5"/>
    <w:rPr>
      <w:rFonts w:ascii="Arial" w:eastAsiaTheme="majorEastAsia" w:hAnsi="Arial" w:cstheme="majorBidi"/>
      <w:sz w:val="24"/>
      <w:szCs w:val="24"/>
    </w:rPr>
  </w:style>
  <w:style w:type="paragraph" w:styleId="En-tte">
    <w:name w:val="header"/>
    <w:basedOn w:val="Normal"/>
    <w:link w:val="En-tteCar"/>
    <w:uiPriority w:val="99"/>
    <w:unhideWhenUsed/>
    <w:rsid w:val="00770846"/>
    <w:pPr>
      <w:tabs>
        <w:tab w:val="center" w:pos="4536"/>
        <w:tab w:val="right" w:pos="9072"/>
      </w:tabs>
      <w:spacing w:after="0" w:line="240" w:lineRule="auto"/>
    </w:pPr>
  </w:style>
  <w:style w:type="character" w:customStyle="1" w:styleId="En-tteCar">
    <w:name w:val="En-tête Car"/>
    <w:basedOn w:val="Policepardfaut"/>
    <w:link w:val="En-tte"/>
    <w:uiPriority w:val="99"/>
    <w:rsid w:val="00770846"/>
  </w:style>
  <w:style w:type="paragraph" w:styleId="Pieddepage">
    <w:name w:val="footer"/>
    <w:basedOn w:val="Normal"/>
    <w:link w:val="PieddepageCar"/>
    <w:uiPriority w:val="99"/>
    <w:unhideWhenUsed/>
    <w:rsid w:val="007708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0846"/>
  </w:style>
  <w:style w:type="character" w:customStyle="1" w:styleId="Titre4Car">
    <w:name w:val="Titre 4 Car"/>
    <w:basedOn w:val="Policepardfaut"/>
    <w:link w:val="Titre4"/>
    <w:uiPriority w:val="9"/>
    <w:rsid w:val="009677CF"/>
    <w:rPr>
      <w:rFonts w:ascii="Arial" w:eastAsiaTheme="majorEastAsia" w:hAnsi="Arial" w:cstheme="majorBidi"/>
      <w:iCs/>
      <w:sz w:val="24"/>
    </w:rPr>
  </w:style>
  <w:style w:type="character" w:customStyle="1" w:styleId="Titre5Car">
    <w:name w:val="Titre 5 Car"/>
    <w:basedOn w:val="Policepardfaut"/>
    <w:link w:val="Titre5"/>
    <w:uiPriority w:val="9"/>
    <w:rsid w:val="00BB2931"/>
    <w:rPr>
      <w:rFonts w:ascii="Arial" w:eastAsiaTheme="majorEastAsia" w:hAnsi="Arial"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64455">
      <w:bodyDiv w:val="1"/>
      <w:marLeft w:val="0"/>
      <w:marRight w:val="0"/>
      <w:marTop w:val="0"/>
      <w:marBottom w:val="0"/>
      <w:divBdr>
        <w:top w:val="none" w:sz="0" w:space="0" w:color="auto"/>
        <w:left w:val="none" w:sz="0" w:space="0" w:color="auto"/>
        <w:bottom w:val="none" w:sz="0" w:space="0" w:color="auto"/>
        <w:right w:val="none" w:sz="0" w:space="0" w:color="auto"/>
      </w:divBdr>
    </w:div>
    <w:div w:id="951979799">
      <w:bodyDiv w:val="1"/>
      <w:marLeft w:val="0"/>
      <w:marRight w:val="0"/>
      <w:marTop w:val="0"/>
      <w:marBottom w:val="0"/>
      <w:divBdr>
        <w:top w:val="none" w:sz="0" w:space="0" w:color="auto"/>
        <w:left w:val="none" w:sz="0" w:space="0" w:color="auto"/>
        <w:bottom w:val="none" w:sz="0" w:space="0" w:color="auto"/>
        <w:right w:val="none" w:sz="0" w:space="0" w:color="auto"/>
      </w:divBdr>
    </w:div>
    <w:div w:id="1003317698">
      <w:bodyDiv w:val="1"/>
      <w:marLeft w:val="0"/>
      <w:marRight w:val="0"/>
      <w:marTop w:val="0"/>
      <w:marBottom w:val="0"/>
      <w:divBdr>
        <w:top w:val="none" w:sz="0" w:space="0" w:color="auto"/>
        <w:left w:val="none" w:sz="0" w:space="0" w:color="auto"/>
        <w:bottom w:val="none" w:sz="0" w:space="0" w:color="auto"/>
        <w:right w:val="none" w:sz="0" w:space="0" w:color="auto"/>
      </w:divBdr>
    </w:div>
    <w:div w:id="1075783424">
      <w:bodyDiv w:val="1"/>
      <w:marLeft w:val="0"/>
      <w:marRight w:val="0"/>
      <w:marTop w:val="0"/>
      <w:marBottom w:val="0"/>
      <w:divBdr>
        <w:top w:val="none" w:sz="0" w:space="0" w:color="auto"/>
        <w:left w:val="none" w:sz="0" w:space="0" w:color="auto"/>
        <w:bottom w:val="none" w:sz="0" w:space="0" w:color="auto"/>
        <w:right w:val="none" w:sz="0" w:space="0" w:color="auto"/>
      </w:divBdr>
    </w:div>
    <w:div w:id="1175608838">
      <w:bodyDiv w:val="1"/>
      <w:marLeft w:val="0"/>
      <w:marRight w:val="0"/>
      <w:marTop w:val="0"/>
      <w:marBottom w:val="0"/>
      <w:divBdr>
        <w:top w:val="none" w:sz="0" w:space="0" w:color="auto"/>
        <w:left w:val="none" w:sz="0" w:space="0" w:color="auto"/>
        <w:bottom w:val="none" w:sz="0" w:space="0" w:color="auto"/>
        <w:right w:val="none" w:sz="0" w:space="0" w:color="auto"/>
      </w:divBdr>
    </w:div>
    <w:div w:id="1315720460">
      <w:bodyDiv w:val="1"/>
      <w:marLeft w:val="0"/>
      <w:marRight w:val="0"/>
      <w:marTop w:val="0"/>
      <w:marBottom w:val="0"/>
      <w:divBdr>
        <w:top w:val="none" w:sz="0" w:space="0" w:color="auto"/>
        <w:left w:val="none" w:sz="0" w:space="0" w:color="auto"/>
        <w:bottom w:val="none" w:sz="0" w:space="0" w:color="auto"/>
        <w:right w:val="none" w:sz="0" w:space="0" w:color="auto"/>
      </w:divBdr>
    </w:div>
    <w:div w:id="1393577496">
      <w:bodyDiv w:val="1"/>
      <w:marLeft w:val="0"/>
      <w:marRight w:val="0"/>
      <w:marTop w:val="0"/>
      <w:marBottom w:val="0"/>
      <w:divBdr>
        <w:top w:val="none" w:sz="0" w:space="0" w:color="auto"/>
        <w:left w:val="none" w:sz="0" w:space="0" w:color="auto"/>
        <w:bottom w:val="none" w:sz="0" w:space="0" w:color="auto"/>
        <w:right w:val="none" w:sz="0" w:space="0" w:color="auto"/>
      </w:divBdr>
    </w:div>
    <w:div w:id="1634479985">
      <w:bodyDiv w:val="1"/>
      <w:marLeft w:val="0"/>
      <w:marRight w:val="0"/>
      <w:marTop w:val="0"/>
      <w:marBottom w:val="0"/>
      <w:divBdr>
        <w:top w:val="none" w:sz="0" w:space="0" w:color="auto"/>
        <w:left w:val="none" w:sz="0" w:space="0" w:color="auto"/>
        <w:bottom w:val="none" w:sz="0" w:space="0" w:color="auto"/>
        <w:right w:val="none" w:sz="0" w:space="0" w:color="auto"/>
      </w:divBdr>
    </w:div>
    <w:div w:id="1642688222">
      <w:bodyDiv w:val="1"/>
      <w:marLeft w:val="0"/>
      <w:marRight w:val="0"/>
      <w:marTop w:val="0"/>
      <w:marBottom w:val="0"/>
      <w:divBdr>
        <w:top w:val="none" w:sz="0" w:space="0" w:color="auto"/>
        <w:left w:val="none" w:sz="0" w:space="0" w:color="auto"/>
        <w:bottom w:val="none" w:sz="0" w:space="0" w:color="auto"/>
        <w:right w:val="none" w:sz="0" w:space="0" w:color="auto"/>
      </w:divBdr>
    </w:div>
    <w:div w:id="185429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B8CE6-C10D-457A-A2F0-69ED161F1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23654</TotalTime>
  <Pages>31</Pages>
  <Words>12952</Words>
  <Characters>71237</Characters>
  <Application>Microsoft Office Word</Application>
  <DocSecurity>0</DocSecurity>
  <Lines>593</Lines>
  <Paragraphs>168</Paragraphs>
  <ScaleCrop>false</ScaleCrop>
  <HeadingPairs>
    <vt:vector size="2" baseType="variant">
      <vt:variant>
        <vt:lpstr>Titre</vt:lpstr>
      </vt:variant>
      <vt:variant>
        <vt:i4>1</vt:i4>
      </vt:variant>
    </vt:vector>
  </HeadingPairs>
  <TitlesOfParts>
    <vt:vector size="1" baseType="lpstr">
      <vt:lpstr/>
    </vt:vector>
  </TitlesOfParts>
  <Company>UTC</Company>
  <LinksUpToDate>false</LinksUpToDate>
  <CharactersWithSpaces>84021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Nomena Ravoahangy</dc:creator>
  <cp:keywords/>
  <dc:description/>
  <cp:lastModifiedBy>Nomena Ravoahangy</cp:lastModifiedBy>
  <cp:revision>7</cp:revision>
  <dcterms:created xsi:type="dcterms:W3CDTF">2026-03-30T08:15:00Z</dcterms:created>
  <dcterms:modified xsi:type="dcterms:W3CDTF">2026-05-03T22:48:00Z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id="7no7Zrr0"/&gt;&lt;style id="http://www.zotero.org/styles/elsevier-harvard-without-titles" hasBibliography="1" bibliographyStyleHasBeenSet="1"/&gt;&lt;prefs&gt;&lt;pref name="fieldType" value="Field"/&gt;&lt;/prefs&gt;&lt;/dat</vt:lpwstr>
  </property>
  <property fmtid="{D5CDD505-2E9C-101B-9397-08002B2CF9AE}" pid="3" name="ZOTERO_PREF_2">
    <vt:lpwstr>a&gt;</vt:lpwstr>
  </property>
  <property fmtid="{D5CDD505-2E9C-101B-9397-08002B2CF9AE}" pid="4" name="_DocHome">
    <vt:i4>1962083430</vt:i4>
  </property>
</Properties>
</file>