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501820"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501820"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501820"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501820"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501820"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501820"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501820"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501820"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501820"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501820"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01820"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501820"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501820"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01820"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501820"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501820"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01820"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501820"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lastRenderedPageBreak/>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501820"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501820"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501820"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1" w:name="_Hlk167810694"/>
          <w:bookmarkEnd w:id="0"/>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1"/>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2"/>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3"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4"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4"/>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501820"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5"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6"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6"/>
          </w:p>
          <w:p w:rsidR="00693E25" w:rsidRPr="0083020B" w:rsidRDefault="00501820"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501820"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7"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8"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8"/>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9"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0"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10"/>
          </w:p>
          <w:p w:rsidR="00693E25" w:rsidRPr="006C09C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1"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2"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2"/>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3"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4"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4"/>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lastRenderedPageBreak/>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5"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5"/>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6"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6"/>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7"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8"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8"/>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9"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0"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20"/>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501820"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501820"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1"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1"/>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2"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2"/>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lastRenderedPageBreak/>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501820"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24,x/H2O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501820"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501820"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501820"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501820"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lastRenderedPageBreak/>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501820"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lastRenderedPageBreak/>
              <w:t>31</w:t>
            </w:r>
          </w:p>
        </w:tc>
        <w:tc>
          <w:tcPr>
            <w:tcW w:w="8060" w:type="dxa"/>
          </w:tcPr>
          <w:p w:rsidR="00693E25" w:rsidRDefault="00693E25" w:rsidP="00735D6E">
            <w:proofErr w:type="spellStart"/>
            <w:r>
              <w:t>Growth</w:t>
            </w:r>
            <w:proofErr w:type="spellEnd"/>
            <w:r>
              <w:t xml:space="preserve"> of MF on LG</w:t>
            </w:r>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501820"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01820"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501820"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501820"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501820"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lastRenderedPageBreak/>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501820"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01820"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501820"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501820"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lastRenderedPageBreak/>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501820"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501820"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501820"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501820"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lastRenderedPageBreak/>
              <w:t>37</w:t>
            </w:r>
          </w:p>
        </w:tc>
        <w:tc>
          <w:tcPr>
            <w:tcW w:w="8060" w:type="dxa"/>
          </w:tcPr>
          <w:p w:rsidR="00693E25" w:rsidRDefault="00693E25" w:rsidP="00735D6E">
            <w:proofErr w:type="spellStart"/>
            <w:r>
              <w:t>Death</w:t>
            </w:r>
            <w:proofErr w:type="spellEnd"/>
            <w:r>
              <w:t xml:space="preserve"> of MB </w:t>
            </w:r>
          </w:p>
          <w:p w:rsidR="00693E25" w:rsidRDefault="00501820"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501820"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501820" w:rsidP="00735D6E">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501820"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693E25" w:rsidP="00735D6E">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lastRenderedPageBreak/>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6956E6" w:rsidRDefault="00501820" w:rsidP="00735D6E">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5670" w:type="dxa"/>
            <w:vMerge w:val="restart"/>
          </w:tcPr>
          <w:p w:rsidR="00693E25" w:rsidRPr="002E7AB9" w:rsidRDefault="00501820"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501820"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501820"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501820"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501820"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501820"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NH4</m:t>
                            </m:r>
                          </m:den>
                        </m:f>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O2</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501820"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H2O</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501820"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501820"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501820"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501820"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501820"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lastRenderedPageBreak/>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501820"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501820"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501820"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501820"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501820"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Pr="00A25C86" w:rsidRDefault="00501820" w:rsidP="00ED317A">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 xml:space="preserve">3, </m:t>
                  </m:r>
                  <m:r>
                    <w:rPr>
                      <w:rFonts w:ascii="Cambria Math" w:hAnsi="Cambria Math"/>
                    </w:rPr>
                    <m:t>gas</m:t>
                  </m:r>
                </m:sub>
              </m:sSub>
              <m:r>
                <w:rPr>
                  <w:rFonts w:ascii="Cambria Math" w:hAnsi="Cambria Math"/>
                </w:rPr>
                <m:t> </m:t>
              </m:r>
            </m:oMath>
            <w:r w:rsidR="00A25C86" w:rsidRPr="00A25C86">
              <w:rPr>
                <w:rFonts w:eastAsiaTheme="minorEastAsia"/>
              </w:rPr>
              <w:t>: Equilibre de l</w:t>
            </w:r>
            <w:r w:rsidR="00A25C86">
              <w:rPr>
                <w:rFonts w:eastAsiaTheme="minorEastAsia"/>
              </w:rPr>
              <w:t>’ammoniac dissout avec la phase gazeuse</w:t>
            </w:r>
          </w:p>
          <w:p w:rsidR="00A25C86" w:rsidRDefault="00A25C86" w:rsidP="00ED317A">
            <w:pPr>
              <w:rPr>
                <w:rFonts w:eastAsiaTheme="minorEastAsia"/>
              </w:rPr>
            </w:pPr>
            <m:oMath>
              <m:sSub>
                <m:sSubPr>
                  <m:ctrlPr>
                    <w:rPr>
                      <w:rFonts w:ascii="Cambria Math" w:hAnsi="Cambria Math"/>
                      <w:i/>
                    </w:rPr>
                  </m:ctrlPr>
                </m:sSubPr>
                <m:e>
                  <m:r>
                    <w:rPr>
                      <w:rFonts w:ascii="Cambria Math" w:hAnsi="Cambria Math"/>
                    </w:rPr>
                    <m:t>NH</m:t>
                  </m:r>
                </m:e>
                <m:sub>
                  <m:r>
                    <w:rPr>
                      <w:rFonts w:ascii="Cambria Math" w:hAnsi="Cambria Math"/>
                    </w:rPr>
                    <m:t xml:space="preserve">3, </m:t>
                  </m:r>
                  <m:r>
                    <w:rPr>
                      <w:rFonts w:ascii="Cambria Math" w:hAnsi="Cambria Math"/>
                    </w:rPr>
                    <m:t>gas</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 xml:space="preserve">3, </m:t>
                  </m:r>
                  <m:r>
                    <w:rPr>
                      <w:rFonts w:ascii="Cambria Math" w:hAnsi="Cambria Math"/>
                    </w:rPr>
                    <m:t>emitted</m:t>
                  </m:r>
                </m:sub>
              </m:sSub>
              <m:r>
                <w:rPr>
                  <w:rFonts w:ascii="Cambria Math" w:hAnsi="Cambria Math"/>
                </w:rPr>
                <m:t> </m:t>
              </m:r>
            </m:oMath>
            <w:r>
              <w:rPr>
                <w:rFonts w:eastAsiaTheme="minorEastAsia"/>
              </w:rPr>
              <w:t xml:space="preserve">: Volatilisation de l’ammoniac </w:t>
            </w:r>
          </w:p>
          <w:p w:rsidR="00A25C86" w:rsidRPr="00A25C86" w:rsidRDefault="00A25C86" w:rsidP="00ED317A"/>
        </w:tc>
        <w:tc>
          <w:tcPr>
            <w:tcW w:w="5670" w:type="dxa"/>
            <w:vMerge w:val="restart"/>
          </w:tcPr>
          <w:p w:rsidR="0098439C" w:rsidRPr="00A25C86" w:rsidRDefault="00A25C86"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(loi de Henry)</m:t>
                </m:r>
              </m:oMath>
            </m:oMathPara>
          </w:p>
          <w:p w:rsidR="00A25C86" w:rsidRPr="00A25C86" w:rsidRDefault="00A25C86"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gas</m:t>
                        </m:r>
                      </m:sub>
                    </m:sSub>
                  </m:num>
                  <m:den>
                    <m:r>
                      <w:rPr>
                        <w:rFonts w:ascii="Cambria Math" w:eastAsiaTheme="minorEastAsia" w:hAnsi="Cambria Math"/>
                        <w:color w:val="000000" w:themeColor="text1"/>
                      </w:rPr>
                      <m:t>RT</m:t>
                    </m:r>
                  </m:den>
                </m:f>
              </m:oMath>
            </m:oMathPara>
          </w:p>
          <w:p w:rsidR="00B34B99" w:rsidRPr="008B5BA1" w:rsidRDefault="00501820"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B34B99" w:rsidRPr="00E640F5" w:rsidRDefault="00501820"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 xml:space="preserve">3, </m:t>
                        </m:r>
                        <m:r>
                          <w:rPr>
                            <w:rFonts w:ascii="Cambria Math" w:hAnsi="Cambria Math"/>
                          </w:rPr>
                          <m:t>gas</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A25C86" w:rsidRDefault="00501820"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 xml:space="preserve">3, </m:t>
                        </m:r>
                        <m:r>
                          <w:rPr>
                            <w:rFonts w:ascii="Cambria Math" w:hAnsi="Cambria Math"/>
                          </w:rPr>
                          <m:t>emitted</m:t>
                        </m:r>
                      </m:sub>
                    </m:sSub>
                    <m:r>
                      <w:rPr>
                        <w:rFonts w:ascii="Cambria Math" w:hAnsi="Cambria Math"/>
                      </w:rPr>
                      <m:t> </m:t>
                    </m:r>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501820"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501820"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501820"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501820"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501820"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501820"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501820"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lastRenderedPageBreak/>
              <w:t xml:space="preserve">Emission of </w:t>
            </w:r>
            <w:proofErr w:type="spellStart"/>
            <w:r>
              <w:rPr>
                <w:rFonts w:eastAsiaTheme="minorEastAsia"/>
                <w:sz w:val="20"/>
              </w:rPr>
              <w:t>methane</w:t>
            </w:r>
            <w:proofErr w:type="spellEnd"/>
          </w:p>
          <w:p w:rsidR="00B34B99" w:rsidRPr="001C6209" w:rsidRDefault="00501820"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501820"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501820"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501820"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501820"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501820"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501820"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501820"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501820"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501820"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501820"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501820"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501820"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501820"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501820"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501820"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501820"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501820"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501820"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501820"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501820"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(Vlyssides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501820"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501820" w:rsidP="004F74BF">
      <w:hyperlink r:id="rId11" w:history="1">
        <w:r w:rsidR="004F74BF" w:rsidRPr="00A619DD">
          <w:rPr>
            <w:rStyle w:val="Lienhypertexte"/>
          </w:rPr>
          <w:t>https://www.frontiersin.org/articles/10.3389/fenvs.2022.907562/full</w:t>
        </w:r>
      </w:hyperlink>
    </w:p>
    <w:p w:rsidR="004F74BF" w:rsidRDefault="00501820"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501820" w:rsidP="004F74BF">
      <w:hyperlink r:id="rId13" w:anchor="b0040" w:history="1">
        <w:r w:rsidR="004F74BF" w:rsidRPr="00A619DD">
          <w:rPr>
            <w:rStyle w:val="Lienhypertexte"/>
          </w:rPr>
          <w:t>https://www.sciencedirect.com/science/article/pii/S1385894715005495#b0040</w:t>
        </w:r>
      </w:hyperlink>
    </w:p>
    <w:p w:rsidR="004F74BF" w:rsidRDefault="00501820" w:rsidP="004F74BF">
      <w:hyperlink r:id="rId14" w:history="1">
        <w:r w:rsidR="004F74BF" w:rsidRPr="00A619DD">
          <w:rPr>
            <w:rStyle w:val="Lienhypertexte"/>
          </w:rPr>
          <w:t>https://www.afvalzorg.nl/content/uploads/2018/03/Comparison-of-Methane-emission-models-to-Methane-emission-measurements.pdf</w:t>
        </w:r>
      </w:hyperlink>
    </w:p>
    <w:p w:rsidR="004F74BF" w:rsidRDefault="00501820" w:rsidP="004F74BF">
      <w:hyperlink r:id="rId15" w:anchor="bib23" w:history="1">
        <w:r w:rsidR="004F74BF" w:rsidRPr="00A619DD">
          <w:rPr>
            <w:rStyle w:val="Lienhypertexte"/>
          </w:rPr>
          <w:t>https://www.sciencedirect.com/science/article/pii/S0956053X05003107#bib23</w:t>
        </w:r>
      </w:hyperlink>
    </w:p>
    <w:p w:rsidR="004F74BF" w:rsidRDefault="00501820" w:rsidP="004F74BF">
      <w:hyperlink r:id="rId16" w:history="1">
        <w:r w:rsidR="004F74BF" w:rsidRPr="00A619DD">
          <w:rPr>
            <w:rStyle w:val="Lienhypertexte"/>
          </w:rPr>
          <w:t>https://www.tandfonline.com/doi/full/10.1080/00207233.2021.1987060?needAccess=true</w:t>
        </w:r>
      </w:hyperlink>
    </w:p>
    <w:p w:rsidR="004F74BF" w:rsidRDefault="00501820" w:rsidP="004F74BF">
      <w:hyperlink r:id="rId17" w:history="1">
        <w:r w:rsidR="004F74BF" w:rsidRPr="00A619DD">
          <w:rPr>
            <w:rStyle w:val="Lienhypertexte"/>
          </w:rPr>
          <w:t>https://pubs.acs.org/doi/full/10.1021/acs.est.6b00415</w:t>
        </w:r>
      </w:hyperlink>
    </w:p>
    <w:p w:rsidR="004F74BF" w:rsidRDefault="00501820" w:rsidP="004F74BF">
      <w:hyperlink r:id="rId18" w:history="1">
        <w:r w:rsidR="004F74BF" w:rsidRPr="00A619DD">
          <w:rPr>
            <w:rStyle w:val="Lienhypertexte"/>
          </w:rPr>
          <w:t>https://digitalcommons.usu.edu/cgi/viewcontent.cgi?article=1047&amp;context=extension_histall</w:t>
        </w:r>
      </w:hyperlink>
    </w:p>
    <w:p w:rsidR="004F74BF" w:rsidRDefault="00501820"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lastRenderedPageBreak/>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3"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3"/>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B4F27" w:rsidRDefault="00501820"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B4F27" w:rsidRDefault="004B4F27" w:rsidP="004F74BF">
      <w:pPr>
        <w:rPr>
          <w:rFonts w:eastAsiaTheme="minorEastAsia"/>
          <w:lang w:val="en-GB"/>
        </w:rPr>
      </w:pPr>
      <m:oMath>
        <m:r>
          <w:rPr>
            <w:rFonts w:ascii="Cambria Math" w:eastAsiaTheme="minorEastAsia" w:hAnsi="Cambria Math"/>
            <w:lang w:val="en-GB"/>
          </w:rPr>
          <m:t>H:</m:t>
        </m:r>
      </m:oMath>
      <w:r>
        <w:rPr>
          <w:rFonts w:eastAsiaTheme="minorEastAsia"/>
          <w:lang w:val="en-GB"/>
        </w:rPr>
        <w:t xml:space="preserve"> Henry constant </w:t>
      </w:r>
      <w:r w:rsidR="00D61F99">
        <w:rPr>
          <w:rFonts w:eastAsiaTheme="minorEastAsia"/>
          <w:lang w:val="en-GB"/>
        </w:rPr>
        <w:t xml:space="preserve">for oxygen </w:t>
      </w:r>
      <w:r>
        <w:rPr>
          <w:rFonts w:eastAsiaTheme="minorEastAsia"/>
          <w:lang w:val="en-GB"/>
        </w:rPr>
        <w:t>(mol.m-</w:t>
      </w:r>
      <w:proofErr w:type="gramStart"/>
      <w:r>
        <w:rPr>
          <w:rFonts w:eastAsiaTheme="minorEastAsia"/>
          <w:lang w:val="en-GB"/>
        </w:rPr>
        <w:t>3.Pa</w:t>
      </w:r>
      <w:proofErr w:type="gramEnd"/>
      <w:r>
        <w:rPr>
          <w:rFonts w:eastAsiaTheme="minorEastAsia"/>
          <w:lang w:val="en-GB"/>
        </w:rPr>
        <w:t>-1)</w:t>
      </w:r>
    </w:p>
    <w:p w:rsidR="004B4F27" w:rsidRPr="004422DD" w:rsidRDefault="00501820"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w:r w:rsidR="004B4F27">
        <w:rPr>
          <w:rFonts w:eastAsiaTheme="minorEastAsia"/>
          <w:lang w:val="en-GB"/>
        </w:rPr>
        <w:t>: Pa</w:t>
      </w:r>
    </w:p>
    <w:p w:rsidR="004422DD" w:rsidRPr="00EB4910" w:rsidRDefault="00501820"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501820"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:molar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943334" w:rsidRDefault="00501820"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EB4910" w:rsidRPr="008963C1" w:rsidRDefault="00501820"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2</m:t>
                  </m:r>
                </m:sub>
              </m:sSub>
            </m:sub>
          </m:sSub>
        </m:oMath>
      </m:oMathPara>
    </w:p>
    <w:p w:rsidR="008963C1" w:rsidRPr="008963C1" w:rsidRDefault="00501820"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0.21.</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501820"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0.79.</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501820"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Qair</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den>
          </m:f>
          <m:r>
            <w:rPr>
              <w:rFonts w:ascii="Cambria Math" w:eastAsiaTheme="minorEastAsia" w:hAnsi="Cambria Math"/>
              <w:lang w:val="en-GB"/>
            </w:rPr>
            <m:t>.t</m:t>
          </m:r>
        </m:oMath>
      </m:oMathPara>
    </w:p>
    <w:p w:rsidR="008963C1" w:rsidRDefault="008963C1" w:rsidP="004F74BF">
      <w:pPr>
        <w:rPr>
          <w:rFonts w:eastAsiaTheme="minorEastAsia"/>
          <w:lang w:val="en-GB"/>
        </w:rPr>
      </w:pPr>
      <m:oMath>
        <m:r>
          <w:rPr>
            <w:rFonts w:ascii="Cambria Math" w:eastAsiaTheme="minorEastAsia" w:hAnsi="Cambria Math"/>
            <w:lang w:val="en-GB"/>
          </w:rPr>
          <w:lastRenderedPageBreak/>
          <m:t>Qair:</m:t>
        </m:r>
      </m:oMath>
      <w:r>
        <w:rPr>
          <w:rFonts w:eastAsiaTheme="minorEastAsia"/>
          <w:lang w:val="en-GB"/>
        </w:rPr>
        <w:t xml:space="preserve"> kg.h-1</w:t>
      </w:r>
    </w:p>
    <w:p w:rsidR="008963C1" w:rsidRPr="008963C1" w:rsidRDefault="00501820"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oMath>
      <w:r w:rsidR="008963C1">
        <w:rPr>
          <w:rFonts w:eastAsiaTheme="minorEastAsia"/>
          <w:lang w:val="en-GB"/>
        </w:rPr>
        <w:t>: kg.dm-3</w:t>
      </w:r>
    </w:p>
    <w:p w:rsidR="008963C1" w:rsidRPr="00943334" w:rsidRDefault="00501820"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.t</m:t>
          </m:r>
        </m:oMath>
      </m:oMathPara>
    </w:p>
    <w:p w:rsidR="008963C1" w:rsidRPr="00943334" w:rsidRDefault="008963C1" w:rsidP="004F74BF">
      <w:pPr>
        <w:rPr>
          <w:rFonts w:eastAsiaTheme="minorEastAsia"/>
          <w:highlight w:val="yellow"/>
          <w:lang w:val="en-GB"/>
        </w:rPr>
      </w:pPr>
      <w:r w:rsidRPr="00943334">
        <w:rPr>
          <w:rFonts w:eastAsiaTheme="minorEastAsia"/>
          <w:highlight w:val="yellow"/>
          <w:lang w:val="en-GB"/>
        </w:rPr>
        <w:t>and</w:t>
      </w:r>
    </w:p>
    <w:p w:rsidR="00AF07E2" w:rsidRPr="00943334" w:rsidRDefault="00501820"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x</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oMath>
      </m:oMathPara>
    </w:p>
    <w:p w:rsidR="00911E2B" w:rsidRPr="00943334" w:rsidRDefault="00501820"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8963C1" w:rsidRDefault="00501820"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A</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911E2B" w:rsidRDefault="008963C1" w:rsidP="004F74BF">
      <w:pPr>
        <w:rPr>
          <w:rFonts w:eastAsiaTheme="minorEastAsia"/>
          <w:lang w:val="en-GB"/>
        </w:rPr>
      </w:pPr>
    </w:p>
    <w:p w:rsidR="00AB3FEF" w:rsidRDefault="00AB3FEF" w:rsidP="004F74BF">
      <w:pPr>
        <w:rPr>
          <w:rFonts w:eastAsiaTheme="minorEastAsia"/>
          <w:lang w:val="en-GB"/>
        </w:rPr>
      </w:pPr>
      <w:r>
        <w:rPr>
          <w:rFonts w:eastAsiaTheme="minorEastAsia"/>
          <w:lang w:val="en-GB"/>
        </w:rPr>
        <w:t>Finally:</w:t>
      </w:r>
    </w:p>
    <w:p w:rsidR="00943334" w:rsidRDefault="00501820"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501820"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501820"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DC64EA" w:rsidRDefault="00DC64E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DC64EA" w:rsidRDefault="00DC64E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DC64EA" w:rsidRDefault="00DC64E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DC64EA" w:rsidRDefault="00DC64E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DC64EA" w:rsidRDefault="00501820">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DC64EA" w:rsidRDefault="00501820">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501820"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501820"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501820"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w:lastRenderedPageBreak/>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501820"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501820"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501820"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501820"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t>The heat generated by biological activities:</w:t>
      </w:r>
    </w:p>
    <w:p w:rsidR="00042B6D" w:rsidRPr="000F1BBE" w:rsidRDefault="00501820"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501820">
        <w:rPr>
          <w:rFonts w:eastAsiaTheme="minorEastAsia"/>
        </w:rPr>
        <w:t xml:space="preserve"> </w:t>
      </w:r>
      <w:r w:rsidR="00042B6D">
        <w:rPr>
          <w:rFonts w:eastAsiaTheme="minorEastAsia"/>
          <w:lang w:val="en-GB"/>
        </w:rPr>
        <w:fldChar w:fldCharType="begin"/>
      </w:r>
      <w:r w:rsidR="00042B6D" w:rsidRPr="00501820">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(de Guardia et al., 2012)</w:t>
      </w:r>
      <w:r w:rsidR="00042B6D">
        <w:rPr>
          <w:rFonts w:eastAsiaTheme="minorEastAsia"/>
          <w:lang w:val="en-GB"/>
        </w:rPr>
        <w:fldChar w:fldCharType="end"/>
      </w:r>
    </w:p>
    <w:p w:rsidR="00042B6D" w:rsidRDefault="00501820"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501820"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501820"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501820"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501820"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501820"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501820"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501820"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501820"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AD49FB" w:rsidRDefault="00501820"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AD49FB" w:rsidRPr="00AD49FB" w:rsidRDefault="00501820" w:rsidP="00042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m:oMathPara>
    </w:p>
    <w:p w:rsidR="00AD49FB" w:rsidRPr="00AD49FB" w:rsidRDefault="00501820" w:rsidP="00AD49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m:t>
              </m:r>
            </m:sub>
          </m:sSub>
        </m:oMath>
      </m:oMathPara>
    </w:p>
    <w:p w:rsidR="007F7A41" w:rsidRDefault="00AD49FB" w:rsidP="00AD49FB">
      <w:pPr>
        <w:rPr>
          <w:rFonts w:eastAsiaTheme="minorEastAsia"/>
          <w:lang w:val="en-GB"/>
        </w:rPr>
      </w:pPr>
      <m:oMath>
        <m:r>
          <w:rPr>
            <w:rFonts w:ascii="Cambria Math" w:eastAsiaTheme="minorEastAsia" w:hAnsi="Cambria Math"/>
          </w:rPr>
          <m:t>Ca</m:t>
        </m:r>
        <m:r>
          <w:rPr>
            <w:rFonts w:ascii="Cambria Math" w:eastAsiaTheme="minorEastAsia" w:hAnsi="Cambria Math"/>
            <w:lang w:val="en-GB"/>
          </w:rPr>
          <m:t xml:space="preserve">: </m:t>
        </m:r>
      </m:oMath>
      <w:r w:rsidRPr="00AD49FB">
        <w:rPr>
          <w:rFonts w:eastAsiaTheme="minorEastAsia"/>
          <w:lang w:val="en-GB"/>
        </w:rPr>
        <w:t>Specific heat of d</w:t>
      </w:r>
      <w:r>
        <w:rPr>
          <w:rFonts w:eastAsiaTheme="minorEastAsia"/>
          <w:lang w:val="en-GB"/>
        </w:rPr>
        <w:t>ry air (</w:t>
      </w:r>
      <w:r w:rsidRPr="00AD49FB">
        <w:rPr>
          <w:rFonts w:eastAsiaTheme="minorEastAsia"/>
          <w:lang w:val="en-GB"/>
        </w:rPr>
        <w:t>kJ.K-1.kg-1</w:t>
      </w:r>
      <w:r>
        <w:rPr>
          <w:rFonts w:eastAsiaTheme="minorEastAsia"/>
          <w:lang w:val="en-GB"/>
        </w:rPr>
        <w:t>)</w:t>
      </w:r>
    </w:p>
    <w:p w:rsidR="00CA05BB" w:rsidRPr="00CA05BB" w:rsidRDefault="00CA05BB" w:rsidP="00AD49FB">
      <w:pPr>
        <w:rPr>
          <w:rFonts w:eastAsiaTheme="minorEastAsia"/>
        </w:rPr>
      </w:pPr>
      <w:r w:rsidRPr="00CA05BB">
        <w:rPr>
          <w:rFonts w:eastAsiaTheme="minorEastAsia"/>
        </w:rPr>
        <w:t xml:space="preserve">Enthalpie </w:t>
      </w:r>
      <w:r w:rsidR="002023CB">
        <w:rPr>
          <w:rFonts w:eastAsiaTheme="minorEastAsia"/>
        </w:rPr>
        <w:t xml:space="preserve">de l’air humide </w:t>
      </w:r>
      <w:r w:rsidRPr="00CA05BB">
        <w:rPr>
          <w:rFonts w:eastAsiaTheme="minorEastAsia"/>
        </w:rPr>
        <w:t>f</w:t>
      </w:r>
      <w:r>
        <w:rPr>
          <w:rFonts w:eastAsiaTheme="minorEastAsia"/>
        </w:rPr>
        <w:t>o</w:t>
      </w:r>
      <w:r w:rsidRPr="00CA05BB">
        <w:rPr>
          <w:rFonts w:eastAsiaTheme="minorEastAsia"/>
        </w:rPr>
        <w:t>nction de la T</w:t>
      </w:r>
      <w:r>
        <w:rPr>
          <w:rFonts w:eastAsiaTheme="minorEastAsia"/>
        </w:rPr>
        <w:t xml:space="preserve"> et de l’W</w:t>
      </w:r>
    </w:p>
    <w:p w:rsidR="00AD49FB" w:rsidRPr="00AD49FB" w:rsidRDefault="00501820" w:rsidP="00042B6D">
      <w:pPr>
        <w:rPr>
          <w:rFonts w:eastAsiaTheme="minorEastAsia"/>
          <w:lang w:val="en-GB"/>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r>
          <w:rPr>
            <w:rFonts w:ascii="Cambria Math" w:eastAsiaTheme="minorEastAsia" w:hAnsi="Cambria Math"/>
            <w:lang w:val="en-GB"/>
          </w:rPr>
          <m:t xml:space="preserve">: </m:t>
        </m:r>
      </m:oMath>
      <w:r w:rsidR="007F7A41" w:rsidRPr="007F7A41">
        <w:rPr>
          <w:rFonts w:eastAsiaTheme="minorEastAsia"/>
          <w:lang w:val="en-GB"/>
        </w:rPr>
        <w:t>Air flow (k</w:t>
      </w:r>
      <w:r w:rsidR="007F7A41">
        <w:rPr>
          <w:rFonts w:eastAsiaTheme="minorEastAsia"/>
          <w:lang w:val="en-GB"/>
        </w:rPr>
        <w:t>g.h-1)</w:t>
      </w:r>
    </w:p>
    <w:p w:rsidR="00DC64EA" w:rsidRPr="00AD49FB" w:rsidRDefault="00DC64EA" w:rsidP="00042B6D">
      <w:pPr>
        <w:rPr>
          <w:rFonts w:eastAsiaTheme="minorEastAsia"/>
          <w:lang w:val="en-GB"/>
        </w:rPr>
      </w:pPr>
    </w:p>
    <w:p w:rsidR="00042B6D" w:rsidRPr="002563D9" w:rsidRDefault="00501820"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2563D9" w:rsidRPr="00A82435" w:rsidRDefault="002563D9" w:rsidP="00042B6D">
      <w:pPr>
        <w:rPr>
          <w:rFonts w:ascii="Calibri" w:eastAsia="Calibri" w:hAnsi="Calibri" w:cs="Times New Roman"/>
          <w:sz w:val="20"/>
          <w:lang w:val="en-GB"/>
        </w:rPr>
      </w:pPr>
    </w:p>
    <w:p w:rsidR="00042B6D" w:rsidRDefault="002563D9" w:rsidP="004F74BF">
      <w:pPr>
        <w:rPr>
          <w:rFonts w:eastAsiaTheme="minorEastAsia"/>
          <w:lang w:val="en-GB"/>
        </w:rPr>
      </w:pPr>
      <m:oMath>
        <m:r>
          <w:rPr>
            <w:rFonts w:ascii="Cambria Math" w:eastAsia="Calibri" w:hAnsi="Cambria Math" w:cs="Times New Roman"/>
            <w:sz w:val="20"/>
            <w:lang w:val="en-GB"/>
          </w:rPr>
          <m:t xml:space="preserve">Cp: </m:t>
        </m:r>
      </m:oMath>
      <w:r>
        <w:rPr>
          <w:rFonts w:eastAsiaTheme="minorEastAsia"/>
          <w:sz w:val="20"/>
          <w:lang w:val="en-GB"/>
        </w:rPr>
        <w:t xml:space="preserve">specific heat of biowaste </w:t>
      </w:r>
      <w:r>
        <w:rPr>
          <w:rFonts w:eastAsiaTheme="minorEastAsia"/>
          <w:lang w:val="en-GB"/>
        </w:rPr>
        <w:t>(</w:t>
      </w:r>
      <w:r w:rsidRPr="00AD49FB">
        <w:rPr>
          <w:rFonts w:eastAsiaTheme="minorEastAsia"/>
          <w:lang w:val="en-GB"/>
        </w:rPr>
        <w:t>kJ.K-1.kg-1</w:t>
      </w:r>
      <w:r>
        <w:rPr>
          <w:rFonts w:eastAsiaTheme="minorEastAsia"/>
          <w:lang w:val="en-GB"/>
        </w:rPr>
        <w:t>)</w:t>
      </w:r>
    </w:p>
    <w:p w:rsidR="00501820" w:rsidRDefault="00501820" w:rsidP="004F74BF">
      <w:pPr>
        <w:rPr>
          <w:rFonts w:eastAsiaTheme="minorEastAsia"/>
          <w:lang w:val="en-GB"/>
        </w:rPr>
      </w:pPr>
    </w:p>
    <w:p w:rsidR="00501820" w:rsidRDefault="00501820" w:rsidP="004F74BF">
      <w:pPr>
        <w:rPr>
          <w:rFonts w:eastAsiaTheme="minorEastAsia"/>
          <w:lang w:val="en-GB"/>
        </w:rPr>
      </w:pPr>
      <w:hyperlink r:id="rId21" w:history="1">
        <w:r w:rsidRPr="00A832BE">
          <w:rPr>
            <w:rStyle w:val="Lienhypertexte"/>
            <w:rFonts w:eastAsiaTheme="minorEastAsia"/>
            <w:lang w:val="en-GB"/>
          </w:rPr>
          <w:t>https://doi.org/10.3390/en162</w:t>
        </w:r>
        <w:r w:rsidRPr="00A832BE">
          <w:rPr>
            <w:rStyle w:val="Lienhypertexte"/>
            <w:rFonts w:eastAsiaTheme="minorEastAsia"/>
            <w:lang w:val="en-GB"/>
          </w:rPr>
          <w:t>1</w:t>
        </w:r>
        <w:r w:rsidRPr="00A832BE">
          <w:rPr>
            <w:rStyle w:val="Lienhypertexte"/>
            <w:rFonts w:eastAsiaTheme="minorEastAsia"/>
            <w:lang w:val="en-GB"/>
          </w:rPr>
          <w:t>7271</w:t>
        </w:r>
      </w:hyperlink>
      <w:r>
        <w:rPr>
          <w:rFonts w:eastAsiaTheme="minorEastAsia"/>
          <w:lang w:val="en-GB"/>
        </w:rPr>
        <w:t xml:space="preserve"> : emissions for composting but unity per OM</w:t>
      </w:r>
    </w:p>
    <w:bookmarkStart w:id="24" w:name="_GoBack"/>
    <w:p w:rsidR="0051615B" w:rsidRDefault="0051615B" w:rsidP="004F74BF">
      <w:pPr>
        <w:rPr>
          <w:rFonts w:eastAsiaTheme="minorEastAsia"/>
          <w:lang w:val="en-GB"/>
        </w:rPr>
      </w:pPr>
      <w:r>
        <w:rPr>
          <w:rFonts w:eastAsiaTheme="minorEastAsia"/>
          <w:lang w:val="en-GB"/>
        </w:rPr>
        <w:fldChar w:fldCharType="begin"/>
      </w:r>
      <w:r w:rsidRPr="00B94291">
        <w:rPr>
          <w:rFonts w:eastAsiaTheme="minorEastAsia"/>
          <w:lang w:val="en-GB"/>
        </w:rPr>
        <w:instrText xml:space="preserve"> HYPERLINK "https://www.sciencedirect.com/science/article/pii/S0048969700004393#TBLFN2" </w:instrText>
      </w:r>
      <w:r>
        <w:rPr>
          <w:rFonts w:eastAsiaTheme="minorEastAsia"/>
          <w:lang w:val="en-GB"/>
        </w:rPr>
        <w:fldChar w:fldCharType="separate"/>
      </w:r>
      <w:r w:rsidRPr="00B94291">
        <w:rPr>
          <w:rStyle w:val="Lienhypertexte"/>
          <w:rFonts w:eastAsiaTheme="minorEastAsia"/>
          <w:lang w:val="en-GB"/>
        </w:rPr>
        <w:t>https://www.sciencedirect.com/science/article/pii/S0048969700004</w:t>
      </w:r>
      <w:r w:rsidRPr="00B94291">
        <w:rPr>
          <w:rStyle w:val="Lienhypertexte"/>
          <w:rFonts w:eastAsiaTheme="minorEastAsia"/>
          <w:lang w:val="en-GB"/>
        </w:rPr>
        <w:t>3</w:t>
      </w:r>
      <w:r w:rsidRPr="00B94291">
        <w:rPr>
          <w:rStyle w:val="Lienhypertexte"/>
          <w:rFonts w:eastAsiaTheme="minorEastAsia"/>
          <w:lang w:val="en-GB"/>
        </w:rPr>
        <w:t>93#TBLFN2</w:t>
      </w:r>
      <w:r>
        <w:rPr>
          <w:rFonts w:eastAsiaTheme="minorEastAsia"/>
          <w:lang w:val="en-GB"/>
        </w:rPr>
        <w:fldChar w:fldCharType="end"/>
      </w:r>
      <w:bookmarkEnd w:id="24"/>
      <w:r w:rsidRPr="00B94291">
        <w:rPr>
          <w:rFonts w:eastAsiaTheme="minorEastAsia"/>
          <w:lang w:val="en-GB"/>
        </w:rPr>
        <w:t xml:space="preserve"> :CH4 et N2O emissions </w:t>
      </w:r>
      <w:r w:rsidR="00B94291" w:rsidRPr="00B94291">
        <w:rPr>
          <w:rFonts w:eastAsiaTheme="minorEastAsia"/>
          <w:lang w:val="en-GB"/>
        </w:rPr>
        <w:t>of f</w:t>
      </w:r>
      <w:r w:rsidR="00B94291">
        <w:rPr>
          <w:rFonts w:eastAsiaTheme="minorEastAsia"/>
          <w:lang w:val="en-GB"/>
        </w:rPr>
        <w:t>ood waste</w:t>
      </w:r>
    </w:p>
    <w:p w:rsidR="00B94291" w:rsidRPr="00B94291" w:rsidRDefault="00B94291" w:rsidP="004F74BF">
      <w:pPr>
        <w:rPr>
          <w:rFonts w:eastAsiaTheme="minorEastAsia"/>
          <w:lang w:val="en-GB"/>
        </w:rPr>
      </w:pPr>
      <w:hyperlink r:id="rId22" w:history="1">
        <w:r w:rsidRPr="007D0993">
          <w:rPr>
            <w:rStyle w:val="Lienhypertexte"/>
            <w:rFonts w:eastAsiaTheme="minorEastAsia"/>
            <w:lang w:val="en-GB"/>
          </w:rPr>
          <w:t>https://www.sciencedirect.com/science/article/pii/S0048</w:t>
        </w:r>
        <w:r w:rsidRPr="007D0993">
          <w:rPr>
            <w:rStyle w:val="Lienhypertexte"/>
            <w:rFonts w:eastAsiaTheme="minorEastAsia"/>
            <w:lang w:val="en-GB"/>
          </w:rPr>
          <w:t>9</w:t>
        </w:r>
        <w:r w:rsidRPr="007D0993">
          <w:rPr>
            <w:rStyle w:val="Lienhypertexte"/>
            <w:rFonts w:eastAsiaTheme="minorEastAsia"/>
            <w:lang w:val="en-GB"/>
          </w:rPr>
          <w:t>69718348757</w:t>
        </w:r>
      </w:hyperlink>
      <w:r>
        <w:rPr>
          <w:rFonts w:eastAsiaTheme="minorEastAsia"/>
          <w:lang w:val="en-GB"/>
        </w:rPr>
        <w:t xml:space="preserve"> </w:t>
      </w:r>
    </w:p>
    <w:sectPr w:rsidR="00B94291" w:rsidRPr="00B94291"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0D9" w:rsidRDefault="00D850D9" w:rsidP="004332B1">
      <w:pPr>
        <w:spacing w:after="0" w:line="240" w:lineRule="auto"/>
      </w:pPr>
      <w:r>
        <w:separator/>
      </w:r>
    </w:p>
  </w:endnote>
  <w:endnote w:type="continuationSeparator" w:id="0">
    <w:p w:rsidR="00D850D9" w:rsidRDefault="00D850D9"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0D9" w:rsidRDefault="00D850D9" w:rsidP="004332B1">
      <w:pPr>
        <w:spacing w:after="0" w:line="240" w:lineRule="auto"/>
      </w:pPr>
      <w:r>
        <w:separator/>
      </w:r>
    </w:p>
  </w:footnote>
  <w:footnote w:type="continuationSeparator" w:id="0">
    <w:p w:rsidR="00D850D9" w:rsidRDefault="00D850D9"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137E2"/>
    <w:rsid w:val="00024082"/>
    <w:rsid w:val="00027300"/>
    <w:rsid w:val="000327C8"/>
    <w:rsid w:val="0003366E"/>
    <w:rsid w:val="00042B6D"/>
    <w:rsid w:val="00050054"/>
    <w:rsid w:val="0006388E"/>
    <w:rsid w:val="00081342"/>
    <w:rsid w:val="000830DD"/>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0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023CB"/>
    <w:rsid w:val="00210F90"/>
    <w:rsid w:val="00213BB9"/>
    <w:rsid w:val="00216C22"/>
    <w:rsid w:val="00225ACB"/>
    <w:rsid w:val="00225B54"/>
    <w:rsid w:val="00233569"/>
    <w:rsid w:val="00236FF4"/>
    <w:rsid w:val="00240F43"/>
    <w:rsid w:val="002452BE"/>
    <w:rsid w:val="0024633D"/>
    <w:rsid w:val="00251AFF"/>
    <w:rsid w:val="00253FDE"/>
    <w:rsid w:val="002563D9"/>
    <w:rsid w:val="00256426"/>
    <w:rsid w:val="00262098"/>
    <w:rsid w:val="00263B0B"/>
    <w:rsid w:val="002657B7"/>
    <w:rsid w:val="002728F3"/>
    <w:rsid w:val="00282A15"/>
    <w:rsid w:val="00282BF0"/>
    <w:rsid w:val="00285CCA"/>
    <w:rsid w:val="002A1016"/>
    <w:rsid w:val="002B38B5"/>
    <w:rsid w:val="002B42A3"/>
    <w:rsid w:val="002B580D"/>
    <w:rsid w:val="002C024D"/>
    <w:rsid w:val="002C6B54"/>
    <w:rsid w:val="003329EE"/>
    <w:rsid w:val="00340607"/>
    <w:rsid w:val="0034122F"/>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4F27"/>
    <w:rsid w:val="004B5F0E"/>
    <w:rsid w:val="004C420F"/>
    <w:rsid w:val="004C6461"/>
    <w:rsid w:val="004E2339"/>
    <w:rsid w:val="004E33C0"/>
    <w:rsid w:val="004E4613"/>
    <w:rsid w:val="004F5591"/>
    <w:rsid w:val="004F63DA"/>
    <w:rsid w:val="004F7192"/>
    <w:rsid w:val="004F74BF"/>
    <w:rsid w:val="00501820"/>
    <w:rsid w:val="00514274"/>
    <w:rsid w:val="00515D8D"/>
    <w:rsid w:val="005160C0"/>
    <w:rsid w:val="0051615B"/>
    <w:rsid w:val="00517063"/>
    <w:rsid w:val="00520233"/>
    <w:rsid w:val="005408AE"/>
    <w:rsid w:val="005437B4"/>
    <w:rsid w:val="00544395"/>
    <w:rsid w:val="00547D18"/>
    <w:rsid w:val="005514BC"/>
    <w:rsid w:val="00556A5A"/>
    <w:rsid w:val="00561D3D"/>
    <w:rsid w:val="00564154"/>
    <w:rsid w:val="00576BC6"/>
    <w:rsid w:val="0057749A"/>
    <w:rsid w:val="005838AD"/>
    <w:rsid w:val="00585B1C"/>
    <w:rsid w:val="005867CD"/>
    <w:rsid w:val="005956AF"/>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14BA"/>
    <w:rsid w:val="006D4DF2"/>
    <w:rsid w:val="006D4FCB"/>
    <w:rsid w:val="006E242B"/>
    <w:rsid w:val="006E63D7"/>
    <w:rsid w:val="007021F1"/>
    <w:rsid w:val="00735D6E"/>
    <w:rsid w:val="00747943"/>
    <w:rsid w:val="00772B97"/>
    <w:rsid w:val="00773CB5"/>
    <w:rsid w:val="007778D3"/>
    <w:rsid w:val="0079091C"/>
    <w:rsid w:val="007927A0"/>
    <w:rsid w:val="007A004E"/>
    <w:rsid w:val="007A26F1"/>
    <w:rsid w:val="007B366F"/>
    <w:rsid w:val="007C191A"/>
    <w:rsid w:val="007C30F9"/>
    <w:rsid w:val="007C4286"/>
    <w:rsid w:val="007E045A"/>
    <w:rsid w:val="007E2028"/>
    <w:rsid w:val="007E53C4"/>
    <w:rsid w:val="007E7A40"/>
    <w:rsid w:val="007F7576"/>
    <w:rsid w:val="007F7A41"/>
    <w:rsid w:val="00802DC2"/>
    <w:rsid w:val="00821FA7"/>
    <w:rsid w:val="0082558C"/>
    <w:rsid w:val="00825CA7"/>
    <w:rsid w:val="00826436"/>
    <w:rsid w:val="00826A3A"/>
    <w:rsid w:val="00826A64"/>
    <w:rsid w:val="0083020B"/>
    <w:rsid w:val="0083639A"/>
    <w:rsid w:val="00842801"/>
    <w:rsid w:val="0084467F"/>
    <w:rsid w:val="00845EE2"/>
    <w:rsid w:val="00847C56"/>
    <w:rsid w:val="0085224F"/>
    <w:rsid w:val="008618F4"/>
    <w:rsid w:val="008732A2"/>
    <w:rsid w:val="00882F24"/>
    <w:rsid w:val="0088663C"/>
    <w:rsid w:val="008963C1"/>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43334"/>
    <w:rsid w:val="00966DA1"/>
    <w:rsid w:val="00971048"/>
    <w:rsid w:val="00975CD4"/>
    <w:rsid w:val="009777E6"/>
    <w:rsid w:val="0098174C"/>
    <w:rsid w:val="0098439C"/>
    <w:rsid w:val="00985562"/>
    <w:rsid w:val="009B1361"/>
    <w:rsid w:val="009B68BE"/>
    <w:rsid w:val="009C1C0F"/>
    <w:rsid w:val="009C66A0"/>
    <w:rsid w:val="009C6D11"/>
    <w:rsid w:val="009E076F"/>
    <w:rsid w:val="009F4243"/>
    <w:rsid w:val="00A0134A"/>
    <w:rsid w:val="00A03153"/>
    <w:rsid w:val="00A0346F"/>
    <w:rsid w:val="00A225E4"/>
    <w:rsid w:val="00A22910"/>
    <w:rsid w:val="00A25C86"/>
    <w:rsid w:val="00A30D15"/>
    <w:rsid w:val="00A35EBA"/>
    <w:rsid w:val="00A372EA"/>
    <w:rsid w:val="00A37BD8"/>
    <w:rsid w:val="00A413D7"/>
    <w:rsid w:val="00A524C3"/>
    <w:rsid w:val="00A8075C"/>
    <w:rsid w:val="00A82435"/>
    <w:rsid w:val="00A864FE"/>
    <w:rsid w:val="00A972F0"/>
    <w:rsid w:val="00AA1EA2"/>
    <w:rsid w:val="00AB0ADC"/>
    <w:rsid w:val="00AB23A0"/>
    <w:rsid w:val="00AB3FEF"/>
    <w:rsid w:val="00AC3C5F"/>
    <w:rsid w:val="00AD48BD"/>
    <w:rsid w:val="00AD49FB"/>
    <w:rsid w:val="00AD6532"/>
    <w:rsid w:val="00AF07E2"/>
    <w:rsid w:val="00B14264"/>
    <w:rsid w:val="00B25435"/>
    <w:rsid w:val="00B27873"/>
    <w:rsid w:val="00B34B99"/>
    <w:rsid w:val="00B35AAD"/>
    <w:rsid w:val="00B40A76"/>
    <w:rsid w:val="00B46798"/>
    <w:rsid w:val="00B5574D"/>
    <w:rsid w:val="00B55D11"/>
    <w:rsid w:val="00B77BCC"/>
    <w:rsid w:val="00B94291"/>
    <w:rsid w:val="00BA062A"/>
    <w:rsid w:val="00BA0BAD"/>
    <w:rsid w:val="00BB5F7C"/>
    <w:rsid w:val="00BC575C"/>
    <w:rsid w:val="00BD411A"/>
    <w:rsid w:val="00BE2C81"/>
    <w:rsid w:val="00BE315D"/>
    <w:rsid w:val="00BE53CC"/>
    <w:rsid w:val="00BE562A"/>
    <w:rsid w:val="00BE7CA3"/>
    <w:rsid w:val="00BF00E7"/>
    <w:rsid w:val="00BF1B0E"/>
    <w:rsid w:val="00BF2AF5"/>
    <w:rsid w:val="00BF603E"/>
    <w:rsid w:val="00C062AC"/>
    <w:rsid w:val="00C1039A"/>
    <w:rsid w:val="00C10566"/>
    <w:rsid w:val="00C15D3B"/>
    <w:rsid w:val="00C32ADE"/>
    <w:rsid w:val="00C3719A"/>
    <w:rsid w:val="00C479E3"/>
    <w:rsid w:val="00C67C5F"/>
    <w:rsid w:val="00C707CE"/>
    <w:rsid w:val="00CA05BB"/>
    <w:rsid w:val="00CA20AF"/>
    <w:rsid w:val="00CA7C17"/>
    <w:rsid w:val="00CB6D20"/>
    <w:rsid w:val="00CC4E61"/>
    <w:rsid w:val="00CD0907"/>
    <w:rsid w:val="00CD0F3C"/>
    <w:rsid w:val="00CD15DB"/>
    <w:rsid w:val="00CE02B2"/>
    <w:rsid w:val="00CF2937"/>
    <w:rsid w:val="00CF3DD2"/>
    <w:rsid w:val="00CF7832"/>
    <w:rsid w:val="00D05C8B"/>
    <w:rsid w:val="00D07615"/>
    <w:rsid w:val="00D13965"/>
    <w:rsid w:val="00D25E98"/>
    <w:rsid w:val="00D37D7A"/>
    <w:rsid w:val="00D44C75"/>
    <w:rsid w:val="00D465FA"/>
    <w:rsid w:val="00D54704"/>
    <w:rsid w:val="00D61F99"/>
    <w:rsid w:val="00D75DB4"/>
    <w:rsid w:val="00D83779"/>
    <w:rsid w:val="00D850D9"/>
    <w:rsid w:val="00D85B2B"/>
    <w:rsid w:val="00D90BFA"/>
    <w:rsid w:val="00DB3E76"/>
    <w:rsid w:val="00DB4008"/>
    <w:rsid w:val="00DB75B7"/>
    <w:rsid w:val="00DC5702"/>
    <w:rsid w:val="00DC64EA"/>
    <w:rsid w:val="00DD3DAE"/>
    <w:rsid w:val="00DD4351"/>
    <w:rsid w:val="00DD7EF1"/>
    <w:rsid w:val="00DE6405"/>
    <w:rsid w:val="00DE6F86"/>
    <w:rsid w:val="00DF7382"/>
    <w:rsid w:val="00E16FA0"/>
    <w:rsid w:val="00E24ED1"/>
    <w:rsid w:val="00E26BDE"/>
    <w:rsid w:val="00E37E01"/>
    <w:rsid w:val="00E402A1"/>
    <w:rsid w:val="00E501A1"/>
    <w:rsid w:val="00E52BF3"/>
    <w:rsid w:val="00E537D4"/>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87470"/>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2D39"/>
  <w15:chartTrackingRefBased/>
  <w15:docId w15:val="{3DA0C112-DD13-4CA5-A870-924E322F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3" Type="http://schemas.openxmlformats.org/officeDocument/2006/relationships/styles" Target="styles.xml"/><Relationship Id="rId21" Type="http://schemas.openxmlformats.org/officeDocument/2006/relationships/hyperlink" Target="https://doi.org/10.3390/en16217271" TargetMode="Externa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23" Type="http://schemas.openxmlformats.org/officeDocument/2006/relationships/fontTable" Target="fontTable.xm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hyperlink" Target="https://www.sciencedirect.com/science/article/pii/S004896971834875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60DE-E954-4055-9367-0F79282F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28912</TotalTime>
  <Pages>26</Pages>
  <Words>7134</Words>
  <Characters>39240</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5</cp:revision>
  <dcterms:created xsi:type="dcterms:W3CDTF">2023-09-21T15:40:00Z</dcterms:created>
  <dcterms:modified xsi:type="dcterms:W3CDTF">2024-06-18T20:28:00Z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