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Итоговый отчёт по групповому проекту</w:t>
      </w:r>
    </w:p>
    <w:p>
      <w:pPr>
        <w:pStyle w:val="Title"/>
        <w:spacing w:after="1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Полигон — продуктовая школа-симулятор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3"/>
        <w:gridCol w:w="6663"/>
      </w:tblGrid>
      <w:tr>
        <w:trPr>
          <w:cantSplit/>
          <w:tblHeader w:val="false"/>
        </w:trPr>
        <w:tc>
          <w:tcPr>
            <w:tcW w:type="dxa" w:w="32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Курс</w:t>
            </w:r>
          </w:p>
        </w:tc>
        <w:tc>
          <w:tcPr>
            <w:tcW w:type="dxa" w:w="6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«Основы инженерии цифровых продуктов», СПб школа экономики и менеджмента НИУ ВШЭ</w:t>
            </w:r>
          </w:p>
        </w:tc>
      </w:tr>
      <w:tr>
        <w:trPr>
          <w:cantSplit/>
          <w:tblHeader w:val="false"/>
        </w:trPr>
        <w:tc>
          <w:tcPr>
            <w:tcW w:type="dxa" w:w="32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Преподаватель</w:t>
            </w:r>
          </w:p>
        </w:tc>
        <w:tc>
          <w:tcPr>
            <w:tcW w:type="dxa" w:w="6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Андрей Салтан</w:t>
            </w:r>
          </w:p>
        </w:tc>
      </w:tr>
      <w:tr>
        <w:trPr>
          <w:cantSplit/>
          <w:tblHeader w:val="false"/>
        </w:trPr>
        <w:tc>
          <w:tcPr>
            <w:tcW w:type="dxa" w:w="32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Команда</w:t>
            </w:r>
          </w:p>
        </w:tc>
        <w:tc>
          <w:tcPr>
            <w:tcW w:type="dxa" w:w="6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Мария Прегер, Ольга Федорова, Софа Ибрагимова, Роман Салимгареев</w:t>
            </w:r>
          </w:p>
        </w:tc>
      </w:tr>
      <w:tr>
        <w:trPr>
          <w:cantSplit/>
          <w:tblHeader w:val="false"/>
        </w:trPr>
        <w:tc>
          <w:tcPr>
            <w:tcW w:type="dxa" w:w="32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Дата</w:t>
            </w:r>
          </w:p>
        </w:tc>
        <w:tc>
          <w:tcPr>
            <w:tcW w:type="dxa" w:w="6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октябрь 2026</w:t>
            </w:r>
          </w:p>
        </w:tc>
      </w:tr>
      <w:tr>
        <w:trPr>
          <w:cantSplit/>
          <w:tblHeader w:val="false"/>
        </w:trPr>
        <w:tc>
          <w:tcPr>
            <w:tcW w:type="dxa" w:w="32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Платформа (MVP)</w:t>
            </w:r>
          </w:p>
        </w:tc>
        <w:tc>
          <w:tcPr>
            <w:tcW w:type="dxa" w:w="6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https://nominalnominalovich.github.io/polygon/ — вход без регистрации</w:t>
            </w:r>
          </w:p>
        </w:tc>
      </w:tr>
      <w:tr>
        <w:trPr>
          <w:cantSplit/>
          <w:tblHeader w:val="false"/>
        </w:trPr>
        <w:tc>
          <w:tcPr>
            <w:tcW w:type="dxa" w:w="32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Код</w:t>
            </w:r>
          </w:p>
        </w:tc>
        <w:tc>
          <w:tcPr>
            <w:tcW w:type="dxa" w:w="6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https://github.com/nominalnominalovich/polygon</w:t>
            </w:r>
          </w:p>
        </w:tc>
      </w:tr>
    </w:tbl>
    <w:p>
      <w:pPr>
        <w:spacing w:after="120"/>
      </w:pP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«Полигон» — веб-симулятор, в котором кандидат на начальную продуктовую роль ведёт один сервис вымышленного банка через два связанных эпизода: принимает решение, видит его последствия вместе с внешним событием, пересматривает план, получает разбор по шести критериям и решает новую задачу без подсказок. Продуктовый эксперт банка видит только ту самостоятельную работу, которую участник сам ему передал, и разбирает её по критериям без итогового балла. Замысел опирается на пять наблюдений из опыта команды (Н1–Н5) и пять гипотез (Г-А1…Г-Б2); интервью с кандидатами и экспертами ещё не проведены, гайд и план готовы. Работающий MVP открыт по ссылке: последствия считаются по открытым детерминированным правилам, 10 автотестов проверяют повторяемость расчёта и разбора, а ИИ-разбор свободного текста пока имитирован эвристикой. Главный риск, который должны проверить интервью и пилот: учит ли сохранение последствий лучше, чем отдельный кейс с хорошей обратной связью; если нет, сложность симуляции не оправдана. Выход на рынок — пилот одного модуля в карьерной школе банка с заранее заданными критериями расширения и остановки. MVP не доказывает ни образовательного эффекта, ни пользы для найма: это гипотезы пилота.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О проекте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Как читать отчёт.</w:t>
      </w:r>
      <w:r>
        <w:rPr>
          <w:rFonts w:ascii="Arial" w:cs="Arial" w:eastAsia="Arial" w:hAnsi="Arial"/>
          <w:sz w:val="19"/>
          <w:szCs w:val="19"/>
        </w:rPr>
        <w:t xml:space="preserve"> По легенде блока 01 канвы мы различаем три вида записей: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наблюдение</w:t>
      </w:r>
      <w:r>
        <w:rPr>
          <w:rFonts w:ascii="Arial" w:cs="Arial" w:eastAsia="Arial" w:hAnsi="Arial"/>
          <w:sz w:val="19"/>
          <w:szCs w:val="19"/>
        </w:rPr>
        <w:t xml:space="preserve"> (Н, есть источник: кто что сказал или сделал),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предположение</w:t>
      </w:r>
      <w:r>
        <w:rPr>
          <w:rFonts w:ascii="Arial" w:cs="Arial" w:eastAsia="Arial" w:hAnsi="Arial"/>
          <w:sz w:val="19"/>
          <w:szCs w:val="19"/>
        </w:rPr>
        <w:t xml:space="preserve"> (Г, пока не подтверждено) и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решение команды</w:t>
      </w:r>
      <w:r>
        <w:rPr>
          <w:rFonts w:ascii="Arial" w:cs="Arial" w:eastAsia="Arial" w:hAnsi="Arial"/>
          <w:sz w:val="19"/>
          <w:szCs w:val="19"/>
        </w:rPr>
        <w:t xml:space="preserve"> (выбор с названным основанием). Сквозная цепочка: Н или Г → П (потребность) → И (история) → Ф (фича) → Э (экран). Ссылка «(SE-02, сл. 66)» ведёт на слайд занятия курса, «(канва, с. 7)» — на страницу выгрузки канвы. Банк «Кварц», его клиенты и данные внутри симуляции вымышлены.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01. Задача и замысел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Какой опыт обучения меняем.</w:t>
      </w:r>
      <w:r>
        <w:rPr>
          <w:rFonts w:ascii="Arial" w:cs="Arial" w:eastAsia="Arial" w:hAnsi="Arial"/>
          <w:sz w:val="19"/>
          <w:szCs w:val="19"/>
        </w:rPr>
        <w:t xml:space="preserve"> Начинающий продакт обычно учится на отдельных заданиях: сдал ответ, получил оценку, перешёл к следующему. У решения нет последствий, пересматривать нечего. Мы делаем связанную историю: решение сохраняется, даёт последствия, сталкивается с внешним событием и требует пересмотра. Теория и разбор встроены в прохождение. Цифровой продукт здесь нужен, потому что хранить состояние каждого участника и воспроизводимо считать последствия для потока в 50 человек преподаватель с бумажным кейсом не может (решение команды).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64"/>
        <w:gridCol w:w="2467"/>
        <w:gridCol w:w="3534"/>
        <w:gridCol w:w="1701"/>
      </w:tblGrid>
      <w:tr>
        <w:trPr>
          <w:cantSplit/>
          <w:tblHeader/>
        </w:trPr>
        <w:tc>
          <w:tcPr>
            <w:tcW w:type="dxa" w:w="21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Роль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Кто</w:t>
            </w:r>
          </w:p>
        </w:tc>
        <w:tc>
          <w:tcPr>
            <w:tcW w:type="dxa" w:w="35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получает (гипотеза)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В MVP</w:t>
            </w:r>
          </w:p>
        </w:tc>
      </w:tr>
      <w:tr>
        <w:trPr>
          <w:cantSplit/>
          <w:tblHeader w:val="false"/>
        </w:trPr>
        <w:tc>
          <w:tcPr>
            <w:tcW w:type="dxa" w:w="21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Обучающийся, персона А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Соискатель начальной продуктовой роли</w:t>
            </w:r>
          </w:p>
        </w:tc>
        <w:tc>
          <w:tcPr>
            <w:tcW w:type="dxa" w:w="35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Практику решений с объяснимыми последствиями, разбор, пример работы для интервью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Весь путь</w:t>
            </w:r>
          </w:p>
        </w:tc>
      </w:tr>
      <w:tr>
        <w:trPr>
          <w:cantSplit/>
          <w:tblHeader w:val="false"/>
        </w:trPr>
        <w:tc>
          <w:tcPr>
            <w:tcW w:type="dxa" w:w="21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Продуктовый эксперт, персона Б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 корпоративной школы банка</w:t>
            </w:r>
          </w:p>
        </w:tc>
        <w:tc>
          <w:tcPr>
            <w:tcW w:type="dxa" w:w="35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Переданную работу с основаниями и критериями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Кабинет эксперта</w:t>
            </w:r>
          </w:p>
        </w:tc>
      </w:tr>
      <w:tr>
        <w:trPr>
          <w:cantSplit/>
          <w:tblHeader w:val="false"/>
        </w:trPr>
        <w:tc>
          <w:tcPr>
            <w:tcW w:type="dxa" w:w="21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Покупатель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Банк или финтех с карьерной программой</w:t>
            </w:r>
          </w:p>
        </w:tc>
        <w:tc>
          <w:tcPr>
            <w:tcW w:type="dxa" w:w="35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Примеры того, как кандидат работает с данными и ограничениями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Только в стратегии</w:t>
            </w:r>
          </w:p>
        </w:tc>
      </w:tr>
      <w:tr>
        <w:trPr>
          <w:cantSplit/>
          <w:tblHeader w:val="false"/>
        </w:trPr>
        <w:tc>
          <w:tcPr>
            <w:tcW w:type="dxa" w:w="21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Дополнительные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Организатор программы, HR, автор кейсов</w:t>
            </w:r>
          </w:p>
        </w:tc>
        <w:tc>
          <w:tcPr>
            <w:tcW w:type="dxa" w:w="35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Задачи учтены, отдельных кабинетов нет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Покупатель, обучающийся и клиент банка внутри кейса — разные роли: продукт обучает кандидата, а виртуальный сервис банка — среда его учебной работы. В образовательных продуктах покупает организация, а не пользователь, поэтому ценность нужна обеим сторонам (Sommerville, 2020, с. 20, 61). Банк выбран, потому что банки уже проводят карьерные школы с отбором и обратной связью (Н4; раздел «Конкуренты и рынок»), а сервис накоплений знаком кандидату как пользователю (Sommerville, 2020, с. 4).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Фокус детализации.</w:t>
      </w:r>
      <w:r>
        <w:rPr>
          <w:rFonts w:ascii="Arial" w:cs="Arial" w:eastAsia="Arial" w:hAnsi="Arial"/>
          <w:sz w:val="19"/>
          <w:szCs w:val="19"/>
        </w:rPr>
        <w:t xml:space="preserve"> Один путь: войти в роль → изучить ситуацию → предложить решение → получить последствия и новые условия → пересмотреть решение → получить разбор → самостоятельно применить навык. Контекст — сервис «Накопления на цель» в приложении банка «Кварц». Это один модуль более широкой школы; закрытые модули «Удержание», «Монетизация», «Стейкхолдеры» на экране программы лежат за границей MVP.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Что должен проверить MVP.</w:t>
      </w:r>
      <w:r>
        <w:rPr>
          <w:rFonts w:ascii="Arial" w:cs="Arial" w:eastAsia="Arial" w:hAnsi="Arial"/>
          <w:sz w:val="19"/>
          <w:szCs w:val="19"/>
        </w:rPr>
        <w:t xml:space="preserve"> Прототип имеет смысл, только если его результат может изменить решение об инвестициях (SE-02, сл. 13). Самое опасное предположение: сохранение последствий и разбор изменений учат лучше, чем отдельный кейс с хорошей обратной связью. Если пилот его опровергнет, мы откажемся от дорогой в авторинге симуляции и оставим кейс с разбором.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Что наблюдали и что предполагаем</w:t>
      </w: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Интервью с кандидатами и экспертами ещё не проведены. Ниже пять наблюдений из опыта команды; это все наблюдения, которые у нас есть. Остальное о пользователях — гипотезы.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30"/>
        <w:gridCol w:w="3637"/>
        <w:gridCol w:w="2582"/>
        <w:gridCol w:w="2117"/>
      </w:tblGrid>
      <w:tr>
        <w:trPr>
          <w:cantSplit/>
          <w:tblHeader/>
        </w:trPr>
        <w:tc>
          <w:tcPr>
            <w:tcW w:type="dxa" w:w="1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Код, источник</w:t>
            </w:r>
          </w:p>
        </w:tc>
        <w:tc>
          <w:tcPr>
            <w:tcW w:type="dxa" w:w="36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человек сказал или сделал</w:t>
            </w:r>
          </w:p>
        </w:tc>
        <w:tc>
          <w:tcPr>
            <w:tcW w:type="dxa" w:w="2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Осторожный вывод</w:t>
            </w:r>
          </w:p>
        </w:tc>
        <w:tc>
          <w:tcPr>
            <w:tcW w:type="dxa" w:w="21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Чего не доказывает</w:t>
            </w:r>
          </w:p>
        </w:tc>
      </w:tr>
      <w:tr>
        <w:trPr>
          <w:cantSplit/>
          <w:tblHeader w:val="false"/>
        </w:trPr>
        <w:tc>
          <w:tcPr>
            <w:tcW w:type="dxa" w:w="1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Н1, Ольга Федорова</w:t>
            </w:r>
          </w:p>
        </w:tc>
        <w:tc>
          <w:tcPr>
            <w:tcW w:type="dxa" w:w="36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 4 курсе — конкурентная симуляция «Бизнес-курс: Максимум»: команды-компании ежемесячно принимали решения и видели результаты и рейтинг. «От стадии отрицания (непонимания, как считается успешность нашего решения) пришли к принятию к середине курса и называли этот предмет — казино»</w:t>
            </w:r>
          </w:p>
        </w:tc>
        <w:tc>
          <w:tcPr>
            <w:tcW w:type="dxa" w:w="2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Если не видно, как решение превращается в результат, симуляция воспринимается как случайность. К середине курса участники освоились</w:t>
            </w:r>
          </w:p>
        </w:tc>
        <w:tc>
          <w:tcPr>
            <w:tcW w:type="dxa" w:w="21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симуляции учат хуже. Один курс, один рассказчик, студенты, а не кандидаты в продакты</w:t>
            </w:r>
          </w:p>
        </w:tc>
      </w:tr>
      <w:tr>
        <w:trPr>
          <w:cantSplit/>
          <w:tblHeader w:val="false"/>
        </w:trPr>
        <w:tc>
          <w:tcPr>
            <w:tcW w:type="dxa" w:w="1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Н2, Ольга Федорова</w:t>
            </w:r>
          </w:p>
        </w:tc>
        <w:tc>
          <w:tcPr>
            <w:tcW w:type="dxa" w:w="36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 банке нужно было пройти игру-симуляцию по технике безопасности: ходить по виртуальному офису и выбирать варианты. Не прошла до увольнения: не хотелось тратить рабочее время, хотелось погружаться в задачи</w:t>
            </w:r>
          </w:p>
        </w:tc>
        <w:tc>
          <w:tcPr>
            <w:tcW w:type="dxa" w:w="2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Обязательная симуляция, не связанная с задачами человека, может не проходиться вовсе</w:t>
            </w:r>
          </w:p>
        </w:tc>
        <w:tc>
          <w:tcPr>
            <w:tcW w:type="dxa" w:w="21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игровая форма отталкивает кандидатов: у сотрудника другая мотивация</w:t>
            </w:r>
          </w:p>
        </w:tc>
      </w:tr>
      <w:tr>
        <w:trPr>
          <w:cantSplit/>
          <w:tblHeader w:val="false"/>
        </w:trPr>
        <w:tc>
          <w:tcPr>
            <w:tcW w:type="dxa" w:w="1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Н3, Софа Ибрагимова</w:t>
            </w:r>
          </w:p>
        </w:tc>
        <w:tc>
          <w:tcPr>
            <w:tcW w:type="dxa" w:w="36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 стажировке не было онбординга, «это было очень тяжело»; она была единственным стажёром</w:t>
            </w:r>
          </w:p>
        </w:tc>
        <w:tc>
          <w:tcPr>
            <w:tcW w:type="dxa" w:w="2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Бывают стажёры, которые начинают работу без подготовки и поддержки</w:t>
            </w:r>
          </w:p>
        </w:tc>
        <w:tc>
          <w:tcPr>
            <w:tcW w:type="dxa" w:w="21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пробел в продуктовых навыках, а не в знании процессов компании</w:t>
            </w:r>
          </w:p>
        </w:tc>
      </w:tr>
      <w:tr>
        <w:trPr>
          <w:cantSplit/>
          <w:tblHeader w:val="false"/>
        </w:trPr>
        <w:tc>
          <w:tcPr>
            <w:tcW w:type="dxa" w:w="1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Н4, Софа Ибрагимова, со слов знакомых (аналог)</w:t>
            </w:r>
          </w:p>
        </w:tc>
        <w:tc>
          <w:tcPr>
            <w:tcW w:type="dxa" w:w="36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Школа управления рисками крупного банка в партнёрстве с ВШЭ: отбор, занятия и задания с обратной связью, экзамен, ускоренный путь в компанию. ИИ использовать жёстко запрещено</w:t>
            </w:r>
          </w:p>
        </w:tc>
        <w:tc>
          <w:tcPr>
            <w:tcW w:type="dxa" w:w="2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Банки делают карьерные программы с вузами, где обучение связано с отбором. Запрет ИИ — реальное требование заказчика</w:t>
            </w:r>
          </w:p>
        </w:tc>
        <w:tc>
          <w:tcPr>
            <w:tcW w:type="dxa" w:w="21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банк заплатит за наш модуль и что такие программы есть для продактов</w:t>
            </w:r>
          </w:p>
        </w:tc>
      </w:tr>
      <w:tr>
        <w:trPr>
          <w:cantSplit/>
          <w:tblHeader w:val="false"/>
        </w:trPr>
        <w:tc>
          <w:tcPr>
            <w:tcW w:type="dxa" w:w="1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Н5, Мария Прегер, пересказ без слайда</w:t>
            </w:r>
          </w:p>
        </w:tc>
        <w:tc>
          <w:tcPr>
            <w:tcW w:type="dxa" w:w="36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Преподаватель устно: ему важно обоснование — из чего поняли, какие фичи нужны</w:t>
            </w:r>
          </w:p>
        </w:tc>
        <w:tc>
          <w:tcPr>
            <w:tcW w:type="dxa" w:w="2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Требование стейкхолдера курса; близко к позиции эксперта, который разбирает чужую работу (Г-Б1)</w:t>
            </w:r>
          </w:p>
        </w:tc>
        <w:tc>
          <w:tcPr>
            <w:tcW w:type="dxa" w:w="21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так думают эксперты банков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Н1–Н4 — опыт членов команды и их знакомых: выборка удобная, а рассказчики заинтересованы в идее. Поэтому эти наблюдения — повод для гипотез и требований к дизайну, а не подтверждение спроса.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Что наблюдения уже изменили</w:t>
      </w:r>
      <w:r>
        <w:rPr>
          <w:rFonts w:ascii="Arial" w:cs="Arial" w:eastAsia="Arial" w:hAnsi="Arial"/>
          <w:sz w:val="19"/>
          <w:szCs w:val="19"/>
        </w:rPr>
        <w:t xml:space="preserve"> (решения команды):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Н1 → правила последствий открыты и одинаковы для всех, в разборе есть блок «Почему так вышло: правила модели открыты», рейтинга участников нет (Ф3, Т2).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Н2 → модуль занимает около 45 минут и привязан к цели самого участника, подготовке к стажировке. Мы не продаём его как обязательное обучение сотрудников.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Н4 → тренировка с подсказками и самостоятельная работа разделены. Запрет ИИ обеспечить нельзя: браузерная задача не проверяет, кто писал текст. Поэтому карточка — материал для структурированного интервью, а не экзамен.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Н5 → режим обоснования: метки И/Ф/Э на блоках и цепочка Г→П→И→Ф→Э. Это функция для защиты и для автора кейса, кандидату она не нужна.</w:t>
      </w:r>
    </w:p>
    <w:p>
      <w:pPr>
        <w:spacing w:after="0" w:line="80" w:lineRule="exact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6"/>
        <w:gridCol w:w="2370"/>
        <w:gridCol w:w="1176"/>
        <w:gridCol w:w="2432"/>
        <w:gridCol w:w="2712"/>
      </w:tblGrid>
      <w:tr>
        <w:trPr>
          <w:cantSplit/>
          <w:tblHeader/>
        </w:trPr>
        <w:tc>
          <w:tcPr>
            <w:tcW w:type="dxa" w:w="1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Код</w:t>
            </w:r>
          </w:p>
        </w:tc>
        <w:tc>
          <w:tcPr>
            <w:tcW w:type="dxa" w:w="2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Предположение</w:t>
            </w:r>
          </w:p>
        </w:tc>
        <w:tc>
          <w:tcPr>
            <w:tcW w:type="dxa" w:w="1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Связь с Н</w:t>
            </w:r>
          </w:p>
        </w:tc>
        <w:tc>
          <w:tcPr>
            <w:tcW w:type="dxa" w:w="2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Подтвердит</w:t>
            </w:r>
          </w:p>
        </w:tc>
        <w:tc>
          <w:tcPr>
            <w:tcW w:type="dxa" w:w="2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Опровергнет</w:t>
            </w:r>
          </w:p>
        </w:tc>
      </w:tr>
      <w:tr>
        <w:trPr>
          <w:cantSplit/>
          <w:tblHeader w:val="false"/>
        </w:trPr>
        <w:tc>
          <w:tcPr>
            <w:tcW w:type="dxa" w:w="1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Г-А1</w:t>
            </w:r>
          </w:p>
        </w:tc>
        <w:tc>
          <w:tcPr>
            <w:tcW w:type="dxa" w:w="2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Знание терминов не сопровождается умением разобрать продуктовую ситуацию</w:t>
            </w:r>
          </w:p>
        </w:tc>
        <w:tc>
          <w:tcPr>
            <w:tcW w:type="dxa" w:w="1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Косвенно Н3</w:t>
            </w:r>
          </w:p>
        </w:tc>
        <w:tc>
          <w:tcPr>
            <w:tcW w:type="dxa" w:w="2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Случаи, где кандидат знал метод, но не знал, с чего начать</w:t>
            </w:r>
          </w:p>
        </w:tc>
        <w:tc>
          <w:tcPr>
            <w:tcW w:type="dxa" w:w="2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Кандидаты уверенно разбирают ситуации сами; главная трудность — базовые знания или доступ к данным</w:t>
            </w:r>
          </w:p>
        </w:tc>
      </w:tr>
      <w:tr>
        <w:trPr>
          <w:cantSplit/>
          <w:tblHeader w:val="false"/>
        </w:trPr>
        <w:tc>
          <w:tcPr>
            <w:tcW w:type="dxa" w:w="1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Г-А2</w:t>
            </w:r>
          </w:p>
        </w:tc>
        <w:tc>
          <w:tcPr>
            <w:tcW w:type="dxa" w:w="2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хватает обратной связи, объясняющей причинную связь решения и результата</w:t>
            </w:r>
          </w:p>
        </w:tc>
        <w:tc>
          <w:tcPr>
            <w:tcW w:type="dxa" w:w="1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</w:t>
            </w:r>
          </w:p>
        </w:tc>
        <w:tc>
          <w:tcPr>
            <w:tcW w:type="dxa" w:w="2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Фидбек «верно / неверно» без причины; попытки понять, почему изменилась метрика</w:t>
            </w:r>
          </w:p>
        </w:tc>
        <w:tc>
          <w:tcPr>
            <w:tcW w:type="dxa" w:w="2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Кандидаты получают причинный разбор от наставников и не видят проблемы</w:t>
            </w:r>
          </w:p>
        </w:tc>
      </w:tr>
      <w:tr>
        <w:trPr>
          <w:cantSplit/>
          <w:tblHeader w:val="false"/>
        </w:trPr>
        <w:tc>
          <w:tcPr>
            <w:tcW w:type="dxa" w:w="1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Г-А3</w:t>
            </w:r>
          </w:p>
        </w:tc>
        <w:tc>
          <w:tcPr>
            <w:tcW w:type="dxa" w:w="2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Важно понимать, какие попытки тренировочные и что увидит работодатель</w:t>
            </w:r>
          </w:p>
        </w:tc>
        <w:tc>
          <w:tcPr>
            <w:tcW w:type="dxa" w:w="1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Косвенно Н4</w:t>
            </w:r>
          </w:p>
        </w:tc>
        <w:tc>
          <w:tcPr>
            <w:tcW w:type="dxa" w:w="2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Страх ошибиться на глазах работодателя; поведение меняется, когда работу видят</w:t>
            </w:r>
          </w:p>
        </w:tc>
        <w:tc>
          <w:tcPr>
            <w:tcW w:type="dxa" w:w="2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Кандидатам всё равно, кто видит попытки</w:t>
            </w:r>
          </w:p>
        </w:tc>
      </w:tr>
      <w:tr>
        <w:trPr>
          <w:cantSplit/>
          <w:tblHeader w:val="false"/>
        </w:trPr>
        <w:tc>
          <w:tcPr>
            <w:tcW w:type="dxa" w:w="1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Г-Б1</w:t>
            </w:r>
          </w:p>
        </w:tc>
        <w:tc>
          <w:tcPr>
            <w:tcW w:type="dxa" w:w="2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Эксперту нужны примеры решений, а не только оценка</w:t>
            </w:r>
          </w:p>
        </w:tc>
        <w:tc>
          <w:tcPr>
            <w:tcW w:type="dxa" w:w="1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Н5 как аналог</w:t>
            </w:r>
          </w:p>
        </w:tc>
        <w:tc>
          <w:tcPr>
            <w:tcW w:type="dxa" w:w="2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Эксперты просят на интервью разобрать конкретное решение</w:t>
            </w:r>
          </w:p>
        </w:tc>
        <w:tc>
          <w:tcPr>
            <w:tcW w:type="dxa" w:w="2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Эксперты опираются на балл и материалы не открывают</w:t>
            </w:r>
          </w:p>
        </w:tc>
      </w:tr>
      <w:tr>
        <w:trPr>
          <w:cantSplit/>
          <w:tblHeader w:val="false"/>
        </w:trPr>
        <w:tc>
          <w:tcPr>
            <w:tcW w:type="dxa" w:w="1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Г-Б2</w:t>
            </w:r>
          </w:p>
        </w:tc>
        <w:tc>
          <w:tcPr>
            <w:tcW w:type="dxa" w:w="2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Разбор удобнее, если критерии и фрагменты работы в одном представлении</w:t>
            </w:r>
          </w:p>
        </w:tc>
        <w:tc>
          <w:tcPr>
            <w:tcW w:type="dxa" w:w="1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</w:t>
            </w:r>
          </w:p>
        </w:tc>
        <w:tc>
          <w:tcPr>
            <w:tcW w:type="dxa" w:w="2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Эксперты тратят время на поиск контекста</w:t>
            </w:r>
          </w:p>
        </w:tc>
        <w:tc>
          <w:tcPr>
            <w:tcW w:type="dxa" w:w="2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Эксперты разбирают работы быстро и без этого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План исследования.</w:t>
      </w:r>
      <w:r>
        <w:rPr>
          <w:rFonts w:ascii="Arial" w:cs="Arial" w:eastAsia="Arial" w:hAnsi="Arial"/>
          <w:sz w:val="19"/>
          <w:szCs w:val="19"/>
        </w:rPr>
        <w:t xml:space="preserve"> Пять интервью с кандидатами на junior-PM и два с продуктовыми экспертами или нанимающими менеджерами банков по схеме «ситуация → действия → результат», без наводящих вопросов (SE-04, сл. 9), и короткая анкета для 30–60 стажёров (идея Софы). Записи — по шаблону Н-А1…, Н-Б1…; после этого каждая гипотеза получает статус «подтверждена», «изменена» или «отвергнута». Правило команды: если четверо из пяти кандидатов описывают уже доступный им причинный разбор, Г-А2 отвергнута, и до пилота мы переходим к концепции А. Гайд — в файле </w:t>
      </w:r>
      <w:r>
        <w:rPr>
          <w:rFonts w:ascii="Courier New" w:cs="Courier New" w:eastAsia="Courier New" w:hAnsi="Courier New"/>
          <w:sz w:val="19"/>
          <w:szCs w:val="19"/>
        </w:rPr>
        <w:t xml:space="preserve">гайд-интервью.md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02. Персоны</w:t>
      </w: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Обе персоны — протоперсоны: модели, собранные командой на ограниченных данных (SE-04, сл. 15; Sommerville, 2020, с. 69). Имена условные. Наблюдений, где человек из целевой группы сам что-то сказал или сделал, пока нет ни для одной. Все поля карточек — в канве; здесь главное.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Персона А — Алина, кандидат на junior-PM.</w:t>
      </w:r>
      <w:r>
        <w:rPr>
          <w:rFonts w:ascii="Arial" w:cs="Arial" w:eastAsia="Arial" w:hAnsi="Arial"/>
          <w:sz w:val="19"/>
          <w:szCs w:val="19"/>
        </w:rPr>
        <w:t xml:space="preserve"> Готовится к стажировке, проходила курсы и проекты, но не отвечала за действующий продукт. Знает термины «история», «гипотеза», «MVP», но выстроить последовательность действий ей сложнее, чем объяснить определения. Хочет попробовать работу продакта, научиться аргументировать выбор и подготовить примеры для интервью. Боится ошибиться и не понимает критериев оценки. Основания: Г-А1–Г-А3, косвенно Н1 и Н3.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Персона Б — Дмитрий, продуктовый эксперт корпоративной школы банка.</w:t>
      </w:r>
      <w:r>
        <w:rPr>
          <w:rFonts w:ascii="Arial" w:cs="Arial" w:eastAsia="Arial" w:hAnsi="Arial"/>
          <w:sz w:val="19"/>
          <w:szCs w:val="19"/>
        </w:rPr>
        <w:t xml:space="preserve"> Разбирает работы начинающих и подключается к интервью, но не может сопровождать каждого участника. Хочет понять, что участник сделал сам и на какие данные опирался. Не верит, что балл или красивая презентация отражают качество решения. Основания: Г-Б1, Г-Б2; Н5 только как аналог.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Какие требования зависят от различий персон</w:t>
      </w:r>
      <w:r>
        <w:rPr>
          <w:rFonts w:ascii="Arial" w:cs="Arial" w:eastAsia="Arial" w:hAnsi="Arial"/>
          <w:sz w:val="19"/>
          <w:szCs w:val="19"/>
        </w:rPr>
        <w:t xml:space="preserve"> (SE-04, сл. 15):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48"/>
        <w:gridCol w:w="2655"/>
        <w:gridCol w:w="2424"/>
        <w:gridCol w:w="3139"/>
      </w:tblGrid>
      <w:tr>
        <w:trPr>
          <w:cantSplit/>
          <w:tblHeader/>
        </w:trPr>
        <w:tc>
          <w:tcPr>
            <w:tcW w:type="dxa" w:w="16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Различие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Алина</w:t>
            </w:r>
          </w:p>
        </w:tc>
        <w:tc>
          <w:tcPr>
            <w:tcW w:type="dxa" w:w="2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Дмитрий</w:t>
            </w:r>
          </w:p>
        </w:tc>
        <w:tc>
          <w:tcPr>
            <w:tcW w:type="dxa" w:w="31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Требование</w:t>
            </w:r>
          </w:p>
        </w:tc>
      </w:tr>
      <w:tr>
        <w:trPr>
          <w:cantSplit/>
          <w:tblHeader w:val="false"/>
        </w:trPr>
        <w:tc>
          <w:tcPr>
            <w:tcW w:type="dxa" w:w="16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видит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Свой тренировочный путь и самостоятельную работу</w:t>
            </w:r>
          </w:p>
        </w:tc>
        <w:tc>
          <w:tcPr>
            <w:tcW w:type="dxa" w:w="2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Только переданную самостоятельную работу</w:t>
            </w:r>
          </w:p>
        </w:tc>
        <w:tc>
          <w:tcPr>
            <w:tcW w:type="dxa" w:w="31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Два режима и правило доступа (требование к качеству 3)</w:t>
            </w:r>
          </w:p>
        </w:tc>
      </w:tr>
      <w:tr>
        <w:trPr>
          <w:cantSplit/>
          <w:tblHeader w:val="false"/>
        </w:trPr>
        <w:tc>
          <w:tcPr>
            <w:tcW w:type="dxa" w:w="16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Роль ошибки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Ошибаться нужно, чтобы учиться</w:t>
            </w:r>
          </w:p>
        </w:tc>
        <w:tc>
          <w:tcPr>
            <w:tcW w:type="dxa" w:w="2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Тренировочные ошибки до него не доходят</w:t>
            </w:r>
          </w:p>
        </w:tc>
        <w:tc>
          <w:tcPr>
            <w:tcW w:type="dxa" w:w="31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Черновики и тренировка не передаются (И5, И6)</w:t>
            </w:r>
          </w:p>
        </w:tc>
      </w:tr>
      <w:tr>
        <w:trPr>
          <w:cantSplit/>
          <w:tblHeader w:val="false"/>
        </w:trPr>
        <w:tc>
          <w:tcPr>
            <w:tcW w:type="dxa" w:w="16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Время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Учится между другими делами</w:t>
            </w:r>
          </w:p>
        </w:tc>
        <w:tc>
          <w:tcPr>
            <w:tcW w:type="dxa" w:w="2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может сопровождать каждого</w:t>
            </w:r>
          </w:p>
        </w:tc>
        <w:tc>
          <w:tcPr>
            <w:tcW w:type="dxa" w:w="31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Модуль около 45 минут; карточка с фрагментами вместо полной истории</w:t>
            </w:r>
          </w:p>
        </w:tc>
      </w:tr>
      <w:tr>
        <w:trPr>
          <w:cantSplit/>
          <w:tblHeader w:val="false"/>
        </w:trPr>
        <w:tc>
          <w:tcPr>
            <w:tcW w:type="dxa" w:w="16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Оценка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Нужен разбор, а не балл</w:t>
            </w:r>
          </w:p>
        </w:tc>
        <w:tc>
          <w:tcPr>
            <w:tcW w:type="dxa" w:w="2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доверяет баллам</w:t>
            </w:r>
          </w:p>
        </w:tc>
        <w:tc>
          <w:tcPr>
            <w:tcW w:type="dxa" w:w="31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Статусы по критериям и «недостаточно данных», без итогового балла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Покупатель</w:t>
      </w:r>
      <w:r>
        <w:rPr>
          <w:rFonts w:ascii="Arial" w:cs="Arial" w:eastAsia="Arial" w:hAnsi="Arial"/>
          <w:sz w:val="19"/>
          <w:szCs w:val="19"/>
        </w:rPr>
        <w:t xml:space="preserve"> (дополнительная карточка) — руководитель карьерной школы банка или HR-партнёр: решает о модуле, отвечает за данные кандидатов и политику ИИ (Н4). Наблюдений о нём, кроме аналога Н4, нет.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03. Карты эмпатии</w:t>
      </w: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Карты разделены, чтобы не смешивать мотивы; полные карты — в канве. Ниже поля, которые по канве должны опираться на наблюдения. Н1–Н3 описывают опыт членов команды в похожих ролях (студент, сотрудник, стажёр), поэтому помечены как аналоги.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59"/>
        <w:gridCol w:w="4647"/>
        <w:gridCol w:w="3560"/>
      </w:tblGrid>
      <w:tr>
        <w:trPr>
          <w:cantSplit/>
          <w:tblHeader/>
        </w:trPr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Поле</w:t>
            </w:r>
          </w:p>
        </w:tc>
        <w:tc>
          <w:tcPr>
            <w:tcW w:type="dxa" w:w="4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Карта А — кандидат</w:t>
            </w:r>
          </w:p>
        </w:tc>
        <w:tc>
          <w:tcPr>
            <w:tcW w:type="dxa" w:w="3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Карта Б — эксперт</w:t>
            </w:r>
          </w:p>
        </w:tc>
      </w:tr>
      <w:tr>
        <w:trPr>
          <w:cantSplit/>
          <w:tblHeader w:val="false"/>
        </w:trPr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Говорит и делает</w:t>
            </w:r>
          </w:p>
        </w:tc>
        <w:tc>
          <w:tcPr>
            <w:tcW w:type="dxa" w:w="4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Студенты называли симуляцию с непонятной оценкой «казино» (Н1, аналог); обязательную игру не прошла, «хотелось погружаться в задачи» (Н2, аналог)</w:t>
            </w:r>
          </w:p>
        </w:tc>
        <w:tc>
          <w:tcPr>
            <w:tcW w:type="dxa" w:w="3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Задаёт уточняющие вопросы, ищет основания вывода (предположение, не наблюдалось)</w:t>
            </w:r>
          </w:p>
        </w:tc>
      </w:tr>
      <w:tr>
        <w:trPr>
          <w:cantSplit/>
          <w:tblHeader w:val="false"/>
        </w:trPr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Трудности</w:t>
            </w:r>
          </w:p>
        </w:tc>
        <w:tc>
          <w:tcPr>
            <w:tcW w:type="dxa" w:w="4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 терминов к действиям (Г-А1); непонятно, как считается успех решения (Н1 → Г-А2); нет поддержки на старте работы (Н3)</w:t>
            </w:r>
          </w:p>
        </w:tc>
        <w:tc>
          <w:tcPr>
            <w:tcW w:type="dxa" w:w="3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Восстановить контекст; отделить сильную аргументацию от уверенной подачи (Г-Б1, Г-Б2)</w:t>
            </w:r>
          </w:p>
        </w:tc>
      </w:tr>
      <w:tr>
        <w:trPr>
          <w:cantSplit/>
          <w:tblHeader w:val="false"/>
        </w:trPr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Желаемый результат</w:t>
            </w:r>
          </w:p>
        </w:tc>
        <w:tc>
          <w:tcPr>
            <w:tcW w:type="dxa" w:w="4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Самостоятельно разобрать новую задачу и объяснить выбор (Г-А1, Г-А2)</w:t>
            </w:r>
          </w:p>
        </w:tc>
        <w:tc>
          <w:tcPr>
            <w:tcW w:type="dxa" w:w="3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Быстро найти значимые решения и вопрос для интервью (Г-Б2)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Следствие для дизайна.</w:t>
      </w:r>
      <w:r>
        <w:rPr>
          <w:rFonts w:ascii="Arial" w:cs="Arial" w:eastAsia="Arial" w:hAnsi="Arial"/>
          <w:sz w:val="19"/>
          <w:szCs w:val="19"/>
        </w:rPr>
        <w:t xml:space="preserve"> Для А: понятный контекст, отметка неизвестного, история своих решений, адресный разбор, граница тренировки. Для Б: карточка с фрагментами работы, видимые критерии и право поставить «недостаточно данных».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Пробел:</w:t>
      </w:r>
      <w:r>
        <w:rPr>
          <w:rFonts w:ascii="Arial" w:cs="Arial" w:eastAsia="Arial" w:hAnsi="Arial"/>
          <w:sz w:val="19"/>
          <w:szCs w:val="19"/>
        </w:rPr>
        <w:t xml:space="preserve"> канва ждёт, что важные трудности опираются на наблюдения (канва, с. 2). У карты А опора косвенная, у карты Б её нет; закрывают это интервью из плана.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04. Концепции, выбор и сценарий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Потребности.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П1. Разобраться и действовать.</w:t>
      </w:r>
      <w:r>
        <w:rPr>
          <w:rFonts w:ascii="Arial" w:cs="Arial" w:eastAsia="Arial" w:hAnsi="Arial"/>
          <w:sz w:val="19"/>
          <w:szCs w:val="19"/>
        </w:rPr>
        <w:t xml:space="preserve"> Когда кандидат получает неоднозначную задачу, ему необходимо понять контекст и обосновать первое решение, потому что иначе он подменяет анализ знакомым шаблоном. Основание: Г-А1.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П2. Понять последствия.</w:t>
      </w:r>
      <w:r>
        <w:rPr>
          <w:rFonts w:ascii="Arial" w:cs="Arial" w:eastAsia="Arial" w:hAnsi="Arial"/>
          <w:sz w:val="19"/>
          <w:szCs w:val="19"/>
        </w:rPr>
        <w:t xml:space="preserve"> Когда ситуация меняется, участнику необходимо отличить последствия своего выбора от внешних обстоятельств, потому что иначе он пересматривает решение по неверной причине. Основание: Г-А2, Н1.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П3. Научиться и проверить перенос.</w:t>
      </w:r>
      <w:r>
        <w:rPr>
          <w:rFonts w:ascii="Arial" w:cs="Arial" w:eastAsia="Arial" w:hAnsi="Arial"/>
          <w:sz w:val="19"/>
          <w:szCs w:val="19"/>
        </w:rPr>
        <w:t xml:space="preserve"> После попытки участнику нужен разбор, который помогает решить другую похожую задачу, потому что исправление одного ответа не переносится. Основания: Г-А1–Г-А3.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П4. Увидеть основания оценки.</w:t>
      </w:r>
      <w:r>
        <w:rPr>
          <w:rFonts w:ascii="Arial" w:cs="Arial" w:eastAsia="Arial" w:hAnsi="Arial"/>
          <w:sz w:val="19"/>
          <w:szCs w:val="19"/>
        </w:rPr>
        <w:t xml:space="preserve"> Эксперту необходимо связать выводы с конкретными решениями участника, потому что балл не даёт материала для разговора. Основания: Г-Б1, Г-Б2.</w:t>
      </w:r>
    </w:p>
    <w:p>
      <w:pPr>
        <w:spacing w:after="0" w:line="8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Альтернативы.</w:t>
      </w:r>
      <w:r>
        <w:rPr>
          <w:rFonts w:ascii="Arial" w:cs="Arial" w:eastAsia="Arial" w:hAnsi="Arial"/>
          <w:sz w:val="19"/>
          <w:szCs w:val="19"/>
        </w:rPr>
        <w:t xml:space="preserve"> Для каждой названо обстоятельство, при котором она не подойдёт (SE-04, сл. 4).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8"/>
        <w:gridCol w:w="2489"/>
        <w:gridCol w:w="2750"/>
        <w:gridCol w:w="3109"/>
      </w:tblGrid>
      <w:tr>
        <w:trPr>
          <w:cantSplit/>
          <w:tblHeader/>
        </w:trPr>
        <w:tc>
          <w:tcPr>
            <w:tcW w:type="dxa" w:w="15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Концепция</w:t>
            </w:r>
          </w:p>
        </w:tc>
        <w:tc>
          <w:tcPr>
            <w:tcW w:type="dxa" w:w="24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Как происходит обучение и роль продукта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Почему может подойти</w:t>
            </w:r>
          </w:p>
        </w:tc>
        <w:tc>
          <w:tcPr>
            <w:tcW w:type="dxa" w:w="31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Когда не подойдёт</w:t>
            </w:r>
          </w:p>
        </w:tc>
      </w:tr>
      <w:tr>
        <w:trPr>
          <w:cantSplit/>
          <w:tblHeader w:val="false"/>
        </w:trPr>
        <w:tc>
          <w:tcPr>
            <w:tcW w:type="dxa" w:w="15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А. Курс с заданиями и разбором</w:t>
            </w:r>
          </w:p>
        </w:tc>
        <w:tc>
          <w:tcPr>
            <w:tcW w:type="dxa" w:w="24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Теория и отдельные упражнения; продукт организует материалы и обратную связь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Дёшево в авторинге; хорошая обратная связь сама даёт эффект, в среднем d = 0,48 (Wisniewski et al., 2020)</w:t>
            </w:r>
          </w:p>
        </w:tc>
        <w:tc>
          <w:tcPr>
            <w:tcW w:type="dxa" w:w="31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Если главный пробел — адаптация к последствиям: упражнения не связаны</w:t>
            </w:r>
          </w:p>
        </w:tc>
      </w:tr>
      <w:tr>
        <w:trPr>
          <w:cantSplit/>
          <w:tblHeader w:val="false"/>
        </w:trPr>
        <w:tc>
          <w:tcPr>
            <w:tcW w:type="dxa" w:w="15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Б. Сквозной проект с наставником</w:t>
            </w:r>
          </w:p>
        </w:tc>
        <w:tc>
          <w:tcPr>
            <w:tcW w:type="dxa" w:w="24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Участник разрабатывает концепцию продукта; продукт хранит материалы и комментарии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Целостный проект, живая обратная связь</w:t>
            </w:r>
          </w:p>
        </w:tc>
        <w:tc>
          <w:tcPr>
            <w:tcW w:type="dxa" w:w="31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Если наставников мало: каждое решение разбирает человек, а последствия «запуска» остаются разговором</w:t>
            </w:r>
          </w:p>
        </w:tc>
      </w:tr>
      <w:tr>
        <w:trPr>
          <w:cantSplit/>
          <w:tblHeader w:val="false"/>
        </w:trPr>
        <w:tc>
          <w:tcPr>
            <w:tcW w:type="dxa" w:w="15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В. Непрерывная симуляция</w:t>
            </w:r>
          </w:p>
        </w:tc>
        <w:tc>
          <w:tcPr>
            <w:tcW w:type="dxa" w:w="24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Участник развивает виртуальный продукт; продукт хранит состояние и считает последствия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Тренирует адаптацию и разделение эффектов</w:t>
            </w:r>
          </w:p>
        </w:tc>
        <w:tc>
          <w:tcPr>
            <w:tcW w:type="dxa" w:w="31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Если правила непрозрачны или примитивны: обучение превращается в угадывание ответа автора (Н1; Baker et al., 2004). Дорого в авторинге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Выбор: концепция В с короткими объяснениями и разбором из А.</w:t>
      </w:r>
      <w:r>
        <w:rPr>
          <w:rFonts w:ascii="Arial" w:cs="Arial" w:eastAsia="Arial" w:hAnsi="Arial"/>
          <w:sz w:val="19"/>
          <w:szCs w:val="19"/>
        </w:rPr>
        <w:t xml:space="preserve"> Основание в замысле (решение команды) — тренировать связанные решения в неопределённости. Наблюдения: Н1 говорит не против симуляции, а против непрозрачной оценки, поэтому правила открыты; Н2 — против обязательной формы без связи с задачами, поэтому модуль короткий и привязан к цели участника. Исследования: симуляции дают большой эффект для сложных навыков при наличии опор, g = 0,85 по 145 исследованиям (Chernikova et al., 2020); дебрифинг после опыта даёт d = 0,67 (Tannenbaum &amp; Cerasoli, 2013); сравнение двух кейсов улучшает перенос (Gentner et al., 2003); обучение без руководства проигрывает управляемому (Kirschner et al., 2006), поэтому досье структурировано, а в тренировке есть подсказки. Предположение — Г-А2. Контраргумент: симуляция давала меньше, когда контрольная группа училась активно (Sitzmann, 2011). Значит, честный соперник — концепция А с хорошим разбором, и в пилоте мы сравниваем именно с ней.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Причинный механизм: почему симуляция может учить.</w:t>
      </w:r>
    </w:p>
    <w:p>
      <w:pPr>
        <w:pStyle w:val="ListParagraph"/>
        <w:numPr>
          <w:ilvl w:val="0"/>
          <w:numId w:val="3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До результата участник фиксирует ожидание: метрику, направление, величину и срок (К3).</w:t>
      </w:r>
    </w:p>
    <w:p>
      <w:pPr>
        <w:pStyle w:val="ListParagraph"/>
        <w:numPr>
          <w:ilvl w:val="0"/>
          <w:numId w:val="3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Последствия расходятся с ожиданием, а общий дашборд смешивает эффект релиза и приход 4 000 новых клиентов с другим составом.</w:t>
      </w:r>
    </w:p>
    <w:p>
      <w:pPr>
        <w:pStyle w:val="ListParagraph"/>
        <w:numPr>
          <w:ilvl w:val="0"/>
          <w:numId w:val="3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Расхождение заставляет объяснить причину: сработал релиз или изменилась аудитория (К4). Люди плохо замечают обратную связь от своих решений в динамической системе (Sterman, 1989), поэтому экран показывает «что вышло из релиза» и «что изменилось вокруг» раздельно.</w:t>
      </w:r>
    </w:p>
    <w:p>
      <w:pPr>
        <w:pStyle w:val="ListParagraph"/>
        <w:numPr>
          <w:ilvl w:val="0"/>
          <w:numId w:val="3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Разбор привязывает статус критерия к фрагменту работы и объясняет механизм через сегменты, а не «верно / неверно». Больше трети вмешательств с обратной связью ухудшали результат, особенно когда внимание уходило от задачи к самооценке (Kluger &amp; DeNisi, 1996).</w:t>
      </w:r>
    </w:p>
    <w:p>
      <w:pPr>
        <w:pStyle w:val="ListParagraph"/>
        <w:numPr>
          <w:ilvl w:val="0"/>
          <w:numId w:val="3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Новая задача на другом продукте проверяет, перенёсся ли принцип («оцени надёжность источника»), а не ответ.</w:t>
      </w:r>
    </w:p>
    <w:p>
      <w:pPr>
        <w:spacing w:after="0" w:line="8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Механизм ломается, если участник угадывает правило, если числа передаются следующей когорте или если разбор воспринимается как приговор. Против этого: правила открыты, но формула статусов не раскрыта; обоснование должно ссылаться на цифры; в задаче на перенос другие данные и другой ответ; оценку переноса даёт эксперт.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Приоритетный сценарий.</w:t>
      </w:r>
      <w:r>
        <w:rPr>
          <w:rFonts w:ascii="Arial" w:cs="Arial" w:eastAsia="Arial" w:hAnsi="Arial"/>
          <w:sz w:val="19"/>
          <w:szCs w:val="19"/>
        </w:rPr>
        <w:t xml:space="preserve">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Начало:</w:t>
      </w:r>
      <w:r>
        <w:rPr>
          <w:rFonts w:ascii="Arial" w:cs="Arial" w:eastAsia="Arial" w:hAnsi="Arial"/>
          <w:sz w:val="19"/>
          <w:szCs w:val="19"/>
        </w:rPr>
        <w:t xml:space="preserve"> кандидат открывает модуль карьерной школы банка в режиме «Тренировка» и получает роль младшего продакта команды «Целей»: за спринт поднять регулярность накоплений.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Шаги</w:t>
      </w:r>
      <w:r>
        <w:rPr>
          <w:rFonts w:ascii="Arial" w:cs="Arial" w:eastAsia="Arial" w:hAnsi="Arial"/>
          <w:sz w:val="19"/>
          <w:szCs w:val="19"/>
        </w:rPr>
        <w:t xml:space="preserve"> — пять шагов карты историй (блок 06): досье, решение в пределах 10 очков, последствия и пересмотр, разбор, задача на перенос.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Успех:</w:t>
      </w:r>
      <w:r>
        <w:rPr>
          <w:rFonts w:ascii="Arial" w:cs="Arial" w:eastAsia="Arial" w:hAnsi="Arial"/>
          <w:sz w:val="19"/>
          <w:szCs w:val="19"/>
        </w:rPr>
        <w:t xml:space="preserve"> отделил свой эффект от внешнего, решил новую задачу, эксперт получил работу с основаниями.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Затруднение:</w:t>
      </w:r>
      <w:r>
        <w:rPr>
          <w:rFonts w:ascii="Arial" w:cs="Arial" w:eastAsia="Arial" w:hAnsi="Arial"/>
          <w:sz w:val="19"/>
          <w:szCs w:val="19"/>
        </w:rPr>
        <w:t xml:space="preserve"> не хватает данных — запросить срез или записать допущение; своя идея вне списка сохраняется для эксперта и не получает выдуманных цифр; несогласие с разбором — правила модели открыты.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Непрерывность на цифрах.</w:t>
      </w:r>
      <w:r>
        <w:rPr>
          <w:rFonts w:ascii="Arial" w:cs="Arial" w:eastAsia="Arial" w:hAnsi="Arial"/>
          <w:sz w:val="19"/>
          <w:szCs w:val="19"/>
        </w:rPr>
        <w:t xml:space="preserve"> В ветке «напоминания, затем пуши реже и баллы» у прежней аудитории автопополнение за месяц 1 выросло с 18 до 18,9%, а общий показатель упал до 15,1%, потому что у 4 000 пришедших по партнёрству автопополнение около 5,5%. Руководитель пишет: «Автопополнение упало! Что сломалось? Давай срочно баллы». Кто поверит общему дашборду, запустит баллы: активность вырастет, а средняя сумма пополнения упадёт с 2 400 до 1 900 ₽. Это ловушка прокси-метрики, ради которой построен эпизод. Все цифры — правила учебного сценария, а не прогноз рынка.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05. Карточки историй</w:t>
      </w: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Ориентир канвы — четыре истории с двумя критериями (канва, с. 9), но число историй определяется концепцией. Мы оставили шесть: четыре для обучения и две для самостоятельной работы и эксперта, чтобы не потерять корпоративную сторону.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6"/>
        <w:gridCol w:w="2866"/>
        <w:gridCol w:w="1045"/>
        <w:gridCol w:w="2479"/>
        <w:gridCol w:w="2190"/>
      </w:tblGrid>
      <w:tr>
        <w:trPr>
          <w:cantSplit/>
          <w:tblHeader/>
        </w:trPr>
        <w:tc>
          <w:tcPr>
            <w:tcW w:type="dxa" w:w="1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Код</w:t>
            </w:r>
          </w:p>
        </w:tc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История</w:t>
            </w:r>
          </w:p>
        </w:tc>
        <w:tc>
          <w:tcPr>
            <w:tcW w:type="dxa" w:w="10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 / шаг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Критерий 1</w:t>
            </w:r>
          </w:p>
        </w:tc>
        <w:tc>
          <w:tcPr>
            <w:tcW w:type="dxa" w:w="2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Критерий 2</w:t>
            </w:r>
          </w:p>
        </w:tc>
      </w:tr>
      <w:tr>
        <w:trPr>
          <w:cantSplit/>
          <w:tblHeader w:val="false"/>
        </w:trPr>
        <w:tc>
          <w:tcPr>
            <w:tcW w:type="dxa" w:w="1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И1. Понять контекст</w:t>
            </w:r>
          </w:p>
        </w:tc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 кандидат, я хочу изучить цель, ограничения и сведения, чтобы определить, что выяснить до решения</w:t>
            </w:r>
          </w:p>
        </w:tc>
        <w:tc>
          <w:tcPr>
            <w:tcW w:type="dxa" w:w="10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П1 / 1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Видны роль, задача, ограничения, материалы и режим «Тренировка»</w:t>
            </w:r>
          </w:p>
        </w:tc>
        <w:tc>
          <w:tcPr>
            <w:tcW w:type="dxa" w:w="2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Неизвестное обозначено; можно записать вопрос или допущение</w:t>
            </w:r>
          </w:p>
        </w:tc>
      </w:tr>
      <w:tr>
        <w:trPr>
          <w:cantSplit/>
          <w:tblHeader w:val="false"/>
        </w:trPr>
        <w:tc>
          <w:tcPr>
            <w:tcW w:type="dxa" w:w="1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И2. Обосновать решение</w:t>
            </w:r>
          </w:p>
        </w:tc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 кандидат, я хочу зафиксировать действие, основания и ожидание, чтобы потом сопоставить их с последствиями</w:t>
            </w:r>
          </w:p>
        </w:tc>
        <w:tc>
          <w:tcPr>
            <w:tcW w:type="dxa" w:w="10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П1 / 2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Решение содержит проблему, сегмент, действие, обоснование и ожидание; следующий эпизод на него ссылается</w:t>
            </w:r>
          </w:p>
        </w:tc>
        <w:tc>
          <w:tcPr>
            <w:tcW w:type="dxa" w:w="2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Без действия или обоснования запись остаётся черновиком, текст не теряется</w:t>
            </w:r>
          </w:p>
        </w:tc>
      </w:tr>
      <w:tr>
        <w:trPr>
          <w:cantSplit/>
          <w:tblHeader w:val="false"/>
        </w:trPr>
        <w:tc>
          <w:tcPr>
            <w:tcW w:type="dxa" w:w="1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И3. Пересмотреть решение</w:t>
            </w:r>
          </w:p>
        </w:tc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 кандидат, я хочу видеть новые условия рядом с прошлым решением, чтобы объяснить, что и почему меняю</w:t>
            </w:r>
          </w:p>
        </w:tc>
        <w:tc>
          <w:tcPr>
            <w:tcW w:type="dxa" w:w="10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П2 / 3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Последствия выбора и внешнее событие показаны раздельно; состояние совпадает с веткой сценария</w:t>
            </w:r>
          </w:p>
        </w:tc>
        <w:tc>
          <w:tcPr>
            <w:tcW w:type="dxa" w:w="2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Новая версия хранится отдельно от первой, с объяснением изменений</w:t>
            </w:r>
          </w:p>
        </w:tc>
      </w:tr>
      <w:tr>
        <w:trPr>
          <w:cantSplit/>
          <w:tblHeader w:val="false"/>
        </w:trPr>
        <w:tc>
          <w:tcPr>
            <w:tcW w:type="dxa" w:w="1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И4. Получить разбор</w:t>
            </w:r>
          </w:p>
        </w:tc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 кандидат, я хочу разбор оснований, альтернатив и пропущенных ограничений, чтобы иначе решать следующие задачи</w:t>
            </w:r>
          </w:p>
        </w:tc>
        <w:tc>
          <w:tcPr>
            <w:tcW w:type="dxa" w:w="10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П3 / 4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Разбор связан с конкретным выбором и данными кейса</w:t>
            </w:r>
          </w:p>
        </w:tc>
        <w:tc>
          <w:tcPr>
            <w:tcW w:type="dxa" w:w="2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Нехватка данных обозначена явно, без категоричной оценки</w:t>
            </w:r>
          </w:p>
        </w:tc>
      </w:tr>
      <w:tr>
        <w:trPr>
          <w:cantSplit/>
          <w:tblHeader w:val="false"/>
        </w:trPr>
        <w:tc>
          <w:tcPr>
            <w:tcW w:type="dxa" w:w="1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И5. Применить самостоятельно</w:t>
            </w:r>
          </w:p>
        </w:tc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 кандидат, я хочу решить похожую задачу без подсказок, чтобы проверить, могу ли применить подход</w:t>
            </w:r>
          </w:p>
        </w:tc>
        <w:tc>
          <w:tcPr>
            <w:tcW w:type="dxa" w:w="10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П3, П4 / 5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Задача не повторяет разобранный ответ; условия и критерии видны до начала</w:t>
            </w:r>
          </w:p>
        </w:tc>
        <w:tc>
          <w:tcPr>
            <w:tcW w:type="dxa" w:w="2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Работа отделена от тренировки; передача эксперту — отдельное действие</w:t>
            </w:r>
          </w:p>
        </w:tc>
      </w:tr>
      <w:tr>
        <w:trPr>
          <w:cantSplit/>
          <w:tblHeader w:val="false"/>
        </w:trPr>
        <w:tc>
          <w:tcPr>
            <w:tcW w:type="dxa" w:w="1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И6. Разобрать работу</w:t>
            </w:r>
          </w:p>
        </w:tc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 продуктовый эксперт, я хочу видеть решение и его основания по понятным критериям, чтобы подготовить комментарий или вопрос для интервью</w:t>
            </w:r>
          </w:p>
        </w:tc>
        <w:tc>
          <w:tcPr>
            <w:tcW w:type="dxa" w:w="10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П4 / после 5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 видит переданную работу без тренировочных черновиков</w:t>
            </w:r>
          </w:p>
        </w:tc>
        <w:tc>
          <w:tcPr>
            <w:tcW w:type="dxa" w:w="2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Комментарий привязан к фрагменту; есть «недостаточно данных»; решения о найме нет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По INVEST (SE-03, сл. 31) слабое место — И5: она опирается на две потребности. В MVP это один экран, к пилоту разделим её на «решить задачу» и «передать эксперту».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06. Карта историй и граница MVP</w:t>
      </w: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MVP — вертикальный срез: один путь проходит через интерфейс, правила и данные и даёт целый результат (SE-02, сл. 41–42; SE-04, сл. 42).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38"/>
        <w:gridCol w:w="4485"/>
        <w:gridCol w:w="3243"/>
      </w:tblGrid>
      <w:tr>
        <w:trPr>
          <w:cantSplit/>
          <w:tblHeader/>
        </w:trPr>
        <w:tc>
          <w:tcPr>
            <w:tcW w:type="dxa" w:w="2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Шаг</w:t>
            </w:r>
          </w:p>
        </w:tc>
        <w:tc>
          <w:tcPr>
            <w:tcW w:type="dxa" w:w="44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Входит в MVP</w:t>
            </w:r>
          </w:p>
        </w:tc>
        <w:tc>
          <w:tcPr>
            <w:tcW w:type="dxa" w:w="32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За границей MVP</w:t>
            </w:r>
          </w:p>
        </w:tc>
      </w:tr>
      <w:tr>
        <w:trPr>
          <w:cantSplit/>
          <w:tblHeader w:val="false"/>
        </w:trPr>
        <w:tc>
          <w:tcPr>
            <w:tcW w:type="dxa" w:w="2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1. Войти в роль</w:t>
            </w:r>
          </w:p>
        </w:tc>
        <w:tc>
          <w:tcPr>
            <w:tcW w:type="dxa" w:w="44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И1: один кейс, шесть источников, блок «Что неизвестно»</w:t>
            </w:r>
          </w:p>
        </w:tc>
        <w:tc>
          <w:tcPr>
            <w:tcW w:type="dxa" w:w="32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Персональная программа из библиотеки модулей</w:t>
            </w:r>
          </w:p>
        </w:tc>
      </w:tr>
      <w:tr>
        <w:trPr>
          <w:cantSplit/>
          <w:tblHeader w:val="false"/>
        </w:trPr>
        <w:tc>
          <w:tcPr>
            <w:tcW w:type="dxa" w:w="2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2. Принять решение</w:t>
            </w:r>
          </w:p>
        </w:tc>
        <w:tc>
          <w:tcPr>
            <w:tcW w:type="dxa" w:w="44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И2: подготовленные проблемы, сегменты и инициативы, свободное обоснование, ожидание</w:t>
            </w:r>
          </w:p>
        </w:tc>
        <w:tc>
          <w:tcPr>
            <w:tcW w:type="dxa" w:w="32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Свои продукты и фичи с расчётом</w:t>
            </w:r>
          </w:p>
        </w:tc>
      </w:tr>
      <w:tr>
        <w:trPr>
          <w:cantSplit/>
          <w:tblHeader w:val="false"/>
        </w:trPr>
        <w:tc>
          <w:tcPr>
            <w:tcW w:type="dxa" w:w="2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3. Адаптироваться</w:t>
            </w:r>
          </w:p>
        </w:tc>
        <w:tc>
          <w:tcPr>
            <w:tcW w:type="dxa" w:w="44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И3: эпизод 2 зависит от выбора; одно внешнее событие; срез; пересмотр рядом с решением 1</w:t>
            </w:r>
          </w:p>
        </w:tc>
        <w:tc>
          <w:tcPr>
            <w:tcW w:type="dxa" w:w="32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Автономный рынок и бесконечные события</w:t>
            </w:r>
          </w:p>
        </w:tc>
      </w:tr>
      <w:tr>
        <w:trPr>
          <w:cantSplit/>
          <w:tblHeader w:val="false"/>
        </w:trPr>
        <w:tc>
          <w:tcPr>
            <w:tcW w:type="dxa" w:w="2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4. Разобрать опыт</w:t>
            </w:r>
          </w:p>
        </w:tc>
        <w:tc>
          <w:tcPr>
            <w:tcW w:type="dxa" w:w="44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И4: метрики двух месяцев, открытые правила, К1–К6 с фрагментами, другие ветки</w:t>
            </w:r>
          </w:p>
        </w:tc>
        <w:tc>
          <w:tcPr>
            <w:tcW w:type="dxa" w:w="32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Персональный ИИ-наставник</w:t>
            </w:r>
          </w:p>
        </w:tc>
      </w:tr>
      <w:tr>
        <w:trPr>
          <w:cantSplit/>
          <w:tblHeader w:val="false"/>
        </w:trPr>
        <w:tc>
          <w:tcPr>
            <w:tcW w:type="dxa" w:w="2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5. Проверить перенос</w:t>
            </w:r>
          </w:p>
        </w:tc>
        <w:tc>
          <w:tcPr>
            <w:tcW w:type="dxa" w:w="44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И5: одна задача без подсказок и карточка</w:t>
            </w:r>
          </w:p>
        </w:tc>
        <w:tc>
          <w:tcPr>
            <w:tcW w:type="dxa" w:w="32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Валидированное оценивание и рейтинг кандидатов</w:t>
            </w:r>
          </w:p>
        </w:tc>
      </w:tr>
      <w:tr>
        <w:trPr>
          <w:cantSplit/>
          <w:tblHeader w:val="false"/>
        </w:trPr>
        <w:tc>
          <w:tcPr>
            <w:tcW w:type="dxa" w:w="2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Путь эксперта</w:t>
            </w:r>
          </w:p>
        </w:tc>
        <w:tc>
          <w:tcPr>
            <w:tcW w:type="dxa" w:w="44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И6: список переданных работ → разбор с фрагментом и вопросом для интервью</w:t>
            </w:r>
          </w:p>
        </w:tc>
        <w:tc>
          <w:tcPr>
            <w:tcW w:type="dxa" w:w="32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Интеграция с системами найма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Результат MVP.</w:t>
      </w:r>
      <w:r>
        <w:rPr>
          <w:rFonts w:ascii="Arial" w:cs="Arial" w:eastAsia="Arial" w:hAnsi="Arial"/>
          <w:sz w:val="19"/>
          <w:szCs w:val="19"/>
        </w:rPr>
        <w:t xml:space="preserve"> Пользователь проходит два связанных решения, видит накопление последствий, получает разбор и отдельно применяет принцип; эксперт получает пример работы.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Пробелы до законченного результата:</w:t>
      </w:r>
      <w:r>
        <w:rPr>
          <w:rFonts w:ascii="Arial" w:cs="Arial" w:eastAsia="Arial" w:hAnsi="Arial"/>
          <w:sz w:val="19"/>
          <w:szCs w:val="19"/>
        </w:rPr>
        <w:t xml:space="preserve"> работа передаётся эксперту только внутри одного браузера, ИИ-разбор имитирован. Нижняя строка карты — идеи вне объёма, а не план версий (канва, с. 7).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07. Фичи и их основания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3251"/>
        <w:gridCol w:w="2110"/>
        <w:gridCol w:w="2495"/>
      </w:tblGrid>
      <w:tr>
        <w:trPr>
          <w:cantSplit/>
          <w:tblHeader/>
        </w:trPr>
        <w:tc>
          <w:tcPr>
            <w:tcW w:type="dxa" w:w="20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Фича</w:t>
            </w:r>
          </w:p>
        </w:tc>
        <w:tc>
          <w:tcPr>
            <w:tcW w:type="dxa" w:w="32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делает продукт</w:t>
            </w:r>
          </w:p>
        </w:tc>
        <w:tc>
          <w:tcPr>
            <w:tcW w:type="dxa" w:w="21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Цепочка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Граница MVP</w:t>
            </w:r>
          </w:p>
        </w:tc>
      </w:tr>
      <w:tr>
        <w:trPr>
          <w:cantSplit/>
          <w:tblHeader w:val="false"/>
        </w:trPr>
        <w:tc>
          <w:tcPr>
            <w:tcW w:type="dxa" w:w="20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Ф1. Рабочее пространство кейса</w:t>
            </w:r>
          </w:p>
        </w:tc>
        <w:tc>
          <w:tcPr>
            <w:tcW w:type="dxa" w:w="32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Показывает вводную, источники, ограничения и неизвестное; принимает решение с обоснованием и ожиданием</w:t>
            </w:r>
          </w:p>
        </w:tc>
        <w:tc>
          <w:tcPr>
            <w:tcW w:type="dxa" w:w="21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Г-А1 → П1 → И1, И2 → Э1, Э2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Один подготовленный кейс</w:t>
            </w:r>
          </w:p>
        </w:tc>
      </w:tr>
      <w:tr>
        <w:trPr>
          <w:cantSplit/>
          <w:tblHeader w:val="false"/>
        </w:trPr>
        <w:tc>
          <w:tcPr>
            <w:tcW w:type="dxa" w:w="20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Ф2. Связанные эпизоды и история решений</w:t>
            </w:r>
          </w:p>
        </w:tc>
        <w:tc>
          <w:tcPr>
            <w:tcW w:type="dxa" w:w="32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Переносит выбор в следующие условия (обязательства, ёмкость, доработки), хранит версии решений</w:t>
            </w:r>
          </w:p>
        </w:tc>
        <w:tc>
          <w:tcPr>
            <w:tcW w:type="dxa" w:w="21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Г-А2 → П2 → И3 → Э3, Э2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Ограниченное число объяснимых веток, не модель рынка</w:t>
            </w:r>
          </w:p>
        </w:tc>
      </w:tr>
      <w:tr>
        <w:trPr>
          <w:cantSplit/>
          <w:tblHeader w:val="false"/>
        </w:trPr>
        <w:tc>
          <w:tcPr>
            <w:tcW w:type="dxa" w:w="20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Ф3. Разбор и учебная помощь</w:t>
            </w:r>
          </w:p>
        </w:tc>
        <w:tc>
          <w:tcPr>
            <w:tcW w:type="dxa" w:w="32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Связывает выбор с данными, раскрывает правила модели, показывает другие ветки и фрагменты работы</w:t>
            </w:r>
          </w:p>
        </w:tc>
        <w:tc>
          <w:tcPr>
            <w:tcW w:type="dxa" w:w="21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 + Г-А2, Г-А3 → П3 → И4 → Э3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К2–К4 считаются правилами, К1, К5, К6 — эвристикой вместо ИИ</w:t>
            </w:r>
          </w:p>
        </w:tc>
      </w:tr>
      <w:tr>
        <w:trPr>
          <w:cantSplit/>
          <w:tblHeader w:val="false"/>
        </w:trPr>
        <w:tc>
          <w:tcPr>
            <w:tcW w:type="dxa" w:w="20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Ф4. Самостоятельная проба и карточка</w:t>
            </w:r>
          </w:p>
        </w:tc>
        <w:tc>
          <w:tcPr>
            <w:tcW w:type="dxa" w:w="32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Отделяет проверочную работу от тренировки и передаёт её эксперту по действию участника</w:t>
            </w:r>
          </w:p>
        </w:tc>
        <w:tc>
          <w:tcPr>
            <w:tcW w:type="dxa" w:w="21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Г-А3, Г-Б1, Г-Б2 → П3, П4 → И5, И6 → Э4, Э5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Одна задача; без интеграции с наймом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Ф3 — первая цепочка, которая начинается с наблюдения; остальные начнутся с Н после интервью. Режим обоснования (из Н5) и блок «Быстрое демо для защиты» с тремя готовыми прохождениями — служебные функции для показа, а не фичи продукта.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Проверка связности.</w:t>
      </w:r>
      <w:r>
        <w:rPr>
          <w:rFonts w:ascii="Arial" w:cs="Arial" w:eastAsia="Arial" w:hAnsi="Arial"/>
          <w:sz w:val="19"/>
          <w:szCs w:val="19"/>
        </w:rPr>
        <w:t xml:space="preserve"> Г-А2 «не хватает причинной обратной связи» → П2 «отличить последствия своего выбора от внешних обстоятельств» → И3 «пересмотреть решение» → Ф2 «связанные эпизоды» → Э3 «последствия и новая вводная». В MVP видно, что прошлое решение учитывается: оно стоит слева от формы пересмотра; если в эпизоде 1 взяли баллы, во втором остаётся 7 очков вместо 10; «умные напоминания» доступны, только если напоминания уже запущены.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Какое предположение сильнее всего влияет на состав фич.</w:t>
      </w:r>
      <w:r>
        <w:rPr>
          <w:rFonts w:ascii="Arial" w:cs="Arial" w:eastAsia="Arial" w:hAnsi="Arial"/>
          <w:sz w:val="19"/>
          <w:szCs w:val="19"/>
        </w:rPr>
        <w:t xml:space="preserve"> Г-А2. Если она не подтвердится, самая дорогая в авторинге Ф2 теряет основание, а Ф1, Ф3 и Ф4 остаются в концепции А.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08. Интерфейс и прототип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3"/>
        <w:gridCol w:w="5915"/>
        <w:gridCol w:w="1808"/>
      </w:tblGrid>
      <w:tr>
        <w:trPr>
          <w:cantSplit/>
          <w:tblHeader/>
        </w:trPr>
        <w:tc>
          <w:tcPr>
            <w:tcW w:type="dxa" w:w="2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Экран</w:t>
            </w:r>
          </w:p>
        </w:tc>
        <w:tc>
          <w:tcPr>
            <w:tcW w:type="dxa" w:w="5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видит и делает пользователь</w:t>
            </w:r>
          </w:p>
        </w:tc>
        <w:tc>
          <w:tcPr>
            <w:tcW w:type="dxa" w:w="18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И / Ф</w:t>
            </w:r>
          </w:p>
        </w:tc>
      </w:tr>
      <w:tr>
        <w:trPr>
          <w:cantSplit/>
          <w:tblHeader w:val="false"/>
        </w:trPr>
        <w:tc>
          <w:tcPr>
            <w:tcW w:type="dxa" w:w="2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Э1. Досье</w:t>
            </w:r>
          </w:p>
        </w:tc>
        <w:tc>
          <w:tcPr>
            <w:tcW w:type="dxa" w:w="5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Роль, задачу, режим, ёмкость 10 очков, стартовые метрики, вкладки источников, «Что неизвестно»; записывает вопрос или допущение</w:t>
            </w:r>
          </w:p>
        </w:tc>
        <w:tc>
          <w:tcPr>
            <w:tcW w:type="dxa" w:w="18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И1 / Ф1</w:t>
            </w:r>
          </w:p>
        </w:tc>
      </w:tr>
      <w:tr>
        <w:trPr>
          <w:cantSplit/>
          <w:tblHeader w:val="false"/>
        </w:trPr>
        <w:tc>
          <w:tcPr>
            <w:tcW w:type="dxa" w:w="2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Э2. Решение</w:t>
            </w:r>
          </w:p>
        </w:tc>
        <w:tc>
          <w:tcPr>
            <w:tcW w:type="dxa" w:w="5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Инициативы с ценой и ограничениями, шкалу ёмкости, статус «Черновик» или «Готово к запуску»; при пересмотре слева решение 1 и итог месяца. Вводит проблему, сегмент, инициативы, ожидание, обоснование</w:t>
            </w:r>
          </w:p>
        </w:tc>
        <w:tc>
          <w:tcPr>
            <w:tcW w:type="dxa" w:w="18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И2, И3 / Ф1, Ф2</w:t>
            </w:r>
          </w:p>
        </w:tc>
      </w:tr>
      <w:tr>
        <w:trPr>
          <w:cantSplit/>
          <w:tblHeader w:val="false"/>
        </w:trPr>
        <w:tc>
          <w:tcPr>
            <w:tcW w:type="dxa" w:w="2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Э3. Последствия и разбор</w:t>
            </w:r>
          </w:p>
        </w:tc>
        <w:tc>
          <w:tcPr>
            <w:tcW w:type="dxa" w:w="5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Раздельно «что вышло из релиза» и «что изменилось вокруг», дашборд руководителя, реплики; запрашивает срез и объясняет изменение. Затем метрики двух месяцев, правила модели, К1–К6</w:t>
            </w:r>
          </w:p>
        </w:tc>
        <w:tc>
          <w:tcPr>
            <w:tcW w:type="dxa" w:w="18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И3, И4 / Ф2, Ф3</w:t>
            </w:r>
          </w:p>
        </w:tc>
      </w:tr>
      <w:tr>
        <w:trPr>
          <w:cantSplit/>
          <w:tblHeader w:val="false"/>
        </w:trPr>
        <w:tc>
          <w:tcPr>
            <w:tcW w:type="dxa" w:w="2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Э4. Самостоятельная задача</w:t>
            </w:r>
          </w:p>
        </w:tc>
        <w:tc>
          <w:tcPr>
            <w:tcW w:type="dxa" w:w="5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Новые условия и критерии до начала, без подсказок; та же форма решения в пределах 7 очков</w:t>
            </w:r>
          </w:p>
        </w:tc>
        <w:tc>
          <w:tcPr>
            <w:tcW w:type="dxa" w:w="18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И5 / Ф4</w:t>
            </w:r>
          </w:p>
        </w:tc>
      </w:tr>
      <w:tr>
        <w:trPr>
          <w:cantSplit/>
          <w:tblHeader w:val="false"/>
        </w:trPr>
        <w:tc>
          <w:tcPr>
            <w:tcW w:type="dxa" w:w="21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Э5. Карточка</w:t>
            </w:r>
          </w:p>
        </w:tc>
        <w:tc>
          <w:tcPr>
            <w:tcW w:type="dxa" w:w="5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Участник видит, что уйдёт эксперту и что нет, передаёт или отзывает работу. Эксперт ставит статус по критерию, выбирает фрагмент, пишет комментарий и вопрос для интервью</w:t>
            </w:r>
          </w:p>
        </w:tc>
        <w:tc>
          <w:tcPr>
            <w:tcW w:type="dxa" w:w="18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И5, И6 / Ф4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Переходы.</w:t>
      </w:r>
      <w:r>
        <w:rPr>
          <w:rFonts w:ascii="Arial" w:cs="Arial" w:eastAsia="Arial" w:hAnsi="Arial"/>
          <w:sz w:val="19"/>
          <w:szCs w:val="19"/>
        </w:rPr>
        <w:t xml:space="preserve"> Э1 → Э2 → Э3 с новой вводной → Э2 с пересмотром → Э3 с разбором → Э4 → Э5 (в интерфейсе семь шагов); у эксперта: список работ → разбор работы.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90800" cy="1619250"/>
                  <wp:effectExtent t="0" r="0" b="0" l="0"/>
                  <wp:docPr id="1" name="03-досье" descr="Э1. Досье: источники противоречат друг другу, неизвестное отмечено отдельно" title="Э1. Досье: источники противоречат друг другу, неизвестное отмечено отдельн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i/>
                <w:iCs/>
                <w:sz w:val="15"/>
                <w:szCs w:val="15"/>
              </w:rPr>
              <w:t xml:space="preserve">Рис. 1. Э1. Досье: источники противоречат друг другу, неизвестное отмечено отдельно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90800" cy="2371725"/>
                  <wp:effectExtent t="0" r="0" b="0" l="0"/>
                  <wp:docPr id="1" name="06-последствия" descr="Э3. Последствия: эффект релиза и внешнее событие показаны раздельно" title="Э3. Последствия: эффект релиза и внешнее событие показаны раздельн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i/>
                <w:iCs/>
                <w:sz w:val="15"/>
                <w:szCs w:val="15"/>
              </w:rPr>
              <w:t xml:space="preserve">Рис. 2. Э3. Последствия: эффект релиза и внешнее событие показаны раздельно</w:t>
            </w:r>
          </w:p>
        </w:tc>
      </w:tr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90800" cy="1619250"/>
                  <wp:effectExtent t="0" r="0" b="0" l="0"/>
                  <wp:docPr id="1" name="07-пересмотр" descr="Э2 при пересмотре: решение 1 и итог месяца стоят рядом с новой формой" title="Э2 при пересмотре: решение 1 и итог месяца стоят рядом с новой форм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i/>
                <w:iCs/>
                <w:sz w:val="15"/>
                <w:szCs w:val="15"/>
              </w:rPr>
              <w:t xml:space="preserve">Рис. 3. Э2 при пересмотре: решение 1 и итог месяца стоят рядом с новой формой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90800" cy="1162050"/>
                  <wp:effectExtent t="0" r="0" b="0" l="0"/>
                  <wp:docPr id="1" name="08-разбор" descr="Э3 с разбором: статус каждого критерия подкреплён фрагментом работы, источник оценки подписан" title="Э3 с разбором: статус каждого критерия подкреплён фрагментом работы, источник оценки подписа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i/>
                <w:iCs/>
                <w:sz w:val="15"/>
                <w:szCs w:val="15"/>
              </w:rPr>
              <w:t xml:space="preserve">Рис. 4. Э3 с разбором: статус каждого критерия подкреплён фрагментом работы, источник оценки подписан (фрагмент экрана)</w:t>
            </w:r>
          </w:p>
        </w:tc>
      </w:tr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90800" cy="1619250"/>
                  <wp:effectExtent t="0" r="0" b="0" l="0"/>
                  <wp:docPr id="1" name="13-эксперт-разбор" descr="Э5. Кабинет эксперта: статус по критерию и привязка к фрагменту, итогового балла нет" title="Э5. Кабинет эксперта: статус по критерию и привязка к фрагменту, итогового балла не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i/>
                <w:iCs/>
                <w:sz w:val="15"/>
                <w:szCs w:val="15"/>
              </w:rPr>
              <w:t xml:space="preserve">Рис. 5. Э5. Кабинет эксперта: статус по критерию и привязка к фрагменту, итогового балла нет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90800" cy="1619250"/>
                  <wp:effectExtent t="0" r="0" b="0" l="0"/>
                  <wp:docPr id="1" name="04-досье-обоснование" descr="Режим обоснования: метки И/Ф/Э, цепочка Г→П→И→Ф→Э и критерии приёмки" title="Режим обоснования: метки И/Ф/Э, цепочка Г→П→И→Ф→Э и критерии приём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i/>
                <w:iCs/>
                <w:sz w:val="15"/>
                <w:szCs w:val="15"/>
              </w:rPr>
              <w:t xml:space="preserve">Рис. 6. Режим обоснования: метки И/Ф/Э, цепочка Г→П→И→Ф→Э и критерии приёмки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Ошибки и пустые состояния.</w:t>
      </w:r>
      <w:r>
        <w:rPr>
          <w:rFonts w:ascii="Arial" w:cs="Arial" w:eastAsia="Arial" w:hAnsi="Arial"/>
          <w:sz w:val="19"/>
          <w:szCs w:val="19"/>
        </w:rPr>
        <w:t xml:space="preserve"> Учебная неопределённость, незаполненное решение, техническая ошибка и «ещё не проверено» должны различаться (SE-03, сл. 25, 40).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43"/>
        <w:gridCol w:w="5208"/>
        <w:gridCol w:w="1915"/>
      </w:tblGrid>
      <w:tr>
        <w:trPr>
          <w:cantSplit/>
          <w:tblHeader/>
        </w:trPr>
        <w:tc>
          <w:tcPr>
            <w:tcW w:type="dxa" w:w="2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Ситуация</w:t>
            </w:r>
          </w:p>
        </w:tc>
        <w:tc>
          <w:tcPr>
            <w:tcW w:type="dxa" w:w="52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видит пользователь и как продолжить</w:t>
            </w:r>
          </w:p>
        </w:tc>
        <w:tc>
          <w:tcPr>
            <w:tcW w:type="dxa" w:w="1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В MVP</w:t>
            </w:r>
          </w:p>
        </w:tc>
      </w:tr>
      <w:tr>
        <w:trPr>
          <w:cantSplit/>
          <w:tblHeader w:val="false"/>
        </w:trPr>
        <w:tc>
          <w:tcPr>
            <w:tcW w:type="dxa" w:w="2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Сведений нет по условиям кейса</w:t>
            </w:r>
          </w:p>
        </w:tc>
        <w:tc>
          <w:tcPr>
            <w:tcW w:type="dxa" w:w="52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Блок «Что неизвестно» и поле для вопроса или допущения; можно идти к решению с допущением</w:t>
            </w:r>
          </w:p>
        </w:tc>
        <w:tc>
          <w:tcPr>
            <w:tcW w:type="dxa" w:w="1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Есть</w:t>
            </w:r>
          </w:p>
        </w:tc>
      </w:tr>
      <w:tr>
        <w:trPr>
          <w:cantSplit/>
          <w:tblHeader w:val="false"/>
        </w:trPr>
        <w:tc>
          <w:tcPr>
            <w:tcW w:type="dxa" w:w="2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Решение неполное или превышена ёмкость</w:t>
            </w:r>
          </w:p>
        </w:tc>
        <w:tc>
          <w:tcPr>
            <w:tcW w:type="dxa" w:w="52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«Черновик» и список того, чего не хватает; текст сохраняется</w:t>
            </w:r>
          </w:p>
        </w:tc>
        <w:tc>
          <w:tcPr>
            <w:tcW w:type="dxa" w:w="1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Есть</w:t>
            </w:r>
          </w:p>
        </w:tc>
      </w:tr>
      <w:tr>
        <w:trPr>
          <w:cantSplit/>
          <w:tblHeader w:val="false"/>
        </w:trPr>
        <w:tc>
          <w:tcPr>
            <w:tcW w:type="dxa" w:w="2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Своя идея вне списка</w:t>
            </w:r>
          </w:p>
        </w:tc>
        <w:tc>
          <w:tcPr>
            <w:tcW w:type="dxa" w:w="52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Уходит в «Альтернативы для обсуждения с экспертом», цифр не получает; нужно выбрать ближайшую поддерживаемую инициативу</w:t>
            </w:r>
          </w:p>
        </w:tc>
        <w:tc>
          <w:tcPr>
            <w:tcW w:type="dxa" w:w="1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Есть</w:t>
            </w:r>
          </w:p>
        </w:tc>
      </w:tr>
      <w:tr>
        <w:trPr>
          <w:cantSplit/>
          <w:tblHeader w:val="false"/>
        </w:trPr>
        <w:tc>
          <w:tcPr>
            <w:tcW w:type="dxa" w:w="2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Работа не передана или не разобрана</w:t>
            </w:r>
          </w:p>
        </w:tc>
        <w:tc>
          <w:tcPr>
            <w:tcW w:type="dxa" w:w="52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«Не передана» или «Ожидает разбора», а не нулевая оценка</w:t>
            </w:r>
          </w:p>
        </w:tc>
        <w:tc>
          <w:tcPr>
            <w:tcW w:type="dxa" w:w="1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Есть</w:t>
            </w:r>
          </w:p>
        </w:tc>
      </w:tr>
      <w:tr>
        <w:trPr>
          <w:cantSplit/>
          <w:tblHeader w:val="false"/>
        </w:trPr>
        <w:tc>
          <w:tcPr>
            <w:tcW w:type="dxa" w:w="2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 эксперта нет переданных работ</w:t>
            </w:r>
          </w:p>
        </w:tc>
        <w:tc>
          <w:tcPr>
            <w:tcW w:type="dxa" w:w="52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Подсказка, как работа появится, и две демо-работы</w:t>
            </w:r>
          </w:p>
        </w:tc>
        <w:tc>
          <w:tcPr>
            <w:tcW w:type="dxa" w:w="1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Есть</w:t>
            </w:r>
          </w:p>
        </w:tc>
      </w:tr>
      <w:tr>
        <w:trPr>
          <w:cantSplit/>
          <w:tblHeader w:val="false"/>
        </w:trPr>
        <w:tc>
          <w:tcPr>
            <w:tcW w:type="dxa" w:w="2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Хранилище браузера недоступно</w:t>
            </w:r>
          </w:p>
        </w:tc>
        <w:tc>
          <w:tcPr>
            <w:tcW w:type="dxa" w:w="52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Работа идёт в памяти и пропадёт после закрытия вкладки; сообщения нет</w:t>
            </w:r>
          </w:p>
        </w:tc>
        <w:tc>
          <w:tcPr>
            <w:tcW w:type="dxa" w:w="1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Недоработка</w:t>
            </w:r>
          </w:p>
        </w:tc>
      </w:tr>
      <w:tr>
        <w:trPr>
          <w:cantSplit/>
          <w:tblHeader w:val="false"/>
        </w:trPr>
        <w:tc>
          <w:tcPr>
            <w:tcW w:type="dxa" w:w="2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Материал или разбор не загрузился</w:t>
            </w:r>
          </w:p>
        </w:tc>
        <w:tc>
          <w:tcPr>
            <w:tcW w:type="dxa" w:w="52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 MVP не возникает: всё в статической сборке. В целевой версии — сообщение о технической ошибке и «Повторить», без подстановки результата</w:t>
            </w:r>
          </w:p>
        </w:tc>
        <w:tc>
          <w:tcPr>
            <w:tcW w:type="dxa" w:w="1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</w:t>
            </w:r>
          </w:p>
        </w:tc>
      </w:tr>
    </w:tbl>
    <w:p>
      <w:pPr>
        <w:spacing w:after="0" w:line="140" w:lineRule="exact"/>
      </w:pP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09. Технические решения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76"/>
        <w:gridCol w:w="4734"/>
        <w:gridCol w:w="3056"/>
      </w:tblGrid>
      <w:tr>
        <w:trPr>
          <w:cantSplit/>
          <w:tblHeader/>
        </w:trPr>
        <w:tc>
          <w:tcPr>
            <w:tcW w:type="dxa" w:w="20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Блок</w:t>
            </w:r>
          </w:p>
        </w:tc>
        <w:tc>
          <w:tcPr>
            <w:tcW w:type="dxa" w:w="47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Роль в сценарии и передаваемые данные</w:t>
            </w:r>
          </w:p>
        </w:tc>
        <w:tc>
          <w:tcPr>
            <w:tcW w:type="dxa" w:w="3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В MVP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Интерфейс участника и эксперта</w:t>
            </w:r>
          </w:p>
        </w:tc>
        <w:tc>
          <w:tcPr>
            <w:tcW w:type="dxa" w:w="47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Показывает досье, принимает выбор и обоснование; в логику передаёт инициативы, объяснение, запрос среза, обратно получает метрики по аудиториям</w:t>
            </w:r>
          </w:p>
        </w:tc>
        <w:tc>
          <w:tcPr>
            <w:tcW w:type="dxa" w:w="3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React 19, TypeScript, VKUI; статический сайт на GitHub Pages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Логика сценария</w:t>
            </w:r>
          </w:p>
        </w:tc>
        <w:tc>
          <w:tcPr>
            <w:tcW w:type="dxa" w:w="47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Считает следующее состояние по правилам и выставляет статусы К2–К4; в хранение передаёт решения 1 и 2, срез, версии</w:t>
            </w:r>
          </w:p>
        </w:tc>
        <w:tc>
          <w:tcPr>
            <w:tcW w:type="dxa" w:w="3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Детерминированный движок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sim/engine.ts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разбор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sim/debrief.ts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Хранение</w:t>
            </w:r>
          </w:p>
        </w:tc>
        <w:tc>
          <w:tcPr>
            <w:tcW w:type="dxa" w:w="47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Сценарий, попытки, самостоятельная работа, комментарии эксперта</w:t>
            </w:r>
          </w:p>
        </w:tc>
        <w:tc>
          <w:tcPr>
            <w:tcW w:type="dxa" w:w="3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Сценарий в коде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sim/scenario.ts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), остальное в localStorage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Внешний ИИ-сервис</w:t>
            </w:r>
          </w:p>
        </w:tc>
        <w:tc>
          <w:tcPr>
            <w:tcW w:type="dxa" w:w="47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Только в целевой версии: получает текст обоснования и рубрику, возвращает черновик статуса К1, К5, К6, который подтверждает эксперт; цифр и правил не меняет</w:t>
            </w:r>
          </w:p>
        </w:tc>
        <w:tc>
          <w:tcPr>
            <w:tcW w:type="dxa" w:w="3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Нет: эвристика по ключевым словам</w:t>
            </w:r>
          </w:p>
        </w:tc>
      </w:tr>
    </w:tbl>
    <w:p>
      <w:pPr>
        <w:spacing w:after="0" w:line="140" w:lineRule="exact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78"/>
        <w:gridCol w:w="2810"/>
        <w:gridCol w:w="2602"/>
        <w:gridCol w:w="2576"/>
      </w:tblGrid>
      <w:tr>
        <w:trPr>
          <w:cantSplit/>
          <w:tblHeader/>
        </w:trPr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Данные</w:t>
            </w:r>
          </w:p>
        </w:tc>
        <w:tc>
          <w:tcPr>
            <w:tcW w:type="dxa" w:w="2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хранится</w:t>
            </w:r>
          </w:p>
        </w:tc>
        <w:tc>
          <w:tcPr>
            <w:tcW w:type="dxa" w:w="26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Кто имеет доступ</w:t>
            </w:r>
          </w:p>
        </w:tc>
        <w:tc>
          <w:tcPr>
            <w:tcW w:type="dxa" w:w="2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В MVP</w:t>
            </w:r>
          </w:p>
        </w:tc>
      </w:tr>
      <w:tr>
        <w:trPr>
          <w:cantSplit/>
          <w:tblHeader w:val="false"/>
        </w:trPr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1. Сценарий</w:t>
            </w:r>
          </w:p>
        </w:tc>
        <w:tc>
          <w:tcPr>
            <w:tcW w:type="dxa" w:w="2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Вводные, источники, правила эффектов, событие, версия</w:t>
            </w:r>
          </w:p>
        </w:tc>
        <w:tc>
          <w:tcPr>
            <w:tcW w:type="dxa" w:w="26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Автор и эксперт; участнику — часть текущего шага</w:t>
            </w:r>
          </w:p>
        </w:tc>
        <w:tc>
          <w:tcPr>
            <w:tcW w:type="dxa" w:w="2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 коде, версия — коммит</w:t>
            </w:r>
          </w:p>
        </w:tc>
      </w:tr>
      <w:tr>
        <w:trPr>
          <w:cantSplit/>
          <w:tblHeader w:val="false"/>
        </w:trPr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2. Тренировочная попытка</w:t>
            </w:r>
          </w:p>
        </w:tc>
        <w:tc>
          <w:tcPr>
            <w:tcW w:type="dxa" w:w="2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Заметки, решения 1 и 2, срез, разбор</w:t>
            </w:r>
          </w:p>
        </w:tc>
        <w:tc>
          <w:tcPr>
            <w:tcW w:type="dxa" w:w="26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Только участник</w:t>
            </w:r>
          </w:p>
        </w:tc>
        <w:tc>
          <w:tcPr>
            <w:tcW w:type="dxa" w:w="2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localStorage</w:t>
            </w:r>
          </w:p>
        </w:tc>
      </w:tr>
      <w:tr>
        <w:trPr>
          <w:cantSplit/>
          <w:tblHeader w:val="false"/>
        </w:trPr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3. Самостоятельная работа</w:t>
            </w:r>
          </w:p>
        </w:tc>
        <w:tc>
          <w:tcPr>
            <w:tcW w:type="dxa" w:w="2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Условия, решение, обоснование, ожидание, статус передачи</w:t>
            </w:r>
          </w:p>
        </w:tc>
        <w:tc>
          <w:tcPr>
            <w:tcW w:type="dxa" w:w="26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Участник; эксперт — после передачи и до отзыва</w:t>
            </w:r>
          </w:p>
        </w:tc>
        <w:tc>
          <w:tcPr>
            <w:tcW w:type="dxa" w:w="2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localStorage, передача — флаг в том же браузере</w:t>
            </w:r>
          </w:p>
        </w:tc>
      </w:tr>
      <w:tr>
        <w:trPr>
          <w:cantSplit/>
          <w:tblHeader w:val="false"/>
        </w:trPr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4. Критерии и комментарии</w:t>
            </w:r>
          </w:p>
        </w:tc>
        <w:tc>
          <w:tcPr>
            <w:tcW w:type="dxa" w:w="2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Статусы, фрагмент, комментарий, вопрос для интервью</w:t>
            </w:r>
          </w:p>
        </w:tc>
        <w:tc>
          <w:tcPr>
            <w:tcW w:type="dxa" w:w="26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 и автор работы</w:t>
            </w:r>
          </w:p>
        </w:tc>
        <w:tc>
          <w:tcPr>
            <w:tcW w:type="dxa" w:w="2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localStorage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Т1. Браузерный формат.</w:t>
      </w:r>
      <w:r>
        <w:rPr>
          <w:rFonts w:ascii="Arial" w:cs="Arial" w:eastAsia="Arial" w:hAnsi="Arial"/>
          <w:sz w:val="19"/>
          <w:szCs w:val="19"/>
        </w:rPr>
        <w:t xml:space="preserve"> Выбор: веб-интерфейс; альтернатива: мобильное приложение или VR. Подходит сценарию, потому что основная работа — читать источники, сравнивать цифры и писать обоснование, а ссылку можно открыть без установки. Ограничение: мобильный опыт не обещаем; GitHub Pages годится только для вымышленных данных, для пилота нужен сервер в контуре, согласованном с банком, и ответ о размещении данных кандидатов (SE-01, сл. 20).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Т2. Подготовленные правила последствий.</w:t>
      </w:r>
      <w:r>
        <w:rPr>
          <w:rFonts w:ascii="Arial" w:cs="Arial" w:eastAsia="Arial" w:hAnsi="Arial"/>
          <w:sz w:val="19"/>
          <w:szCs w:val="19"/>
        </w:rPr>
        <w:t xml:space="preserve"> Выбор: ограниченные ветвления с заранее объяснёнными зависимостями; альтернатива: мир, который генерирует ИИ. Подходит, потому что нужно показать, почему действие привело к состоянию, и воспроизвести переход при проверке; ИИ внутри продукта требует отдельной оценки и не получает новых прав сам (SE-02, сл. 87, 94). Ограничение: любую идею участника посчитать нельзя, она сохраняется для эксперта. В эпизоде 1 восемь допустимых наборов, поэтому правило можно выучить (Baker et al., 2004); защита — вариация чисел между потоками.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Требования к качеству.</w:t>
      </w:r>
      <w:r>
        <w:rPr>
          <w:rFonts w:ascii="Arial" w:cs="Arial" w:eastAsia="Arial" w:hAnsi="Arial"/>
          <w:sz w:val="19"/>
          <w:szCs w:val="19"/>
        </w:rPr>
        <w:t xml:space="preserve"> Каждое задаёт условие, меру и способ проверки (SE-03, сл. 40).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50"/>
        <w:gridCol w:w="3512"/>
        <w:gridCol w:w="2315"/>
        <w:gridCol w:w="2389"/>
      </w:tblGrid>
      <w:tr>
        <w:trPr>
          <w:cantSplit/>
          <w:tblHeader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Свойство</w:t>
            </w:r>
          </w:p>
        </w:tc>
        <w:tc>
          <w:tcPr>
            <w:tcW w:type="dxa" w:w="35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Мера</w:t>
            </w:r>
          </w:p>
        </w:tc>
        <w:tc>
          <w:tcPr>
            <w:tcW w:type="dxa" w:w="2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Как проверяем</w:t>
            </w:r>
          </w:p>
        </w:tc>
        <w:tc>
          <w:tcPr>
            <w:tcW w:type="dxa" w:w="2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Статус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1. Причинная согласованность</w:t>
            </w:r>
          </w:p>
        </w:tc>
        <w:tc>
          <w:tcPr>
            <w:tcW w:type="dxa" w:w="35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При одинаковых состоянии, выборах и событии результат совпадает в 100% прогонов; пять контрольных веток совпадают с расчётом сценария до 0,1 п.п.</w:t>
            </w:r>
          </w:p>
        </w:tc>
        <w:tc>
          <w:tcPr>
            <w:tcW w:type="dxa" w:w="2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7 автотестов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sim/engine.test.ts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в CI перед каждой публикацией</w:t>
            </w:r>
          </w:p>
        </w:tc>
        <w:tc>
          <w:tcPr>
            <w:tcW w:type="dxa" w:w="2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Выполняется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2. Предсказуемость разбора</w:t>
            </w:r>
          </w:p>
        </w:tc>
        <w:tc>
          <w:tcPr>
            <w:tcW w:type="dxa" w:w="35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 трёх эталонных прохождениях статусы К1–К6 совпадают с ожидаемыми</w:t>
            </w:r>
          </w:p>
        </w:tc>
        <w:tc>
          <w:tcPr>
            <w:tcW w:type="dxa" w:w="2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 автотеста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sim/debrief.test.ts</w:t>
            </w:r>
          </w:p>
        </w:tc>
        <w:tc>
          <w:tcPr>
            <w:tcW w:type="dxa" w:w="2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Только на эталонах: эвристику К1, К5, К6 обманывает набор слов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3. Разделение режимов и доступа</w:t>
            </w:r>
          </w:p>
        </w:tc>
        <w:tc>
          <w:tcPr>
            <w:tcW w:type="dxa" w:w="35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 эксперта нет ни одного поля тренировочного маршрута; работа появляется после «Передать» и исчезает после «Отозвать»</w:t>
            </w:r>
          </w:p>
        </w:tc>
        <w:tc>
          <w:tcPr>
            <w:tcW w:type="dxa" w:w="2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Сравнение представлений участника и эксперта</w:t>
            </w:r>
          </w:p>
        </w:tc>
        <w:tc>
          <w:tcPr>
            <w:tcW w:type="dxa" w:w="2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Показано на одном устройстве; без серверной авторизации не доказано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4. Различимость эффектов (пилот)</w:t>
            </w:r>
          </w:p>
        </w:tc>
        <w:tc>
          <w:tcPr>
            <w:tcW w:type="dxa" w:w="35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 из 5 участников различают эффект своего решения и внешнее событие</w:t>
            </w:r>
          </w:p>
        </w:tc>
        <w:tc>
          <w:tcPr>
            <w:tcW w:type="dxa" w:w="2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Статус К4 и вопрос после модуля</w:t>
            </w:r>
          </w:p>
        </w:tc>
        <w:tc>
          <w:tcPr>
            <w:tcW w:type="dxa" w:w="2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проверялось</w:t>
            </w:r>
          </w:p>
        </w:tc>
      </w:tr>
    </w:tbl>
    <w:p>
      <w:pPr>
        <w:spacing w:after="0" w:line="140" w:lineRule="exact"/>
      </w:pP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10. MVP: что сделано и что не доказано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Формат.</w:t>
      </w:r>
      <w:r>
        <w:rPr>
          <w:rFonts w:ascii="Arial" w:cs="Arial" w:eastAsia="Arial" w:hAnsi="Arial"/>
          <w:sz w:val="19"/>
          <w:szCs w:val="19"/>
        </w:rPr>
        <w:t xml:space="preserve"> Работающий веб-прототип с открытым кодом: https://nominalnominalovich.github.io/polygon/. Мокапов по курсу достаточно (SE-04, сл. 2, 42), и концепция v1.1 начиналась с них. Код мы написали потому, что главный момент продукта — последствия, зависящие от выбора из восьми наборов и нескольких веток второго эпизода, и их совпадение при повторе. Статичные мокапы показали бы одну заранее нарисованную ветку.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Сценарий демонстрации</w:t>
      </w:r>
      <w:r>
        <w:rPr>
          <w:rFonts w:ascii="Arial" w:cs="Arial" w:eastAsia="Arial" w:hAnsi="Arial"/>
          <w:sz w:val="19"/>
          <w:szCs w:val="19"/>
        </w:rPr>
        <w:t xml:space="preserve"> повторяет приоритетный сценарий, затем тот же человек входит как эксперт и разбирает переданную работу. Для показа есть три готовых прохождения: «Сильный путь», «Ловушка баллов», «Сначала исследование».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40"/>
        <w:gridCol w:w="3256"/>
        <w:gridCol w:w="2970"/>
      </w:tblGrid>
      <w:tr>
        <w:trPr>
          <w:cantSplit/>
          <w:tblHeader/>
        </w:trPr>
        <w:tc>
          <w:tcPr>
            <w:tcW w:type="dxa" w:w="3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Реализовано</w:t>
            </w:r>
          </w:p>
        </w:tc>
        <w:tc>
          <w:tcPr>
            <w:tcW w:type="dxa" w:w="32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Имитируется</w:t>
            </w:r>
          </w:p>
        </w:tc>
        <w:tc>
          <w:tcPr>
            <w:tcW w:type="dxa" w:w="29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Ограничения</w:t>
            </w:r>
          </w:p>
        </w:tc>
      </w:tr>
      <w:tr>
        <w:trPr>
          <w:cantSplit/>
          <w:tblHeader w:val="false"/>
        </w:trPr>
        <w:tc>
          <w:tcPr>
            <w:tcW w:type="dxa" w:w="3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Путь кандидата из семи шагов; расчёт по пяти сегментам; восемь наборов эпизода 1 и варианты эпизода 2 с учётом обязательств; срез; версии решений; разбор К1–К6 с фрагментами и сравнение с другими ветками; задача на перенос; передача и отзыв; кабинет эксперта с «недостаточно данных»; режим обоснования; 10 автотестов</w:t>
            </w:r>
          </w:p>
        </w:tc>
        <w:tc>
          <w:tcPr>
            <w:tcW w:type="dxa" w:w="32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ИИ-разбор свободного текста: К1, К5, К6 ставит эвристика по ключевым словам, на экране это подписано; банк, клиенты и коллеги; две демо-работы у эксперта; «передача» внутри одного браузера; библиотека модулей</w:t>
            </w:r>
          </w:p>
        </w:tc>
        <w:tc>
          <w:tcPr>
            <w:tcW w:type="dxa" w:w="29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сервера, входа и защиты данных; эвристику легко обмануть; один модуль; в задаче на перенос последствия не считаются; нет вариации чисел; мобильная вёрстка не проверялась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Судьба прототипа</w:t>
      </w:r>
      <w:r>
        <w:rPr>
          <w:rFonts w:ascii="Arial" w:cs="Arial" w:eastAsia="Arial" w:hAnsi="Arial"/>
          <w:sz w:val="19"/>
          <w:szCs w:val="19"/>
        </w:rPr>
        <w:t xml:space="preserve"> выбрана по частям (SE-02, сл. 17). Эволюционная часть: движок, формат сценария, контрольные ветки как тесты, правила К2–К4. Одноразовая: эвристика К1, К5, К6 (заменят рубрика и проверка экспертом), хранение в браузере (заменит сервер с доступом), демо-пресеты. От продолжения из-за понесённых затрат защищают критерии остановки в стратегии.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Что MVP не доказывает.</w:t>
      </w:r>
      <w:r>
        <w:rPr>
          <w:rFonts w:ascii="Arial" w:cs="Arial" w:eastAsia="Arial" w:hAnsi="Arial"/>
          <w:sz w:val="19"/>
          <w:szCs w:val="19"/>
        </w:rPr>
        <w:t xml:space="preserve"> Что симуляция учит лучше кейса; что кандидатам это нужно; что эксперты будут пользоваться карточкой; что улучшится найм; что банк заплатит; сколько стоит авторинг; что система безопасна и надёжна.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Возможное развитие.</w:t>
      </w:r>
      <w:r>
        <w:rPr>
          <w:rFonts w:ascii="Arial" w:cs="Arial" w:eastAsia="Arial" w:hAnsi="Arial"/>
          <w:sz w:val="19"/>
          <w:szCs w:val="19"/>
        </w:rPr>
        <w:t xml:space="preserve"> Если участники часто выбирают «своя идея», то эти идеи стоит сделать поддерживаемыми ветками следующего модуля. Если эксперты не используют вопрос для интервью, то карточку стоит сократить до двух критериев, а не расширять.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Стратегия и вывод на рынок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Позиционирование</w:t>
      </w:r>
      <w:r>
        <w:rPr>
          <w:rFonts w:ascii="Arial" w:cs="Arial" w:eastAsia="Arial" w:hAnsi="Arial"/>
          <w:sz w:val="19"/>
          <w:szCs w:val="19"/>
        </w:rPr>
        <w:t xml:space="preserve"> (шаблон Мура: Sommerville, 2020, с. 18). Для банков и финтех-компаний с программами подготовки начинающих продактов, которым нужно видеть, как кандидат работает с данными и ограничениями, «Полигон» — веб-симулятор продуктовой работы: кандидат ведёт один продукт через связанные эпизоды с последствиями и разбором, а эксперт банка получает его самостоятельную работу с основаниями. В отличие от курсов с изолированными заданиями, кейс-чемпионатов и коротких карьерных игр, «Полигон» переносит решения и их последствия между эпизодами и отделяет тренировку от демонстрации навыка. Карьерная часть дополняет обучение, а не подменяет его.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Модель.</w:t>
      </w:r>
      <w:r>
        <w:rPr>
          <w:rFonts w:ascii="Arial" w:cs="Arial" w:eastAsia="Arial" w:hAnsi="Arial"/>
          <w:sz w:val="19"/>
          <w:szCs w:val="19"/>
        </w:rPr>
        <w:t xml:space="preserve"> Платит банк, кандидат участвует бесплатно; так уже работают Forage [S32], программы банков на Changellenge [S24, S27] и «Школа 21» [S17]. Готовность платить и способ закупки неизвестны, ценовые гипотезы — в разделе «Конкуренты и рынок». Бюджеты корпоративных университетов перестали расти [S47], поэтому сильнее довод про подготовку и отбор кандидатов, чем «ещё один курс» (вывод).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Полная стоимость владения.</w:t>
      </w:r>
      <w:r>
        <w:rPr>
          <w:rFonts w:ascii="Arial" w:cs="Arial" w:eastAsia="Arial" w:hAnsi="Arial"/>
          <w:sz w:val="19"/>
          <w:szCs w:val="19"/>
        </w:rPr>
        <w:t xml:space="preserve"> Первоначальная разработка — лишь часть затрат (SE-01, сл. 9, 14). Наш продукт почти целиком состоит из авторского контента: числа, правила, разборы, реплики. Урок Pearson SuccessMaker: контент-команда осталась на водопаде, контентная дорожная карта три года не менялась, и продукт казался устаревшим и дорогим в сопровождении (кейс Pearson, Ivey, 2012; SE-02, сл. 81–83).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76"/>
        <w:gridCol w:w="3404"/>
        <w:gridCol w:w="2108"/>
        <w:gridCol w:w="2878"/>
      </w:tblGrid>
      <w:tr>
        <w:trPr>
          <w:cantSplit/>
          <w:tblHeader/>
        </w:trPr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Статья</w:t>
            </w:r>
          </w:p>
        </w:tc>
        <w:tc>
          <w:tcPr>
            <w:tcW w:type="dxa" w:w="34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Из чего состоит</w:t>
            </w:r>
          </w:p>
        </w:tc>
        <w:tc>
          <w:tcPr>
            <w:tcW w:type="dxa" w:w="2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Чем измерим</w:t>
            </w:r>
          </w:p>
        </w:tc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известно</w:t>
            </w:r>
          </w:p>
        </w:tc>
      </w:tr>
      <w:tr>
        <w:trPr>
          <w:cantSplit/>
          <w:tblHeader w:val="false"/>
        </w:trPr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Авторинг модуля</w:t>
            </w:r>
          </w:p>
        </w:tc>
        <w:tc>
          <w:tcPr>
            <w:tcW w:type="dxa" w:w="34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Мир и сегменты, правила эффектов, контрольные ветки, разборы и реплики, задача на перенос, проверка экспертом</w:t>
            </w:r>
          </w:p>
        </w:tc>
        <w:tc>
          <w:tcPr>
            <w:tcW w:type="dxa" w:w="2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Часы автора и эксперта на модуль</w:t>
            </w:r>
          </w:p>
        </w:tc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Модуль MVP: около 45 минут, 5 сегментов, 4 + 9 инициатив, 5 контрольных веток. Часы не замеряли</w:t>
            </w:r>
          </w:p>
        </w:tc>
      </w:tr>
      <w:tr>
        <w:trPr>
          <w:cantSplit/>
          <w:tblHeader w:val="false"/>
        </w:trPr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Версии и вариации</w:t>
            </w:r>
          </w:p>
        </w:tc>
        <w:tc>
          <w:tcPr>
            <w:tcW w:type="dxa" w:w="34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Новые числа для каждого потока, пересчёт веток и тестов</w:t>
            </w:r>
          </w:p>
        </w:tc>
        <w:tc>
          <w:tcPr>
            <w:tcW w:type="dxa" w:w="2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Часы на версию</w:t>
            </w:r>
          </w:p>
        </w:tc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измеряли</w:t>
            </w:r>
          </w:p>
        </w:tc>
      </w:tr>
      <w:tr>
        <w:trPr>
          <w:cantSplit/>
          <w:tblHeader w:val="false"/>
        </w:trPr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Время эксперта</w:t>
            </w:r>
          </w:p>
        </w:tc>
        <w:tc>
          <w:tcPr>
            <w:tcW w:type="dxa" w:w="34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Разбор одной карточки</w:t>
            </w:r>
          </w:p>
        </w:tc>
        <w:tc>
          <w:tcPr>
            <w:tcW w:type="dxa" w:w="2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Минуты × число карточек</w:t>
            </w:r>
          </w:p>
        </w:tc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Замер в пилоте</w:t>
            </w:r>
          </w:p>
        </w:tc>
      </w:tr>
      <w:tr>
        <w:trPr>
          <w:cantSplit/>
          <w:tblHeader w:val="false"/>
        </w:trPr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ИИ-разбор (если включим)</w:t>
            </w:r>
          </w:p>
        </w:tc>
        <w:tc>
          <w:tcPr>
            <w:tcW w:type="dxa" w:w="34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Запросы к модели, проверка экспертом выборки</w:t>
            </w:r>
          </w:p>
        </w:tc>
        <w:tc>
          <w:tcPr>
            <w:tcW w:type="dxa" w:w="2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Цена запроса; доля статусов, исправленных экспертом</w:t>
            </w:r>
          </w:p>
        </w:tc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используется</w:t>
            </w:r>
          </w:p>
        </w:tc>
      </w:tr>
      <w:tr>
        <w:trPr>
          <w:cantSplit/>
          <w:tblHeader w:val="false"/>
        </w:trPr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Платформа</w:t>
            </w:r>
          </w:p>
        </w:tc>
        <w:tc>
          <w:tcPr>
            <w:tcW w:type="dxa" w:w="34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Сервер, вход, хранение, резервные копии, наблюдение</w:t>
            </w:r>
          </w:p>
        </w:tc>
        <w:tc>
          <w:tcPr>
            <w:tcW w:type="dxa" w:w="2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Месячная стоимость</w:t>
            </w:r>
          </w:p>
        </w:tc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Сейчас бесплатно, только для вымышленных данных</w:t>
            </w:r>
          </w:p>
        </w:tc>
      </w:tr>
      <w:tr>
        <w:trPr>
          <w:cantSplit/>
          <w:tblHeader w:val="false"/>
        </w:trPr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Безопасность и право</w:t>
            </w:r>
          </w:p>
        </w:tc>
        <w:tc>
          <w:tcPr>
            <w:tcW w:type="dxa" w:w="34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Согласие, срок хранения, отзыв, проверка службой безопасности; запрет решений только на автоматизированной обработке (152-ФЗ, ст. 16)</w:t>
            </w:r>
          </w:p>
        </w:tc>
        <w:tc>
          <w:tcPr>
            <w:tcW w:type="dxa" w:w="2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Срок и стоимость согласования</w:t>
            </w:r>
          </w:p>
        </w:tc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начато</w:t>
            </w:r>
          </w:p>
        </w:tc>
      </w:tr>
      <w:tr>
        <w:trPr>
          <w:cantSplit/>
          <w:tblHeader w:val="false"/>
        </w:trPr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Поддержка и оценка пилота</w:t>
            </w:r>
          </w:p>
        </w:tc>
        <w:tc>
          <w:tcPr>
            <w:tcW w:type="dxa" w:w="34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Ответы участникам, обучение экспертов критериям, контрольная группа и анализ</w:t>
            </w:r>
          </w:p>
        </w:tc>
        <w:tc>
          <w:tcPr>
            <w:tcW w:type="dxa" w:w="2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Часы</w:t>
            </w:r>
          </w:p>
        </w:tc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Неизвестно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Годовая стоимость ≈ модули × (авторинг + проверка) + версии × обновление + карточки × время эксперта + ИИ + платформа и безопасность + поддержка. Правило команды: второй модуль делаем, только если авторинг первого уложился в бюджет, согласованный с партнёром; если второй модуль не дешевле первого, сначала меняем формат авторинга (например, редактор сценариев), а не расширяем библиотеку.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Вывод на рынок.</w:t>
      </w:r>
      <w:r>
        <w:rPr>
          <w:rFonts w:ascii="Arial" w:cs="Arial" w:eastAsia="Arial" w:hAnsi="Arial"/>
          <w:sz w:val="19"/>
          <w:szCs w:val="19"/>
        </w:rPr>
        <w:t xml:space="preserve"> Покупатель — не пользователь, и решения принимают разные роли (SE-03, сл. 22): руководитель карьерной школы — о программе, служба безопасности — о данных кандидатов, юристы — о согласиях. Быстрый релиз не равен быстрому использованию (SE-03, сл. 4). Канал входа — один модуль в существующей карьерной программе банка (такой формат есть, Н4). Changellenge уже продаёт банкам онлайн-практики и игры [S24, S27, S30]: он и конкурент за бюджет, и возможный канал. Цикл закупок банков нужно выяснить в интервью: крупные компании решают о закупках к концу финансового года (Sommerville, 2020, с. 23–24).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Пилот и ворота решений.</w:t>
      </w:r>
      <w:r>
        <w:rPr>
          <w:rFonts w:ascii="Arial" w:cs="Arial" w:eastAsia="Arial" w:hAnsi="Arial"/>
          <w:sz w:val="19"/>
          <w:szCs w:val="19"/>
        </w:rPr>
        <w:t xml:space="preserve"> Команда проверяет продукт в спринтах, решения о вложениях принимаются на контрольных точках (SE-02, сл. 71). Критерии расширения и остановки согласуем с партнёром до старта (SE-02, сл. 66); пороги ниже — предложение команды.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98"/>
        <w:gridCol w:w="2805"/>
        <w:gridCol w:w="5263"/>
      </w:tblGrid>
      <w:tr>
        <w:trPr>
          <w:cantSplit/>
          <w:tblHeader/>
        </w:trPr>
        <w:tc>
          <w:tcPr>
            <w:tcW w:type="dxa" w:w="1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Ворота</w:t>
            </w:r>
          </w:p>
        </w:tc>
        <w:tc>
          <w:tcPr>
            <w:tcW w:type="dxa" w:w="2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Решение</w:t>
            </w:r>
          </w:p>
        </w:tc>
        <w:tc>
          <w:tcPr>
            <w:tcW w:type="dxa" w:w="5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Условие прохода</w:t>
            </w:r>
          </w:p>
        </w:tc>
      </w:tr>
      <w:tr>
        <w:trPr>
          <w:cantSplit/>
          <w:tblHeader w:val="false"/>
        </w:trPr>
        <w:tc>
          <w:tcPr>
            <w:tcW w:type="dxa" w:w="1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0. Обоснование</w:t>
            </w:r>
          </w:p>
        </w:tc>
        <w:tc>
          <w:tcPr>
            <w:tcW w:type="dxa" w:w="2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Готовить пилот или менять концепцию</w:t>
            </w:r>
          </w:p>
        </w:tc>
        <w:tc>
          <w:tcPr>
            <w:tcW w:type="dxa" w:w="5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Проведены 5 + 2 интервью и анкета; Г-А1 и Г-А2 не отвергнуты; банк согласен на пилот; готов релиз R1</w:t>
            </w:r>
          </w:p>
        </w:tc>
      </w:tr>
      <w:tr>
        <w:trPr>
          <w:cantSplit/>
          <w:tblHeader w:val="false"/>
        </w:trPr>
        <w:tc>
          <w:tcPr>
            <w:tcW w:type="dxa" w:w="1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1. Разрешение на пилот</w:t>
            </w:r>
          </w:p>
        </w:tc>
        <w:tc>
          <w:tcPr>
            <w:tcW w:type="dxa" w:w="2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Запустить один поток</w:t>
            </w:r>
          </w:p>
        </w:tc>
        <w:tc>
          <w:tcPr>
            <w:tcW w:type="dxa" w:w="5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Один модуль, 30–60 участников, случайное деление на «Полигон» и кейс с теми же данными и разбором, но без последствий (концепция А); одна задача на перенос; эксперт не знает, из какой группы работа</w:t>
            </w:r>
          </w:p>
        </w:tc>
      </w:tr>
      <w:tr>
        <w:trPr>
          <w:cantSplit/>
          <w:tblHeader w:val="false"/>
        </w:trPr>
        <w:tc>
          <w:tcPr>
            <w:tcW w:type="dxa" w:w="1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2. Решение о расширении</w:t>
            </w:r>
          </w:p>
        </w:tc>
        <w:tc>
          <w:tcPr>
            <w:tcW w:type="dxa" w:w="2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Расширить, продлить пилот или остановить (SE-02, сл. 61)</w:t>
            </w:r>
          </w:p>
        </w:tc>
        <w:tc>
          <w:tcPr>
            <w:tcW w:type="dxa" w:w="5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Критерии ниже, с названными ресурсными последствиями (SE-01, сл. 5)</w:t>
            </w:r>
          </w:p>
        </w:tc>
      </w:tr>
    </w:tbl>
    <w:p>
      <w:pPr>
        <w:spacing w:after="0" w:line="140" w:lineRule="exact"/>
      </w:pP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Расширить:</w:t>
      </w:r>
      <w:r>
        <w:rPr>
          <w:rFonts w:ascii="Arial" w:cs="Arial" w:eastAsia="Arial" w:hAnsi="Arial"/>
          <w:sz w:val="19"/>
          <w:szCs w:val="19"/>
        </w:rPr>
        <w:t xml:space="preserve"> не меньше 70% начавших завершают модуль; в задаче на перенос доля статуса «видно в работе» по К1 и К2 у группы «Полигона» выше, чем у контрольной, хотя бы по одному критерию и не ниже по другому; не меньше двух из трёх экспертов использовали вопрос из карточки; не больше одного из пяти участников описывает прохождение как угадывание (проверка Н1); стоимость авторинга измерена.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Продлить или сузить пилот:</w:t>
      </w:r>
      <w:r>
        <w:rPr>
          <w:rFonts w:ascii="Arial" w:cs="Arial" w:eastAsia="Arial" w:hAnsi="Arial"/>
          <w:sz w:val="19"/>
          <w:szCs w:val="19"/>
        </w:rPr>
        <w:t xml:space="preserve"> разница в пользу «Полигона» есть, но меньше ожидаемой или выборка мала; участники завершают модуль, а эксперты карточкой не пользуются.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Остановить механику симуляции</w:t>
      </w:r>
      <w:r>
        <w:rPr>
          <w:rFonts w:ascii="Arial" w:cs="Arial" w:eastAsia="Arial" w:hAnsi="Arial"/>
          <w:sz w:val="19"/>
          <w:szCs w:val="19"/>
        </w:rPr>
        <w:t xml:space="preserve"> и перейти к концепции А: разницы с контрольной группой нет или она в пользу контрольной; угадывание правил не снижается; авторинг дороже бюджета.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Остановить пилот сразу:</w:t>
      </w:r>
      <w:r>
        <w:rPr>
          <w:rFonts w:ascii="Arial" w:cs="Arial" w:eastAsia="Arial" w:hAnsi="Arial"/>
          <w:sz w:val="19"/>
          <w:szCs w:val="19"/>
        </w:rPr>
        <w:t xml:space="preserve"> утечка данных кандидатов; кадровое решение только по карточке; статусы критериев используют как фильтр. Показатель, на котором основывают решения, начинает искажаться (Campbell, 1979).</w:t>
      </w:r>
    </w:p>
    <w:p>
      <w:pPr>
        <w:spacing w:after="0" w:line="8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При 15–30 участниках в группе пилот заметит только крупную разницу: он проверяет направление эффекта, проходимость пути и стоимость, а не доказывает образовательный эффект. Развёртывание в контуре банка ещё не релиз (SE-02, сл. 66): модуль открываем одному потоку, наблюдаем, затем решаем о расширении. Ответственные после релиза (предложение): Ольга Федорова — содержание и разборы, Роман Салимгареев — платформа и данные, Мария Прегер — партнёр и решения на воротах, Софа Ибрагимова — исследование.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Конкуренты и рынок</w:t>
      </w: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Данные собраны 23.10.2026 по открытым источникам; коды [S…] ведут к списку в разделе «Источники». Пометка «вывод» означает нашу интерпретацию, «расчёт» — оценку с допущениями.</w:t>
      </w:r>
    </w:p>
    <w:p>
      <w:pPr>
        <w:spacing w:after="1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Таблица сравнения аналогов — в приложении 1.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Где ниши нет.</w:t>
      </w:r>
      <w:r>
        <w:rPr>
          <w:rFonts w:ascii="Arial" w:cs="Arial" w:eastAsia="Arial" w:hAnsi="Arial"/>
          <w:sz w:val="19"/>
          <w:szCs w:val="19"/>
        </w:rPr>
        <w:t xml:space="preserve"> Симулятор для продакта уже продаёт GoPractice: с 2018 года больше 20 000 учеников, корпоративный канал, среди логотипов клиентов Т-Банк [S3]. Модель «кандидату бесплатно, платит работодатель» есть у Forage, у программ на Changellenge и у школ банков [S17, S24, S27, S32]. ИИ-разбор по чек-листу экспертов банка уже есть у ОТП [S27].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Где ниша есть.</w:t>
      </w:r>
      <w:r>
        <w:rPr>
          <w:rFonts w:ascii="Arial" w:cs="Arial" w:eastAsia="Arial" w:hAnsi="Arial"/>
          <w:sz w:val="19"/>
          <w:szCs w:val="19"/>
        </w:rPr>
        <w:t xml:space="preserve"> По найденному не занята только связка трёх элементов: состояние и обязательства переносятся между эпизодами; эффект собственного решения отделён от внешнего события как отдельный навык; эксперт банка получает карточку с обоснованием и правом поставить «недостаточно данных» вместо балла. Каждый элемент легко скопировать (GoPractice может добавить экспорт результатов работодателю, Changellenge — удлинить игры), поэтому нишу защищают только качество сценарных правил и ранние договорённости с банками (вывод).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Главные конкуренты.</w:t>
      </w:r>
      <w:r>
        <w:rPr>
          <w:rFonts w:ascii="Arial" w:cs="Arial" w:eastAsia="Arial" w:hAnsi="Arial"/>
          <w:sz w:val="19"/>
          <w:szCs w:val="19"/>
        </w:rPr>
        <w:t xml:space="preserve"> GoPractice — главный риск по продукту: если банку нужен «симулятор для продакта», первым он вспомнит его (вывод). Changellenge — главный конкурент за бюджет банков и возможный канал: он работает с 2007 года, сообщает о 150 000 студентов в год и о сотрудничестве с 85% компаний из топ-100 работодателей России [S29]. Собственные школы банков — альтернатива «сделать самим»: у Т-Банка на «Мини-CEO» было 6 000 заявок на 8 мест [S15].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Рынок.</w:t>
      </w:r>
      <w:r>
        <w:rPr>
          <w:rFonts w:ascii="Arial" w:cs="Arial" w:eastAsia="Arial" w:hAnsi="Arial"/>
          <w:sz w:val="19"/>
          <w:szCs w:val="19"/>
        </w:rPr>
        <w:t xml:space="preserve"> Выручка топ-100 EdTech-компаний России за 2025 год — 154 млрд ₽, рост 12% [S43], доля дополнительного профессионального образования — 34% [S44]. Средний бюджет корпоративного университета в 2025 году — 524,5 млн ₽ после 544,6 млн ₽ годом раньше [S47]. 23.10.2026 на hh.ru в роли «Менеджер продукта» было 1 510 вакансий, из них без опыта 99, то есть 6,6% [S48]: вход в профессию узкий, и это довод за спрос кандидатов на доказуемую практику, но пока гипотеза. В России 300 банков, из них 12 системно значимых [S51, S52].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Объём рынка (расчёт с допущениями).</w:t>
      </w:r>
      <w:r>
        <w:rPr>
          <w:rFonts w:ascii="Arial" w:cs="Arial" w:eastAsia="Arial" w:hAnsi="Arial"/>
          <w:sz w:val="19"/>
          <w:szCs w:val="19"/>
        </w:rPr>
        <w:t xml:space="preserve"> Организации × участники в год × цена за участника: 20 банков и финтех-компаний × 300 участников × 30 000 ₽ дают SAM ≈ 180 млн ₽; с техкомпаниями (40 организаций) TAM ≈ 360 млн ₽. Проверка от потока вакансий даёт TAM ≈ 616 млн ₽ и SAM ≈ 75 млн ₽. Итог: TAM порядка 0,4–0,6 млрд ₽ в год, SAM — 0,08–0,18 млрд ₽. Цена 30 000 ₽ — B2C-цена GoPractice со скидкой за объём 50–60%, как в тарифах Reforge [S5, S35]; это самое слабое допущение, его нужно спросить у банков. Ниша узкая, расширять её можно ролями (аналитик, риск-менеджер) и отраслями.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Ценовые гипотезы для интервью с банками</w:t>
      </w:r>
      <w:r>
        <w:rPr>
          <w:rFonts w:ascii="Arial" w:cs="Arial" w:eastAsia="Arial" w:hAnsi="Arial"/>
          <w:sz w:val="19"/>
          <w:szCs w:val="19"/>
        </w:rPr>
        <w:t xml:space="preserve"> (допущения команды): пилот бесплатно в обмен на участие эксперта; затем фиксированная часть за адаптацию сценария плюс 15–40 тыс. ₽ за участника полного пути.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Дорожная карта</w:t>
      </w: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ISPMA различает roadmapping — перевод стратегии в серию релизов на горизонте одного–пяти лет — и release planning — состав ближайшего релиза (ISPMA, 2022, Foundation, §3.4–3.5). Поэтому ниже две разные вещи. Дорожная карта разделяет направление, ближайшие обязательства и проверяемые гипотезы и называет, какие сведения меняют каждый уровень (SE-02, сл. 82). Многолетний план с зафиксированными фичами — антипример из кейса Pearson.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10"/>
        <w:gridCol w:w="4260"/>
        <w:gridCol w:w="1205"/>
        <w:gridCol w:w="2791"/>
      </w:tblGrid>
      <w:tr>
        <w:trPr>
          <w:cantSplit/>
          <w:tblHeader/>
        </w:trPr>
        <w:tc>
          <w:tcPr>
            <w:tcW w:type="dxa" w:w="16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Горизонт</w:t>
            </w:r>
          </w:p>
        </w:tc>
        <w:tc>
          <w:tcPr>
            <w:tcW w:type="dxa" w:w="42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</w:t>
            </w:r>
          </w:p>
        </w:tc>
        <w:tc>
          <w:tcPr>
            <w:tcW w:type="dxa" w:w="12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Уровень</w:t>
            </w:r>
          </w:p>
        </w:tc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изменит этот уровень</w:t>
            </w:r>
          </w:p>
        </w:tc>
      </w:tr>
      <w:tr>
        <w:trPr>
          <w:cantSplit/>
          <w:tblHeader w:val="false"/>
        </w:trPr>
        <w:tc>
          <w:tcPr>
            <w:tcW w:type="dxa" w:w="16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Сейчас: до ворот 0</w:t>
            </w:r>
          </w:p>
        </w:tc>
        <w:tc>
          <w:tcPr>
            <w:tcW w:type="dxa" w:w="42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5 + 2 и анкета стажёров; релиз R1 для пилота; поиск банка-партнёра</w:t>
            </w:r>
          </w:p>
        </w:tc>
        <w:tc>
          <w:tcPr>
            <w:tcW w:type="dxa" w:w="12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Обязательства</w:t>
            </w:r>
          </w:p>
        </w:tc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Если Г-А2 отвергнута, R1 строим под концепцию А; если банк не найден, пилотируем в вузовском курсе</w:t>
            </w:r>
          </w:p>
        </w:tc>
      </w:tr>
      <w:tr>
        <w:trPr>
          <w:cantSplit/>
          <w:tblHeader w:val="false"/>
        </w:trPr>
        <w:tc>
          <w:tcPr>
            <w:tcW w:type="dxa" w:w="16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Далее: пилот, ворота 1–2</w:t>
            </w:r>
          </w:p>
        </w:tc>
        <w:tc>
          <w:tcPr>
            <w:tcW w:type="dxa" w:w="42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Пилот одного модуля с контрольной группой; ИИ-разбор К1, К5, К6 по рубрике с проверкой экспертом выборки; второй модуль «Удержание», найти причину по когортам</w:t>
            </w:r>
          </w:p>
        </w:tc>
        <w:tc>
          <w:tcPr>
            <w:tcW w:type="dxa" w:w="12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Гипотезы</w:t>
            </w:r>
          </w:p>
        </w:tc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Итоги пилота по критериям ворот 2; замер стоимости авторинга; доля статусов, исправленных экспертом</w:t>
            </w:r>
          </w:p>
        </w:tc>
      </w:tr>
      <w:tr>
        <w:trPr>
          <w:cantSplit/>
          <w:tblHeader w:val="false"/>
        </w:trPr>
        <w:tc>
          <w:tcPr>
            <w:tcW w:type="dxa" w:w="16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Потом: после решения о расширении</w:t>
            </w:r>
          </w:p>
        </w:tc>
        <w:tc>
          <w:tcPr>
            <w:tcW w:type="dxa" w:w="42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Модули по непокрытым элементам ISPMA (Pricing, Product Life Cycle Management, Roadmapping на длинном горизонте); редактор сценариев для автора банка; командные сценарии — только если выявится потребность в тренировке взаимодействия</w:t>
            </w:r>
          </w:p>
        </w:tc>
        <w:tc>
          <w:tcPr>
            <w:tcW w:type="dxa" w:w="12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Направление</w:t>
            </w:r>
          </w:p>
        </w:tc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Спрос банков, стоимость второго модуля, данные пилота</w:t>
            </w:r>
          </w:p>
        </w:tc>
      </w:tr>
    </w:tbl>
    <w:p>
      <w:pPr>
        <w:spacing w:after="0" w:line="14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План релиза R1 (release planning).</w:t>
      </w:r>
      <w:r>
        <w:rPr>
          <w:rFonts w:ascii="Arial" w:cs="Arial" w:eastAsia="Arial" w:hAnsi="Arial"/>
          <w:sz w:val="19"/>
          <w:szCs w:val="19"/>
        </w:rPr>
        <w:t xml:space="preserve"> Сервер с входом и правилом доступа; согласие с перечнем передаваемых данных, сроком хранения и правом отозвать; вариация чисел между потоками; шаг сравнения эпизода и задачи на перенос («чем опрос в автоплатеже надёжнее опроса в „Целях“?»), потому что сравнение двух кейсов улучшает перенос (Gentner et al., 2003); сообщение при недоступном хранилище; сбор метрик пилота. ИИ-разбор и второй модуль в R1 не входят, ёмкость на R1 ещё не оценена. Расширение не обещаем только потому, что функция попала в нижнюю строку карты историй.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Соответствие ISPMA SPMBoK 2.0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Версия.</w:t>
      </w:r>
      <w:r>
        <w:rPr>
          <w:rFonts w:ascii="Arial" w:cs="Arial" w:eastAsia="Arial" w:hAnsi="Arial"/>
          <w:sz w:val="19"/>
          <w:szCs w:val="19"/>
        </w:rPr>
        <w:t xml:space="preserve"> Действующая версия — SPMBoK 2.0 (ISPMA, 2022). Рамка — SPM Framework V.2.0: 7 столбцов и 40 элементов, поверх них слои Participation, Core и Orchestration (силлабус SPM – The Foundation V.2.1, рис. 1). Сопоставление ниже — наша интерпретация; официальной сертификации или аккредитации мы не заявляем.</w:t>
      </w:r>
    </w:p>
    <w:p>
      <w:pPr>
        <w:spacing w:after="1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Таблица сопоставления по элементам — в приложении 2.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Что тренируем, что контекст, что не покрыто</w:t>
      </w:r>
      <w:r>
        <w:rPr>
          <w:rFonts w:ascii="Arial" w:cs="Arial" w:eastAsia="Arial" w:hAnsi="Arial"/>
          <w:sz w:val="19"/>
          <w:szCs w:val="19"/>
        </w:rPr>
        <w:t xml:space="preserve"> (подсчёт наш, границы спорны). С разбором тренируем 5 элементов из 40: Customer Insight, Release Planning, Performance and Risk Management, Product Analysis и часть Positioning and Product Definition; частично — Product Requirements Engineering. Ещё 8 элементов (комплаенс, финансы, ресурсы, рынок, экосистема, короткий горизонт Roadmapping, операционный маркетинг, поддержка) присутствуют только как ограничения. Не покрыты 26, в том числе Pricing, Product Life Cycle Management, все элементы Development и Sales and Fulfillment; нет и дизайна эксперимента, хотя ISPMA описывает шаги A/B-теста (силлабус Product Planning, EU4).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Место в обучении по ISPMA.</w:t>
      </w:r>
      <w:r>
        <w:rPr>
          <w:rFonts w:ascii="Arial" w:cs="Arial" w:eastAsia="Arial" w:hAnsi="Arial"/>
          <w:sz w:val="19"/>
          <w:szCs w:val="19"/>
        </w:rPr>
        <w:t xml:space="preserve"> Экзамены ISPMA — тесты с множественным выбором; уровень «применять» появляется только в модулях Excellence, и ISPMA советует отводить около половины учебного времени упражнениям на реалистичных сценариях (силлабус Product Planning, с. 3). «Полигон» может быть такой средой упражнений. Это наш аргумент, а не позиция ISPMA.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Распределение работы</w:t>
      </w:r>
    </w:p>
    <w:p>
      <w:pPr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Распределение предварительное — команда подтверждает.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4"/>
        <w:gridCol w:w="6622"/>
      </w:tblGrid>
      <w:tr>
        <w:trPr>
          <w:cantSplit/>
          <w:tblHeader/>
        </w:trPr>
        <w:tc>
          <w:tcPr>
            <w:tcW w:type="dxa" w:w="3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Участник</w:t>
            </w:r>
          </w:p>
        </w:tc>
        <w:tc>
          <w:tcPr>
            <w:tcW w:type="dxa" w:w="66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Вклад</w:t>
            </w:r>
          </w:p>
        </w:tc>
      </w:tr>
      <w:tr>
        <w:trPr>
          <w:cantSplit/>
          <w:tblHeader w:val="false"/>
        </w:trPr>
        <w:tc>
          <w:tcPr>
            <w:tcW w:type="dxa" w:w="3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Ольга Федорова</w:t>
            </w:r>
          </w:p>
        </w:tc>
        <w:tc>
          <w:tcPr>
            <w:tcW w:type="dxa" w:w="66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Идея симуляции и механика учебного мира; Н1, Н2</w:t>
            </w:r>
          </w:p>
        </w:tc>
      </w:tr>
      <w:tr>
        <w:trPr>
          <w:cantSplit/>
          <w:tblHeader w:val="false"/>
        </w:trPr>
        <w:tc>
          <w:tcPr>
            <w:tcW w:type="dxa" w:w="3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Софа Ибрагимова</w:t>
            </w:r>
          </w:p>
        </w:tc>
        <w:tc>
          <w:tcPr>
            <w:tcW w:type="dxa" w:w="66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Концепция v1.1: персоны, карты эмпатии, истории; Н3, Н4; идея анкеты стажёров</w:t>
            </w:r>
          </w:p>
        </w:tc>
      </w:tr>
      <w:tr>
        <w:trPr>
          <w:cantSplit/>
          <w:tblHeader w:val="false"/>
        </w:trPr>
        <w:tc>
          <w:tcPr>
            <w:tcW w:type="dxa" w:w="3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Мария Прегер</w:t>
            </w:r>
          </w:p>
        </w:tc>
        <w:tc>
          <w:tcPr>
            <w:tcW w:type="dxa" w:w="66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Организация, рамка задания и фреймворки, выбор аудитории, презентация; Н5</w:t>
            </w:r>
          </w:p>
        </w:tc>
      </w:tr>
      <w:tr>
        <w:trPr>
          <w:cantSplit/>
          <w:tblHeader w:val="false"/>
        </w:trPr>
        <w:tc>
          <w:tcPr>
            <w:tcW w:type="dxa" w:w="3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Роман Салимгареев</w:t>
            </w:r>
          </w:p>
        </w:tc>
        <w:tc>
          <w:tcPr>
            <w:tcW w:type="dxa" w:w="66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Платформа MVP, сценарий «Накопления на цель», движок симуляции, автотесты</w:t>
            </w:r>
          </w:p>
        </w:tc>
      </w:tr>
    </w:tbl>
    <w:p>
      <w:pPr>
        <w:spacing w:after="0" w:line="140" w:lineRule="exact"/>
      </w:pPr>
    </w:p>
    <w:p>
      <w:r>
        <w:br w:type="page"/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Приложение 1. Сравнение аналогов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60"/>
        <w:gridCol w:w="2507"/>
        <w:gridCol w:w="1890"/>
        <w:gridCol w:w="2146"/>
        <w:gridCol w:w="1663"/>
      </w:tblGrid>
      <w:tr>
        <w:trPr>
          <w:cantSplit/>
          <w:tblHeader/>
        </w:trPr>
        <w:tc>
          <w:tcPr>
            <w:tcW w:type="dxa" w:w="1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Аналог</w:t>
            </w:r>
          </w:p>
        </w:tc>
        <w:tc>
          <w:tcPr>
            <w:tcW w:type="dxa" w:w="25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Последствия копятся между эпизодами</w:t>
            </w:r>
          </w:p>
        </w:tc>
        <w:tc>
          <w:tcPr>
            <w:tcW w:type="dxa" w:w="1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Разбор решений</w:t>
            </w:r>
          </w:p>
        </w:tc>
        <w:tc>
          <w:tcPr>
            <w:tcW w:type="dxa" w:w="21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Кто платит, связь с наймом</w:t>
            </w:r>
          </w:p>
        </w:tc>
        <w:tc>
          <w:tcPr>
            <w:tcW w:type="dxa" w:w="1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Финтех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GoPractice, симулятор продакта</w:t>
            </w:r>
          </w:p>
        </w:tc>
        <w:tc>
          <w:tcPr>
            <w:tcW w:type="dxa" w:w="25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Частично: сквозной сюжет, данные меняются по ходу истории; ветвление от решений не подтверждено, обзор 2018 года описывает линейный сюжет [S2, S7]</w:t>
            </w:r>
          </w:p>
        </w:tc>
        <w:tc>
          <w:tcPr>
            <w:tcW w:type="dxa" w:w="1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Частично: большинство заданий проверяется автоматически, к другим даны эталоны [S2]</w:t>
            </w:r>
          </w:p>
        </w:tc>
        <w:tc>
          <w:tcPr>
            <w:tcW w:type="dxa" w:w="21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B2C, 71 900 ₽ за 2 месяца на Хабр Карьере [S5]; B2B для обучения своих сотрудников, связи с наймом нет [S3]</w:t>
            </w:r>
          </w:p>
        </w:tc>
        <w:tc>
          <w:tcPr>
            <w:tcW w:type="dxa" w:w="1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Нет: вымышленный мессенджер [S2]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ОТП Банк, «Примерь роль» на Changellenge</w:t>
            </w:r>
          </w:p>
        </w:tc>
        <w:tc>
          <w:tcPr>
            <w:tcW w:type="dxa" w:w="25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Нет: мини-игры с мгновенными последствиями, около 6 минут [S27]</w:t>
            </w:r>
          </w:p>
        </w:tc>
        <w:tc>
          <w:tcPr>
            <w:tcW w:type="dxa" w:w="1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Да: нейросеть по чек-листу экспертов банка [S27]</w:t>
            </w:r>
          </w:p>
        </w:tc>
        <w:tc>
          <w:tcPr>
            <w:tcW w:type="dxa" w:w="21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Банк (вывод); ссылка на вакансию [S27]</w:t>
            </w:r>
          </w:p>
        </w:tc>
        <w:tc>
          <w:tcPr>
            <w:tcW w:type="dxa" w:w="1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Альфа-Банк, онлайн-практика на Changellenge</w:t>
            </w:r>
          </w:p>
        </w:tc>
        <w:tc>
          <w:tcPr>
            <w:tcW w:type="dxa" w:w="25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данных: кейсы, 21 день [S24]</w:t>
            </w:r>
          </w:p>
        </w:tc>
        <w:tc>
          <w:tcPr>
            <w:tcW w:type="dxa" w:w="1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21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Банк (вывод: цена для студента не указана); сертификат и зачёт практики [S24]</w:t>
            </w:r>
          </w:p>
        </w:tc>
        <w:tc>
          <w:tcPr>
            <w:tcW w:type="dxa" w:w="1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Forage</w:t>
            </w:r>
          </w:p>
        </w:tc>
        <w:tc>
          <w:tcPr>
            <w:tcW w:type="dxa" w:w="25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Нет: отдельные короткие задания [S33]</w:t>
            </w:r>
          </w:p>
        </w:tc>
        <w:tc>
          <w:tcPr>
            <w:tcW w:type="dxa" w:w="1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21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Работодатель; студенту бесплатно; профиль виден работодателю [S32]</w:t>
            </w:r>
          </w:p>
        </w:tc>
        <w:tc>
          <w:tcPr>
            <w:tcW w:type="dxa" w:w="1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Частично: банковские симуляции есть, продуктового трека не нашли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Собственные программы банков: Т-Банк «Мини-CEO», ВТБ × ВШМ СПбГУ</w:t>
            </w:r>
          </w:p>
        </w:tc>
        <w:tc>
          <w:tcPr>
            <w:tcW w:type="dxa" w:w="25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Нет: реальные проекты [S15, S23]</w:t>
            </w:r>
          </w:p>
        </w:tc>
        <w:tc>
          <w:tcPr>
            <w:tcW w:type="dxa" w:w="1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Да: наставник, трекеры, жюри [S16, S23]</w:t>
            </w:r>
          </w:p>
        </w:tc>
        <w:tc>
          <w:tcPr>
            <w:tcW w:type="dxa" w:w="21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Банк; стажировка или найм [S15, S23]</w:t>
            </w:r>
          </w:p>
        </w:tc>
        <w:tc>
          <w:tcPr>
            <w:tcW w:type="dxa" w:w="1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«Школа 21», «Менеджер продукта»</w:t>
            </w:r>
          </w:p>
        </w:tc>
        <w:tc>
          <w:tcPr>
            <w:tcW w:type="dxa" w:w="25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Нет: проекты, уровни, внутренняя валюта [S17]</w:t>
            </w:r>
          </w:p>
        </w:tc>
        <w:tc>
          <w:tcPr>
            <w:tcW w:type="dxa" w:w="1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Частично: взаимные проверки [S17]</w:t>
            </w:r>
          </w:p>
        </w:tc>
        <w:tc>
          <w:tcPr>
            <w:tcW w:type="dxa" w:w="21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Бесплатно; обязательная стажировка [S17]</w:t>
            </w:r>
          </w:p>
        </w:tc>
        <w:tc>
          <w:tcPr>
            <w:tcW w:type="dxa" w:w="1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Курсы PM (Яндекс Практикум, Skillbox и др.)</w:t>
            </w:r>
          </w:p>
        </w:tc>
        <w:tc>
          <w:tcPr>
            <w:tcW w:type="dxa" w:w="25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Нет: тренажёры и проекты [S39, S41]</w:t>
            </w:r>
          </w:p>
        </w:tc>
        <w:tc>
          <w:tcPr>
            <w:tcW w:type="dxa" w:w="1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Частично: ревью проектов [S39]</w:t>
            </w:r>
          </w:p>
        </w:tc>
        <w:tc>
          <w:tcPr>
            <w:tcW w:type="dxa" w:w="21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B2C, 125–155 тыс. ₽ за 8–12 месяцев по подборке [S8]</w:t>
            </w:r>
          </w:p>
        </w:tc>
        <w:tc>
          <w:tcPr>
            <w:tcW w:type="dxa" w:w="1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</w:t>
            </w:r>
          </w:p>
        </w:tc>
      </w:tr>
    </w:tbl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Приложение 2. Сопоставление элементов «Полигона» с SPM Framework V.2.0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5"/>
        <w:gridCol w:w="3569"/>
        <w:gridCol w:w="2548"/>
        <w:gridCol w:w="1234"/>
      </w:tblGrid>
      <w:tr>
        <w:trPr>
          <w:cantSplit/>
          <w:tblHeader/>
        </w:trPr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Элемент «Полигона»</w:t>
            </w:r>
          </w:p>
        </w:tc>
        <w:tc>
          <w:tcPr>
            <w:tcW w:type="dxa" w:w="3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Элемент SPM Framework V.2.0</w:t>
            </w:r>
          </w:p>
        </w:tc>
        <w:tc>
          <w:tcPr>
            <w:tcW w:type="dxa" w:w="2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тренируем</w:t>
            </w:r>
          </w:p>
        </w:tc>
        <w:tc>
          <w:tcPr>
            <w:tcW w:type="dxa" w:w="12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Критерий</w:t>
            </w:r>
          </w:p>
        </w:tc>
      </w:tr>
      <w:tr>
        <w:trPr>
          <w:cantSplit/>
          <w:tblHeader w:val="false"/>
        </w:trPr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Досье: воронка, обращения, опрос с откликом 9%, отзывы, отметки «неизвестно»</w:t>
            </w:r>
          </w:p>
        </w:tc>
        <w:tc>
          <w:tcPr>
            <w:tcW w:type="dxa" w:w="3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Product Planning → Customer Insight; Strategic Management → Product Analysis</w:t>
            </w:r>
          </w:p>
        </w:tc>
        <w:tc>
          <w:tcPr>
            <w:tcW w:type="dxa" w:w="2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Совмещать поведенческие данные и прямой контакт, оценивать надёжность источника</w:t>
            </w:r>
          </w:p>
        </w:tc>
        <w:tc>
          <w:tcPr>
            <w:tcW w:type="dxa" w:w="12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К1</w:t>
            </w:r>
          </w:p>
        </w:tc>
      </w:tr>
      <w:tr>
        <w:trPr>
          <w:cantSplit/>
          <w:tblHeader w:val="false"/>
        </w:trPr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Выбор проблемы и сегмента</w:t>
            </w:r>
          </w:p>
        </w:tc>
        <w:tc>
          <w:tcPr>
            <w:tcW w:type="dxa" w:w="3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Product Strategy → Positioning and Product Definition (сегмент и ценностное предложение)</w:t>
            </w:r>
          </w:p>
        </w:tc>
        <w:tc>
          <w:tcPr>
            <w:tcW w:type="dxa" w:w="2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Привязывать действие к причине конкретного сегмента</w:t>
            </w:r>
          </w:p>
        </w:tc>
        <w:tc>
          <w:tcPr>
            <w:tcW w:type="dxa" w:w="12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К2</w:t>
            </w:r>
          </w:p>
        </w:tc>
      </w:tr>
      <w:tr>
        <w:trPr>
          <w:cantSplit/>
          <w:tblHeader w:val="false"/>
        </w:trPr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Инициативы в пределах 10 очков; во втором эпизоде ёмкость минус обязательства</w:t>
            </w:r>
          </w:p>
        </w:tc>
        <w:tc>
          <w:tcPr>
            <w:tcW w:type="dxa" w:w="3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Product Planning → Release Planning</w:t>
            </w:r>
          </w:p>
        </w:tc>
        <w:tc>
          <w:tcPr>
            <w:tcW w:type="dxa" w:w="2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Выбирать состав релиза при ограниченной ёмкости</w:t>
            </w:r>
          </w:p>
        </w:tc>
        <w:tc>
          <w:tcPr>
            <w:tcW w:type="dxa" w:w="12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К6</w:t>
            </w:r>
          </w:p>
        </w:tc>
      </w:tr>
      <w:tr>
        <w:trPr>
          <w:cantSplit/>
          <w:tblHeader w:val="false"/>
        </w:trPr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Ожидание: метрика, направление, величина, срок</w:t>
            </w:r>
          </w:p>
        </w:tc>
        <w:tc>
          <w:tcPr>
            <w:tcW w:type="dxa" w:w="3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Product Strategy → Performance and Risk Management</w:t>
            </w:r>
          </w:p>
        </w:tc>
        <w:tc>
          <w:tcPr>
            <w:tcW w:type="dxa" w:w="2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Формулировать проверяемую гипотезу</w:t>
            </w:r>
          </w:p>
        </w:tc>
        <w:tc>
          <w:tcPr>
            <w:tcW w:type="dxa" w:w="12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К3</w:t>
            </w:r>
          </w:p>
        </w:tc>
      </w:tr>
      <w:tr>
        <w:trPr>
          <w:cantSplit/>
          <w:tblHeader w:val="false"/>
        </w:trPr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Срез «прежняя / новая аудитория»</w:t>
            </w:r>
          </w:p>
        </w:tc>
        <w:tc>
          <w:tcPr>
            <w:tcW w:type="dxa" w:w="3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Product Analysis; Performance and Risk Management (когорты, actionable-метрики)</w:t>
            </w:r>
          </w:p>
        </w:tc>
        <w:tc>
          <w:tcPr>
            <w:tcW w:type="dxa" w:w="2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делать выводов по смешанному дашборду</w:t>
            </w:r>
          </w:p>
        </w:tc>
        <w:tc>
          <w:tcPr>
            <w:tcW w:type="dxa" w:w="12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К4</w:t>
            </w:r>
          </w:p>
        </w:tc>
      </w:tr>
      <w:tr>
        <w:trPr>
          <w:cantSplit/>
          <w:tblHeader w:val="false"/>
        </w:trPr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Пересмотр рядом с решением 1</w:t>
            </w:r>
          </w:p>
        </w:tc>
        <w:tc>
          <w:tcPr>
            <w:tcW w:type="dxa" w:w="3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Release Planning, шаг рефлексии по результатам; Roadmapping лишь частично: у нас два спринта, а не 1–5 лет</w:t>
            </w:r>
          </w:p>
        </w:tc>
        <w:tc>
          <w:tcPr>
            <w:tcW w:type="dxa" w:w="2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Пересматривать решение со ссылкой на итог</w:t>
            </w:r>
          </w:p>
        </w:tc>
        <w:tc>
          <w:tcPr>
            <w:tcW w:type="dxa" w:w="12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К5</w:t>
            </w:r>
          </w:p>
        </w:tc>
      </w:tr>
      <w:tr>
        <w:trPr>
          <w:cantSplit/>
          <w:tblHeader w:val="false"/>
        </w:trPr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Содержание инициатив В и Д</w:t>
            </w:r>
          </w:p>
        </w:tc>
        <w:tc>
          <w:tcPr>
            <w:tcW w:type="dxa" w:w="3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Product Requirements Engineering, частично: участник выбирает готовую формулировку</w:t>
            </w:r>
          </w:p>
        </w:tc>
        <w:tc>
          <w:tcPr>
            <w:tcW w:type="dxa" w:w="2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Переводить жалобы в требования</w:t>
            </w:r>
          </w:p>
        </w:tc>
        <w:tc>
          <w:tcPr>
            <w:tcW w:type="dxa" w:w="12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Лимит пушей, комплаенс бонусов, расходы на баллы, внешнее партнёрство</w:t>
            </w:r>
          </w:p>
        </w:tc>
        <w:tc>
          <w:tcPr>
            <w:tcW w:type="dxa" w:w="3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Контекст: Operational Marketing, Compliance Management, Financial Management, Resource Management, Market Analysis, Ecosystem Management, Technical Support</w:t>
            </w:r>
          </w:p>
        </w:tc>
        <w:tc>
          <w:tcPr>
            <w:tcW w:type="dxa" w:w="2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Видеть ограничения других функций</w:t>
            </w:r>
          </w:p>
        </w:tc>
        <w:tc>
          <w:tcPr>
            <w:tcW w:type="dxa" w:w="12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К6</w:t>
            </w:r>
          </w:p>
        </w:tc>
      </w:tr>
      <w:tr>
        <w:trPr>
          <w:cantSplit/>
          <w:tblHeader w:val="false"/>
        </w:trPr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Задача на перенос «Автоплатёж»</w:t>
            </w:r>
          </w:p>
        </w:tc>
        <w:tc>
          <w:tcPr>
            <w:tcW w:type="dxa" w:w="3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Customer Insight, Release Planning, Performance and Risk Management</w:t>
            </w:r>
          </w:p>
        </w:tc>
        <w:tc>
          <w:tcPr>
            <w:tcW w:type="dxa" w:w="2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Перенести принцип на другой продукт</w:t>
            </w:r>
          </w:p>
        </w:tc>
        <w:tc>
          <w:tcPr>
            <w:tcW w:type="dxa" w:w="12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К1–К3, К6</w:t>
            </w:r>
          </w:p>
        </w:tc>
      </w:tr>
    </w:tbl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Приложение 3. Источники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Материалы курса.</w:t>
      </w:r>
      <w:r>
        <w:rPr>
          <w:rFonts w:ascii="Arial" w:cs="Arial" w:eastAsia="Arial" w:hAnsi="Arial"/>
          <w:sz w:val="19"/>
          <w:szCs w:val="19"/>
        </w:rPr>
        <w:t xml:space="preserve"> Салтан А. Слайды занятий SE-01 — SE-04 «Основы инженерии цифровых продуктов», ВШЭ СПб, 2026. Слайд задания «Групповой проект», 17.09.2026, сл. 7. Канва «Продукт для обучения продуктовому менеджменту», блоки 01–10 (выгрузка Miro, 9 с.). Кейс: Pearson's SuccessMaker: Putting the Customer First in Transforming Product Development Processes. Ivey Publishing, 2012, W11744.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Продуктовый менеджмент.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Sommerville I. Engineering Software Products: An Introduction to Modern Software Engineering. Pearson, 2020.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ISPMA. SPM – The Foundation, Syllabus V.2.1, 2022. https://ispma.org/wp-content/uploads/2022/11/ISPMA-SPM-Foundation-Syllabus-V.2.1_Student.pdf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ISPMA. SPM Excellence in Product Planning, Syllabus V.2.0, 2022. https://ispma.org/wp-content/uploads/2022/11/ISPMA-SPM-Excellence-in-Product-Planning-Syllabus-V2.0-Student-Edition.pdf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ISPMA. Body of Knowledge; Resources. https://ispma.org/bok/ ; https://ispma.org/resources/ (просмотрено 23.10.2026).</w:t>
      </w:r>
    </w:p>
    <w:p>
      <w:pPr>
        <w:spacing w:after="0" w:line="8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Обучение, обратная связь, оценка.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Baker R. S. et al. (2004). Off-task behavior in the cognitive tutor classroom: When students "game the system". CHI 2004, 383–390. https://doi.org/10.1145/985692.985741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Campbell D. T. (1979). Assessing the impact of planned social change. Evaluation and Program Planning, 2(1), 67–90. https://doi.org/10.1016/0149-7189(79)90048-X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Chernikova O. et al. (2020). Simulation-based learning in higher education: A meta-analysis. Review of Educational Research, 90(4), 499–541. https://doi.org/10.3102/0034654320933544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Gentner D., Loewenstein J., Thompson L. (2003). Learning and transfer: A general role for analogical encoding. Journal of Educational Psychology, 95(2), 393–408. https://doi.org/10.1037/0022-0663.95.2.393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Kirschner P. A., Sweller J., Clark R. E. (2006). Why minimal guidance during instruction does not work. Educational Psychologist, 41(2), 75–86. https://doi.org/10.1207/s15326985ep4102_1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Kluger A. N., DeNisi A. (1996). The effects of feedback interventions on performance. Psychological Bulletin, 119(2), 254–284. https://doi.org/10.1037/0033-2909.119.2.254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Sitzmann T. (2011). A meta-analytic examination of the instructional effectiveness of computer-based simulation games. Personnel Psychology, 64(2), 489–528. https://doi.org/10.1111/j.1744-6570.2011.01190.x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Sterman J. D. (1989). Modeling managerial behavior: Misperceptions of feedback in a dynamic decision making experiment. Management Science, 35(3), 321–339. https://doi.org/10.1287/mnsc.35.3.321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Tannenbaum S. I., Cerasoli C. P. (2013). Do team and individual debriefs enhance performance? Human Factors, 55(1), 231–245. https://doi.org/10.1177/0018720812448394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Wisniewski B., Zierer K., Hattie J. (2020). The power of feedback revisited. Frontiers in Psychology, 10, 3087. https://doi.org/10.3389/fpsyg.2019.03087</w:t>
      </w:r>
    </w:p>
    <w:p>
      <w:pPr>
        <w:spacing w:after="0" w:line="80" w:lineRule="exact"/>
      </w:pP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Право.</w:t>
      </w:r>
      <w:r>
        <w:rPr>
          <w:rFonts w:ascii="Arial" w:cs="Arial" w:eastAsia="Arial" w:hAnsi="Arial"/>
          <w:sz w:val="19"/>
          <w:szCs w:val="19"/>
        </w:rPr>
        <w:t xml:space="preserve"> Федеральный закон от 27.07.2006 № 152-ФЗ «О персональных данных», ст. 16.</w:t>
      </w:r>
    </w:p>
    <w:p>
      <w:pPr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Рынок и конкуренты</w:t>
      </w:r>
      <w:r>
        <w:rPr>
          <w:rFonts w:ascii="Arial" w:cs="Arial" w:eastAsia="Arial" w:hAnsi="Arial"/>
          <w:sz w:val="19"/>
          <w:szCs w:val="19"/>
        </w:rPr>
        <w:t xml:space="preserve"> (обращение 23.10.2026; [В] — вторичный источник, цифра не сверена с первоисточником).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[S2] GoPractice, симулятор управления продуктом. https://gopractice.ru/course/pm/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[S3] GoPractice, «Корпоративным клиентам». https://gopractice.ru/corporate/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[S5] Хабр Карьера, каталог GoPractice [В]. https://career.habr.com/courses/education_centers/246-gopractice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[S7] vc.ru, обзор «Симулятора Go Practice», 27.11.2018 [В]. https://vc.ru/promo/51823-go-practice-review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[S8] Хабр, подборка курсов продакт-менеджера, 30.03.2026 [В]. https://habr.com/ru/articles/1011414/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[S15] Хабр, «Мини-CEO» Т-Банка [В]. https://habr.com/ru/articles/991312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[S16] Kod.ru, «Мини-CEO» Т-Банка, 01.07.2025 [В]. https://kod.ru/mini-ceo-programma-razvitiya-ot-t-banka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[S17] «Школа 21». https://21-school.ru/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[S23] Kod.ru, интенсив ВТБ Онлайн × ВШМ СПбГУ, 22.05.2026 [В]. https://kod.ru/intensiv-produktovyy-menedzhment-vtb-online-vshm-spbgu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[S24] Changellenge, онлайн-практика Альфа-Банка. https://changellenge.com/event/onlayn-praktika-ot-alfa-bank/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[S27] Changellenge, «Примерь роль сотрудника ОТП Банка». https://changellenge.com/career-games/primer-rol-sotrudnika-otp-bank/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[S29] Changellenge. https://changellenge.com/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[S30] Changellenge Digital. https://changellenge.com/digital/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[S32] Forage, About. https://www.theforage.com/about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[S33] Forage, блог о коротких симуляциях (страница не открывалась). https://www.theforage.com/blog/careers/short-job-simulations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[S35] Reforge, Pricing. https://www.reforge.com/pricing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[S39] Яндекс Практикум, «Продакт-менеджмент для специалистов с опытом». https://practicum.yandex.ru/product-manager/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[S41] Skillbox, «Профессия Продакт-менеджер». https://skillbox.ru/course/product-management/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[S43] Sostav, итоги EdTech 2025 (Smart Ranking), 03.02.2026 [В]. https://www.sostav.ru/publication/tempy-rosta-vyruchki-krupnejshikh-rossijskikh-edtech-kompanij-prodolzhayut-zamedlyatsya-81431.html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[S44] Skillbox Media, «В 2025 году российский EdTech вырос всего на 12%», 06.02.2026 [В]. https://skillbox.ru/media/edtech/v-2025-godu-rossiyskiy-edtech-vyros-vsego-na-12/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[S47] «Коммерсантъ», исследование корпоративных университетов ВШБ ВШЭ, 27.04.2026 [В]. https://www.kommersant.ru/doc/8623499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[S48] hh.ru, поиск вакансий, роль «Менеджер продукта», снимок 23.10.2026. https://hh.ru/search/vacancy?professional_role=73&amp;area=113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[S51] Банк России, количественные характеристики банковского сектора, на 01.10.2026. https://cbr.ru/statistics/bank_sector/lic/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[S52] Банк России, перечень системно значимых кредитных организаций, 07.10.2026. https://cbr.ru/banking_sector/credit/SystemBanks.html</w:t>
      </w:r>
    </w:p>
    <w:p>
      <w:pPr>
        <w:spacing w:after="0" w:line="80" w:lineRule="exact"/>
      </w:pPr>
    </w:p>
    <w:sectPr>
      <w:headerReference w:type="default" r:id="rId6"/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F7F7F"/>
        <w:sz w:val="15"/>
        <w:szCs w:val="15"/>
      </w:rPr>
      <w:t xml:space="preserve">Полигон — продуктовая школа-симулятор · отчёт по групповому проекту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00"/>
      <w:outlineLvl w:val="0"/>
    </w:pPr>
    <w:rPr>
      <w:rFonts w:ascii="Arial" w:cs="Arial" w:eastAsia="Arial" w:hAnsi="Arial"/>
      <w:b/>
      <w:bCs/>
      <w:color w:val="000000"/>
      <w:sz w:val="26"/>
      <w:szCs w:val="26"/>
    </w:rPr>
  </w:style>
  <w:style w:type="paragraph" w:styleId="Title">
    <w:name w:val="Title"/>
    <w:basedOn w:val="Normal"/>
    <w:next w:val="Normal"/>
    <w:rPr>
      <w:rFonts w:ascii="Arial" w:cs="Arial" w:eastAsia="Arial" w:hAnsi="Arial"/>
      <w:b/>
      <w:bCs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093ae9bf9bcc8a773679982cd44a2a703c0861b4.png"/><Relationship Id="rId9" Type="http://schemas.openxmlformats.org/officeDocument/2006/relationships/image" Target="media/064086fd50ee894f41ddb7a270d7bc16f69c4c8c.png"/><Relationship Id="rId10" Type="http://schemas.openxmlformats.org/officeDocument/2006/relationships/image" Target="media/88cf4a2d28c50bb242e50d48b01054bb6721eae8.png"/><Relationship Id="rId11" Type="http://schemas.openxmlformats.org/officeDocument/2006/relationships/image" Target="media/b068997b62c5d3bfe65945bde6265cd4cf786ace.png"/><Relationship Id="rId12" Type="http://schemas.openxmlformats.org/officeDocument/2006/relationships/image" Target="media/12dbad64efaf0e4a000262944b6e0efdf251d9c4.png"/><Relationship Id="rId13" Type="http://schemas.openxmlformats.org/officeDocument/2006/relationships/image" Target="media/c66753fe62a0844af9c4526900e2467e45cd68b0.png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Полигон — продуктовая школа-симулятор. Итоговый отчёт</dc:title>
  <dc:creator>Команда «Полигон»</dc:creator>
  <cp:lastModifiedBy>Un-named</cp:lastModifiedBy>
  <cp:revision>1</cp:revision>
  <dcterms:created xsi:type="dcterms:W3CDTF">2026-10-23T20:22:23.533Z</dcterms:created>
  <dcterms:modified xsi:type="dcterms:W3CDTF">2026-10-23T20:22:23.534Z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