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Итоговый отчёт по групповому проекту</w:t>
      </w:r>
    </w:p>
    <w:p>
      <w:pPr>
        <w:pStyle w:val="Title"/>
        <w:spacing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Полигон — продуктовая школа-симулятор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3"/>
        <w:gridCol w:w="6663"/>
      </w:tblGrid>
      <w:tr>
        <w:trPr>
          <w:cantSplit/>
          <w:tblHeader w:val="false"/>
        </w:trPr>
        <w:tc>
          <w:tcPr>
            <w:tcW w:type="dxa" w:w="32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Курс</w:t>
            </w:r>
          </w:p>
        </w:tc>
        <w:tc>
          <w:tcPr>
            <w:tcW w:type="dxa" w:w="66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«Основы инженерии цифровых продуктов», СПб школа экономики и менеджмента НИУ ВШЭ</w:t>
            </w:r>
          </w:p>
        </w:tc>
      </w:tr>
      <w:tr>
        <w:trPr>
          <w:cantSplit/>
          <w:tblHeader w:val="false"/>
        </w:trPr>
        <w:tc>
          <w:tcPr>
            <w:tcW w:type="dxa" w:w="32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Преподаватель</w:t>
            </w:r>
          </w:p>
        </w:tc>
        <w:tc>
          <w:tcPr>
            <w:tcW w:type="dxa" w:w="66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Андрей Салтан</w:t>
            </w:r>
          </w:p>
        </w:tc>
      </w:tr>
      <w:tr>
        <w:trPr>
          <w:cantSplit/>
          <w:tblHeader w:val="false"/>
        </w:trPr>
        <w:tc>
          <w:tcPr>
            <w:tcW w:type="dxa" w:w="32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Команда</w:t>
            </w:r>
          </w:p>
        </w:tc>
        <w:tc>
          <w:tcPr>
            <w:tcW w:type="dxa" w:w="66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Мария Прегер, Ольга Федорова, Софа Ибрагимова, Роман Салимгареев</w:t>
            </w:r>
          </w:p>
        </w:tc>
      </w:tr>
      <w:tr>
        <w:trPr>
          <w:cantSplit/>
          <w:tblHeader w:val="false"/>
        </w:trPr>
        <w:tc>
          <w:tcPr>
            <w:tcW w:type="dxa" w:w="32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Дата</w:t>
            </w:r>
          </w:p>
        </w:tc>
        <w:tc>
          <w:tcPr>
            <w:tcW w:type="dxa" w:w="66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октябрь 2026</w:t>
            </w:r>
          </w:p>
        </w:tc>
      </w:tr>
      <w:tr>
        <w:trPr>
          <w:cantSplit/>
          <w:tblHeader w:val="false"/>
        </w:trPr>
        <w:tc>
          <w:tcPr>
            <w:tcW w:type="dxa" w:w="32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Платформа (MVP)</w:t>
            </w:r>
          </w:p>
        </w:tc>
        <w:tc>
          <w:tcPr>
            <w:tcW w:type="dxa" w:w="66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https://nominalnominalovich.github.io/polygon/ — вход без регистрации</w:t>
            </w:r>
          </w:p>
        </w:tc>
      </w:tr>
      <w:tr>
        <w:trPr>
          <w:cantSplit/>
          <w:tblHeader w:val="false"/>
        </w:trPr>
        <w:tc>
          <w:tcPr>
            <w:tcW w:type="dxa" w:w="32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Код</w:t>
            </w:r>
          </w:p>
        </w:tc>
        <w:tc>
          <w:tcPr>
            <w:tcW w:type="dxa" w:w="66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https://github.com/nominalnominalovich/polygon</w:t>
            </w:r>
          </w:p>
        </w:tc>
      </w:tr>
    </w:tbl>
    <w:p>
      <w:pPr>
        <w:spacing w:after="120"/>
      </w:pPr>
    </w:p>
    <w:p>
      <w:pPr>
        <w:spacing w:after="70" w:line="245"/>
        <w:jc w:val="both"/>
      </w:pPr>
      <w:r>
        <w:rPr>
          <w:rFonts w:ascii="Arial" w:cs="Arial" w:eastAsia="Arial" w:hAnsi="Arial"/>
          <w:sz w:val="19"/>
          <w:szCs w:val="19"/>
        </w:rPr>
        <w:t xml:space="preserve">«Полигон» — веб-симулятор, в котором кандидат на начальную продуктовую роль ведёт один сервис вымышленного банка через два связанных эпизода: принимает решение, видит его последствия вместе с внешним событием, пересматривает план, получает разбор по шести критериям, а затем решает новую задачу без подсказок и объясняет её результат «месяц спустя». Продуктовый эксперт банка видит только ту самостоятельную работу, которую участник сам ему передал, и разбирает её по тем же шести критериям без итогового балла; в воронке банка это этап между шорт-листом и структурированным интервью, а не фильтр отбора. Замысел опирается на пять наблюдений из опыта команды (Н1–Н5) и пять гипотез (Г-А1…Г-Б2); наблюдений о целевой аудитории пока нет, гайд и план готовы. Работающий MVP открыт по ссылке: последствия считаются по открытым детерминированным правилам, 15 автотестов проверяют расчёт и разбор, ИИ-разбор свободного текста имитирован эвристикой. Внутренняя проверка нашла в первой версии MVP пять фактических ошибок; они исправлены, а непроверенное перечислено в разделе «Что изменила проверка». Главный риск: учит ли сохранение последствий лучше, чем отдельный кейс с хорошей обратной связью, и верны ли правила, заложенные автором кейса. Выход на рынок — пилот одного модуля в карьерной программе банка с числовыми порогами расширения и остановки, включая денежные ворота; MVP не доказывает ни образовательного эффекта, ни пользы для найма.</w:t>
      </w:r>
    </w:p>
    <w:p>
      <w:pPr>
        <w:pStyle w:val="Heading1"/>
        <w:keepNext/>
        <w:spacing w:before="26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О проекте</w:t>
      </w: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Как читать отчёт.</w:t>
      </w:r>
      <w:r>
        <w:rPr>
          <w:rFonts w:ascii="Arial" w:cs="Arial" w:eastAsia="Arial" w:hAnsi="Arial"/>
          <w:sz w:val="19"/>
          <w:szCs w:val="19"/>
        </w:rPr>
        <w:t xml:space="preserve"> По легенде блока 01 канвы мы различаем три вида записей: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наблюдение</w:t>
      </w:r>
      <w:r>
        <w:rPr>
          <w:rFonts w:ascii="Arial" w:cs="Arial" w:eastAsia="Arial" w:hAnsi="Arial"/>
          <w:sz w:val="19"/>
          <w:szCs w:val="19"/>
        </w:rPr>
        <w:t xml:space="preserve"> (Н, есть источник: кто что сказал или сделал),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предположение</w:t>
      </w:r>
      <w:r>
        <w:rPr>
          <w:rFonts w:ascii="Arial" w:cs="Arial" w:eastAsia="Arial" w:hAnsi="Arial"/>
          <w:sz w:val="19"/>
          <w:szCs w:val="19"/>
        </w:rPr>
        <w:t xml:space="preserve"> (Г, пока не подтверждено) и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решение команды</w:t>
      </w:r>
      <w:r>
        <w:rPr>
          <w:rFonts w:ascii="Arial" w:cs="Arial" w:eastAsia="Arial" w:hAnsi="Arial"/>
          <w:sz w:val="19"/>
          <w:szCs w:val="19"/>
        </w:rPr>
        <w:t xml:space="preserve"> (выбор с названным основанием). Сквозная цепочка: Н или Г → П (потребность) → И (история) → Ф (фича) → Э (экран). Ссылка «(SE-02, сл. 66)» ведёт на слайд занятия курса, «(канва, с. 7)» — на страницу выгрузки канвы. Банк «Кварц», его клиенты и данные внутри симуляции вымышлены.</w:t>
      </w:r>
    </w:p>
    <w:p>
      <w:pPr>
        <w:pStyle w:val="Heading1"/>
        <w:keepNext/>
        <w:spacing w:before="26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01. Задача и замысел</w:t>
      </w: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Какой опыт обучения меняем.</w:t>
      </w:r>
      <w:r>
        <w:rPr>
          <w:rFonts w:ascii="Arial" w:cs="Arial" w:eastAsia="Arial" w:hAnsi="Arial"/>
          <w:sz w:val="19"/>
          <w:szCs w:val="19"/>
        </w:rPr>
        <w:t xml:space="preserve"> Начинающий продакт обычно учится на отдельных заданиях: сдал ответ, получил оценку, перешёл к следующему. У решения нет последствий, пересматривать нечего. Мы делаем связанную историю: решение сохраняется, даёт последствия, сталкивается с внешним событием и требует пересмотра. Теория и разбор встроены в прохождение. Цифровой продукт здесь нужен, потому что хранить состояние каждого участника и воспроизводимо считать последствия для потока в 50 человек преподаватель с бумажным кейсом не может (решение команды).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4"/>
        <w:gridCol w:w="2467"/>
        <w:gridCol w:w="3534"/>
        <w:gridCol w:w="1701"/>
      </w:tblGrid>
      <w:tr>
        <w:trPr>
          <w:cantSplit/>
          <w:tblHeader/>
        </w:trPr>
        <w:tc>
          <w:tcPr>
            <w:tcW w:type="dxa" w:w="21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Роль</w:t>
            </w:r>
          </w:p>
        </w:tc>
        <w:tc>
          <w:tcPr>
            <w:tcW w:type="dxa" w:w="24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Кто</w:t>
            </w:r>
          </w:p>
        </w:tc>
        <w:tc>
          <w:tcPr>
            <w:tcW w:type="dxa" w:w="3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Что получает (гипотеза)</w:t>
            </w:r>
          </w:p>
        </w:tc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В MVP</w:t>
            </w:r>
          </w:p>
        </w:tc>
      </w:tr>
      <w:tr>
        <w:trPr>
          <w:cantSplit/>
          <w:tblHeader w:val="false"/>
        </w:trPr>
        <w:tc>
          <w:tcPr>
            <w:tcW w:type="dxa" w:w="21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Обучающийся, персона А</w:t>
            </w:r>
          </w:p>
        </w:tc>
        <w:tc>
          <w:tcPr>
            <w:tcW w:type="dxa" w:w="24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Соискатель начальной продуктовой роли</w:t>
            </w:r>
          </w:p>
        </w:tc>
        <w:tc>
          <w:tcPr>
            <w:tcW w:type="dxa" w:w="3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Практику решений с объяснимыми последствиями, разбор, пример работы для интервью</w:t>
            </w:r>
          </w:p>
        </w:tc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Весь путь</w:t>
            </w:r>
          </w:p>
        </w:tc>
      </w:tr>
      <w:tr>
        <w:trPr>
          <w:cantSplit/>
          <w:tblHeader w:val="false"/>
        </w:trPr>
        <w:tc>
          <w:tcPr>
            <w:tcW w:type="dxa" w:w="21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Продуктовый эксперт, персона Б</w:t>
            </w:r>
          </w:p>
        </w:tc>
        <w:tc>
          <w:tcPr>
            <w:tcW w:type="dxa" w:w="24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Эксперт корпоративной школы банка</w:t>
            </w:r>
          </w:p>
        </w:tc>
        <w:tc>
          <w:tcPr>
            <w:tcW w:type="dxa" w:w="3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Переданную работу с основаниями и критериями</w:t>
            </w:r>
          </w:p>
        </w:tc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Кабинет эксперта</w:t>
            </w:r>
          </w:p>
        </w:tc>
      </w:tr>
      <w:tr>
        <w:trPr>
          <w:cantSplit/>
          <w:tblHeader w:val="false"/>
        </w:trPr>
        <w:tc>
          <w:tcPr>
            <w:tcW w:type="dxa" w:w="21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Покупатель</w:t>
            </w:r>
          </w:p>
        </w:tc>
        <w:tc>
          <w:tcPr>
            <w:tcW w:type="dxa" w:w="24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Банк или финтех с карьерной программой</w:t>
            </w:r>
          </w:p>
        </w:tc>
        <w:tc>
          <w:tcPr>
            <w:tcW w:type="dxa" w:w="3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Примеры того, как кандидат работает с данными и ограничениями</w:t>
            </w:r>
          </w:p>
        </w:tc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Только в стратегии</w:t>
            </w:r>
          </w:p>
        </w:tc>
      </w:tr>
      <w:tr>
        <w:trPr>
          <w:cantSplit/>
          <w:tblHeader w:val="false"/>
        </w:trPr>
        <w:tc>
          <w:tcPr>
            <w:tcW w:type="dxa" w:w="21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Дополнительные</w:t>
            </w:r>
          </w:p>
        </w:tc>
        <w:tc>
          <w:tcPr>
            <w:tcW w:type="dxa" w:w="24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Организатор программы, HR, автор кейсов</w:t>
            </w:r>
          </w:p>
        </w:tc>
        <w:tc>
          <w:tcPr>
            <w:tcW w:type="dxa" w:w="3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Задачи учтены, отдельных кабинетов нет</w:t>
            </w:r>
          </w:p>
        </w:tc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 w:line="140" w:lineRule="exact"/>
      </w:pPr>
    </w:p>
    <w:p>
      <w:pPr>
        <w:spacing w:after="70" w:line="245"/>
        <w:jc w:val="both"/>
      </w:pPr>
      <w:r>
        <w:rPr>
          <w:rFonts w:ascii="Arial" w:cs="Arial" w:eastAsia="Arial" w:hAnsi="Arial"/>
          <w:sz w:val="19"/>
          <w:szCs w:val="19"/>
        </w:rPr>
        <w:t xml:space="preserve">Покупатель, обучающийся и клиент банка внутри кейса — разные роли: продукт обучает кандидата, а виртуальный сервис банка — среда его учебной работы. В образовательных продуктах покупает организация, а не пользователь, поэтому ценность нужна обеим сторонам (Sommerville, 2020, с. 20, 61). Банк выбран, потому что банки уже проводят карьерные школы с отбором и обратной связью (Н4; раздел «Конкуренты и рынок»), а сервис накоплений знаком кандидату как пользователю (Sommerville, 2020, с. 4).</w:t>
      </w: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Фокус детализации.</w:t>
      </w:r>
      <w:r>
        <w:rPr>
          <w:rFonts w:ascii="Arial" w:cs="Arial" w:eastAsia="Arial" w:hAnsi="Arial"/>
          <w:sz w:val="19"/>
          <w:szCs w:val="19"/>
        </w:rPr>
        <w:t xml:space="preserve"> Один путь: войти в роль → изучить ситуацию → предложить решение → получить последствия и новые условия → пересмотреть решение → получить разбор → самостоятельно применить навык. Контекст — сервис «Накопления на цель» в приложении банка «Кварц». Это первый модуль из возможной библиотеки; закрытые модули «Удержание», «Монетизация», «Стейкхолдеры» на экране программы лежат за границей MVP.</w:t>
      </w: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Что должен проверить MVP.</w:t>
      </w:r>
      <w:r>
        <w:rPr>
          <w:rFonts w:ascii="Arial" w:cs="Arial" w:eastAsia="Arial" w:hAnsi="Arial"/>
          <w:sz w:val="19"/>
          <w:szCs w:val="19"/>
        </w:rPr>
        <w:t xml:space="preserve"> Прототип имеет смысл, только если его результат может изменить решение об инвестициях (SE-02, сл. 13). Самое опасное предположение: сохранение последствий и разбор изменений учат лучше, чем отдельный кейс с хорошей обратной связью. Если пилот его опровергнет, мы откажемся от дорогой в авторинге симуляции и оставим кейс с разбором. Второй риск — ключ автора: правила эффектов составил автор кейса, практики их пока не проверяли.</w:t>
      </w:r>
    </w:p>
    <w:p>
      <w:pPr>
        <w:pStyle w:val="Heading1"/>
        <w:keepNext/>
        <w:spacing w:before="26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Что наблюдали и что предполагаем</w:t>
      </w:r>
    </w:p>
    <w:p>
      <w:pPr>
        <w:spacing w:after="70" w:line="245"/>
        <w:jc w:val="both"/>
      </w:pPr>
      <w:r>
        <w:rPr>
          <w:rFonts w:ascii="Arial" w:cs="Arial" w:eastAsia="Arial" w:hAnsi="Arial"/>
          <w:sz w:val="19"/>
          <w:szCs w:val="19"/>
        </w:rPr>
        <w:t xml:space="preserve">Наблюдений о целевой аудитории пока нет: интервью с кандидатами и экспертами ещё не проведены. Ниже пять наблюдений из опыта команды; это все наблюдения, которые у нас есть. Остальное о пользователях — гипотезы.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0"/>
        <w:gridCol w:w="3637"/>
        <w:gridCol w:w="2582"/>
        <w:gridCol w:w="2117"/>
      </w:tblGrid>
      <w:tr>
        <w:trPr>
          <w:cantSplit/>
          <w:tblHeader/>
        </w:trPr>
        <w:tc>
          <w:tcPr>
            <w:tcW w:type="dxa" w:w="15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Код, источник</w:t>
            </w:r>
          </w:p>
        </w:tc>
        <w:tc>
          <w:tcPr>
            <w:tcW w:type="dxa" w:w="36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Что человек сказал или сделал</w:t>
            </w:r>
          </w:p>
        </w:tc>
        <w:tc>
          <w:tcPr>
            <w:tcW w:type="dxa" w:w="25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Осторожный вывод</w:t>
            </w:r>
          </w:p>
        </w:tc>
        <w:tc>
          <w:tcPr>
            <w:tcW w:type="dxa" w:w="21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Чего не доказывает</w:t>
            </w:r>
          </w:p>
        </w:tc>
      </w:tr>
      <w:tr>
        <w:trPr>
          <w:cantSplit/>
          <w:tblHeader w:val="false"/>
        </w:trPr>
        <w:tc>
          <w:tcPr>
            <w:tcW w:type="dxa" w:w="15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Н1, Ольга Федорова</w:t>
            </w:r>
          </w:p>
        </w:tc>
        <w:tc>
          <w:tcPr>
            <w:tcW w:type="dxa" w:w="36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На 4 курсе — конкурентная симуляция «Бизнес-курс: Максимум»: команды-компании ежемесячно принимали решения и видели результаты и рейтинг. «От стадии отрицания (непонимания, как считается успешность нашего решения) пришли к принятию к середине курса и называли этот предмет — казино»</w:t>
            </w:r>
          </w:p>
        </w:tc>
        <w:tc>
          <w:tcPr>
            <w:tcW w:type="dxa" w:w="25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Если не видно, как решение превращается в результат, симуляция воспринимается как случайность. К середине курса участники освоились</w:t>
            </w:r>
          </w:p>
        </w:tc>
        <w:tc>
          <w:tcPr>
            <w:tcW w:type="dxa" w:w="21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Что симуляции учат хуже. Один курс, один рассказчик, студенты, а не кандидаты в продакты</w:t>
            </w:r>
          </w:p>
        </w:tc>
      </w:tr>
      <w:tr>
        <w:trPr>
          <w:cantSplit/>
          <w:tblHeader w:val="false"/>
        </w:trPr>
        <w:tc>
          <w:tcPr>
            <w:tcW w:type="dxa" w:w="15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Н2, Ольга Федорова</w:t>
            </w:r>
          </w:p>
        </w:tc>
        <w:tc>
          <w:tcPr>
            <w:tcW w:type="dxa" w:w="36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В банке нужно было пройти игру-симуляцию по технике безопасности: ходить по виртуальному офису и выбирать варианты. Не прошла до увольнения: не хотелось тратить рабочее время, хотелось погружаться в задачи</w:t>
            </w:r>
          </w:p>
        </w:tc>
        <w:tc>
          <w:tcPr>
            <w:tcW w:type="dxa" w:w="25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Обязательная симуляция, не связанная с задачами человека, может не проходиться вовсе</w:t>
            </w:r>
          </w:p>
        </w:tc>
        <w:tc>
          <w:tcPr>
            <w:tcW w:type="dxa" w:w="21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Что игровая форма отталкивает кандидатов: у сотрудника другая мотивация</w:t>
            </w:r>
          </w:p>
        </w:tc>
      </w:tr>
      <w:tr>
        <w:trPr>
          <w:cantSplit/>
          <w:tblHeader w:val="false"/>
        </w:trPr>
        <w:tc>
          <w:tcPr>
            <w:tcW w:type="dxa" w:w="15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Н3, Софа Ибрагимова</w:t>
            </w:r>
          </w:p>
        </w:tc>
        <w:tc>
          <w:tcPr>
            <w:tcW w:type="dxa" w:w="36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На стажировке не было онбординга, «это было очень тяжело»; она была единственным стажёром</w:t>
            </w:r>
          </w:p>
        </w:tc>
        <w:tc>
          <w:tcPr>
            <w:tcW w:type="dxa" w:w="25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Бывают стажёры, которые начинают работу без подготовки и поддержки</w:t>
            </w:r>
          </w:p>
        </w:tc>
        <w:tc>
          <w:tcPr>
            <w:tcW w:type="dxa" w:w="21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Что пробел в продуктовых навыках, а не в знании процессов компании</w:t>
            </w:r>
          </w:p>
        </w:tc>
      </w:tr>
      <w:tr>
        <w:trPr>
          <w:cantSplit/>
          <w:tblHeader w:val="false"/>
        </w:trPr>
        <w:tc>
          <w:tcPr>
            <w:tcW w:type="dxa" w:w="15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Н4, Софа Ибрагимова, со слов знакомых (аналог)</w:t>
            </w:r>
          </w:p>
        </w:tc>
        <w:tc>
          <w:tcPr>
            <w:tcW w:type="dxa" w:w="36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Школа управления рисками крупного банка в партнёрстве с ВШЭ: отбор, занятия и задания с обратной связью, экзамен, ускоренный путь в компанию. ИИ использовать жёстко запрещено</w:t>
            </w:r>
          </w:p>
        </w:tc>
        <w:tc>
          <w:tcPr>
            <w:tcW w:type="dxa" w:w="25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Банки делают карьерные программы с вузами, где обучение связано с отбором. Запрет ИИ — реальное требование заказчика</w:t>
            </w:r>
          </w:p>
        </w:tc>
        <w:tc>
          <w:tcPr>
            <w:tcW w:type="dxa" w:w="21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Что банк заплатит за наш модуль и что такие программы есть для продактов</w:t>
            </w:r>
          </w:p>
        </w:tc>
      </w:tr>
      <w:tr>
        <w:trPr>
          <w:cantSplit/>
          <w:tblHeader w:val="false"/>
        </w:trPr>
        <w:tc>
          <w:tcPr>
            <w:tcW w:type="dxa" w:w="15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Н5, Мария Прегер, пересказ без слайда</w:t>
            </w:r>
          </w:p>
        </w:tc>
        <w:tc>
          <w:tcPr>
            <w:tcW w:type="dxa" w:w="36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Преподаватель устно: ему важно обоснование — из чего поняли, какие фичи нужны</w:t>
            </w:r>
          </w:p>
        </w:tc>
        <w:tc>
          <w:tcPr>
            <w:tcW w:type="dxa" w:w="25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Требование стейкхолдера курса; близко к позиции эксперта, который разбирает чужую работу (Г-Б1)</w:t>
            </w:r>
          </w:p>
        </w:tc>
        <w:tc>
          <w:tcPr>
            <w:tcW w:type="dxa" w:w="21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Что так думают эксперты банков</w:t>
            </w:r>
          </w:p>
        </w:tc>
      </w:tr>
    </w:tbl>
    <w:p>
      <w:pPr>
        <w:spacing w:after="0" w:line="140" w:lineRule="exact"/>
      </w:pPr>
    </w:p>
    <w:p>
      <w:pPr>
        <w:spacing w:after="70" w:line="245"/>
        <w:jc w:val="both"/>
      </w:pPr>
      <w:r>
        <w:rPr>
          <w:rFonts w:ascii="Arial" w:cs="Arial" w:eastAsia="Arial" w:hAnsi="Arial"/>
          <w:sz w:val="19"/>
          <w:szCs w:val="19"/>
        </w:rPr>
        <w:t xml:space="preserve">Н1–Н4 — опыт членов команды и их знакомых: выборка удобная, а рассказчики заинтересованы в идее. Поэтому эти наблюдения — повод для гипотез и требований к дизайну, а не подтверждение спроса.</w:t>
      </w: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Что наблюдения уже изменили</w:t>
      </w:r>
      <w:r>
        <w:rPr>
          <w:rFonts w:ascii="Arial" w:cs="Arial" w:eastAsia="Arial" w:hAnsi="Arial"/>
          <w:sz w:val="19"/>
          <w:szCs w:val="19"/>
        </w:rPr>
        <w:t xml:space="preserve"> (решения команды):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Н1 → правила последствий открыты и одинаковы для всех, в разборе есть блок «Почему так вышло: правила модели открыты», рейтинга участников нет (Ф3, Т2).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Н2 → модуль занимает около 45 минут и привязан к цели самого участника, подготовке к стажировке. Мы не продаём его как обязательное обучение сотрудников.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Н4 → тренировка с подсказками и самостоятельная работа разделены. Запрет ИИ обеспечить нельзя: асинхронную часть можно пройти вместе с нейросетью, и браузер не проверит, кто писал текст. Поэтому карточка — материал для живого вопроса на структурированном интервью, а не тест.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Н5 → режим обоснования: метки И/Ф/Э на блоках и цепочка Г→П→И→Ф→Э. Это функция для защиты и для автора кейса, кандидату она не нужна.</w:t>
      </w:r>
    </w:p>
    <w:p>
      <w:pPr>
        <w:spacing w:after="0" w:line="8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76"/>
        <w:gridCol w:w="2370"/>
        <w:gridCol w:w="1176"/>
        <w:gridCol w:w="2432"/>
        <w:gridCol w:w="2712"/>
      </w:tblGrid>
      <w:tr>
        <w:trPr>
          <w:cantSplit/>
          <w:tblHeader/>
        </w:trPr>
        <w:tc>
          <w:tcPr>
            <w:tcW w:type="dxa" w:w="11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Код</w:t>
            </w:r>
          </w:p>
        </w:tc>
        <w:tc>
          <w:tcPr>
            <w:tcW w:type="dxa" w:w="2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Предположение</w:t>
            </w:r>
          </w:p>
        </w:tc>
        <w:tc>
          <w:tcPr>
            <w:tcW w:type="dxa" w:w="11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Связь с Н</w:t>
            </w:r>
          </w:p>
        </w:tc>
        <w:tc>
          <w:tcPr>
            <w:tcW w:type="dxa" w:w="24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Подтвердит</w:t>
            </w:r>
          </w:p>
        </w:tc>
        <w:tc>
          <w:tcPr>
            <w:tcW w:type="dxa" w:w="2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Опровергнет</w:t>
            </w:r>
          </w:p>
        </w:tc>
      </w:tr>
      <w:tr>
        <w:trPr>
          <w:cantSplit/>
          <w:tblHeader w:val="false"/>
        </w:trPr>
        <w:tc>
          <w:tcPr>
            <w:tcW w:type="dxa" w:w="11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Г-А1</w:t>
            </w:r>
          </w:p>
        </w:tc>
        <w:tc>
          <w:tcPr>
            <w:tcW w:type="dxa" w:w="2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Знание терминов не сопровождается умением разобрать продуктовую ситуацию</w:t>
            </w:r>
          </w:p>
        </w:tc>
        <w:tc>
          <w:tcPr>
            <w:tcW w:type="dxa" w:w="11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Косвенно Н3</w:t>
            </w:r>
          </w:p>
        </w:tc>
        <w:tc>
          <w:tcPr>
            <w:tcW w:type="dxa" w:w="24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Случаи, где кандидат знал метод, но не знал, с чего начать</w:t>
            </w:r>
          </w:p>
        </w:tc>
        <w:tc>
          <w:tcPr>
            <w:tcW w:type="dxa" w:w="2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Кандидаты уверенно разбирают ситуации сами; главная трудность — базовые знания или доступ к данным</w:t>
            </w:r>
          </w:p>
        </w:tc>
      </w:tr>
      <w:tr>
        <w:trPr>
          <w:cantSplit/>
          <w:tblHeader w:val="false"/>
        </w:trPr>
        <w:tc>
          <w:tcPr>
            <w:tcW w:type="dxa" w:w="11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Г-А2</w:t>
            </w:r>
          </w:p>
        </w:tc>
        <w:tc>
          <w:tcPr>
            <w:tcW w:type="dxa" w:w="2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Не хватает обратной связи, объясняющей причинную связь решения и результата</w:t>
            </w:r>
          </w:p>
        </w:tc>
        <w:tc>
          <w:tcPr>
            <w:tcW w:type="dxa" w:w="11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Н1</w:t>
            </w:r>
          </w:p>
        </w:tc>
        <w:tc>
          <w:tcPr>
            <w:tcW w:type="dxa" w:w="24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Фидбек «верно / неверно» без причины; попытки понять, почему изменилась метрика</w:t>
            </w:r>
          </w:p>
        </w:tc>
        <w:tc>
          <w:tcPr>
            <w:tcW w:type="dxa" w:w="2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Кандидаты получают причинный разбор от наставников и не видят проблемы</w:t>
            </w:r>
          </w:p>
        </w:tc>
      </w:tr>
      <w:tr>
        <w:trPr>
          <w:cantSplit/>
          <w:tblHeader w:val="false"/>
        </w:trPr>
        <w:tc>
          <w:tcPr>
            <w:tcW w:type="dxa" w:w="11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Г-А3</w:t>
            </w:r>
          </w:p>
        </w:tc>
        <w:tc>
          <w:tcPr>
            <w:tcW w:type="dxa" w:w="2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Важно понимать, какие попытки тренировочные и что увидит работодатель</w:t>
            </w:r>
          </w:p>
        </w:tc>
        <w:tc>
          <w:tcPr>
            <w:tcW w:type="dxa" w:w="11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Косвенно Н4</w:t>
            </w:r>
          </w:p>
        </w:tc>
        <w:tc>
          <w:tcPr>
            <w:tcW w:type="dxa" w:w="24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Страх ошибиться на глазах работодателя; поведение меняется, когда работу видят</w:t>
            </w:r>
          </w:p>
        </w:tc>
        <w:tc>
          <w:tcPr>
            <w:tcW w:type="dxa" w:w="2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Кандидатам всё равно, кто видит попытки</w:t>
            </w:r>
          </w:p>
        </w:tc>
      </w:tr>
      <w:tr>
        <w:trPr>
          <w:cantSplit/>
          <w:tblHeader w:val="false"/>
        </w:trPr>
        <w:tc>
          <w:tcPr>
            <w:tcW w:type="dxa" w:w="11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Г-Б1</w:t>
            </w:r>
          </w:p>
        </w:tc>
        <w:tc>
          <w:tcPr>
            <w:tcW w:type="dxa" w:w="2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Эксперту нужны примеры решений, а не только оценка</w:t>
            </w:r>
          </w:p>
        </w:tc>
        <w:tc>
          <w:tcPr>
            <w:tcW w:type="dxa" w:w="11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Н5 как аналог</w:t>
            </w:r>
          </w:p>
        </w:tc>
        <w:tc>
          <w:tcPr>
            <w:tcW w:type="dxa" w:w="24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Эксперты просят на интервью разобрать конкретное решение</w:t>
            </w:r>
          </w:p>
        </w:tc>
        <w:tc>
          <w:tcPr>
            <w:tcW w:type="dxa" w:w="2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Эксперты опираются на балл и материалы не открывают</w:t>
            </w:r>
          </w:p>
        </w:tc>
      </w:tr>
      <w:tr>
        <w:trPr>
          <w:cantSplit/>
          <w:tblHeader w:val="false"/>
        </w:trPr>
        <w:tc>
          <w:tcPr>
            <w:tcW w:type="dxa" w:w="11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Г-Б2</w:t>
            </w:r>
          </w:p>
        </w:tc>
        <w:tc>
          <w:tcPr>
            <w:tcW w:type="dxa" w:w="2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Разбор удобнее, если критерии и фрагменты работы в одном представлении</w:t>
            </w:r>
          </w:p>
        </w:tc>
        <w:tc>
          <w:tcPr>
            <w:tcW w:type="dxa" w:w="11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Нет</w:t>
            </w:r>
          </w:p>
        </w:tc>
        <w:tc>
          <w:tcPr>
            <w:tcW w:type="dxa" w:w="24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Эксперты тратят время на поиск контекста</w:t>
            </w:r>
          </w:p>
        </w:tc>
        <w:tc>
          <w:tcPr>
            <w:tcW w:type="dxa" w:w="2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Эксперты разбирают работы быстро и без этого</w:t>
            </w:r>
          </w:p>
        </w:tc>
      </w:tr>
    </w:tbl>
    <w:p>
      <w:pPr>
        <w:spacing w:after="0" w:line="140" w:lineRule="exact"/>
      </w:pP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План исследования.</w:t>
      </w:r>
      <w:r>
        <w:rPr>
          <w:rFonts w:ascii="Arial" w:cs="Arial" w:eastAsia="Arial" w:hAnsi="Arial"/>
          <w:sz w:val="19"/>
          <w:szCs w:val="19"/>
        </w:rPr>
        <w:t xml:space="preserve"> Пять интервью с кандидатами на junior-PM и два с продуктовыми экспертами или нанимающими менеджерами банков по схеме «ситуация → действия → результат», без наводящих вопросов (SE-04, сл. 9), и короткая анкета для 30–60 стажёров (идея Софы); гайд — в файле </w:t>
      </w:r>
      <w:r>
        <w:rPr>
          <w:rFonts w:ascii="Courier New" w:cs="Courier New" w:eastAsia="Courier New" w:hAnsi="Courier New"/>
          <w:sz w:val="19"/>
          <w:szCs w:val="19"/>
        </w:rPr>
        <w:t xml:space="preserve">гайд-интервью.md</w:t>
      </w:r>
      <w:r>
        <w:rPr>
          <w:rFonts w:ascii="Arial" w:cs="Arial" w:eastAsia="Arial" w:hAnsi="Arial"/>
          <w:sz w:val="19"/>
          <w:szCs w:val="19"/>
        </w:rPr>
        <w:t xml:space="preserve">. Каждая гипотеза получит статус «подтверждена», «изменена» или «отвергнута». Правило команды: если четверо из пяти кандидатов описывают уже доступный им причинный разбор, Г-А2 отвергнута, и мы переходим к концепции А. Ближайший шаг, до 28.10: пять прохождений MVP кандидатами не из команды с размышлением вслух и разговор с карьерной программой банка; их оформим как Н6 и дальше. Это проверка готового прототипа, а не основание задним числом: цепочки Г→П→И→Ф не переписываем, а помечаем «проверено» или «опровергнуто».</w:t>
      </w:r>
    </w:p>
    <w:p>
      <w:pPr>
        <w:pStyle w:val="Heading1"/>
        <w:keepNext/>
        <w:spacing w:before="26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02. Персоны</w:t>
      </w:r>
    </w:p>
    <w:p>
      <w:pPr>
        <w:spacing w:after="70" w:line="245"/>
        <w:jc w:val="both"/>
      </w:pPr>
      <w:r>
        <w:rPr>
          <w:rFonts w:ascii="Arial" w:cs="Arial" w:eastAsia="Arial" w:hAnsi="Arial"/>
          <w:sz w:val="19"/>
          <w:szCs w:val="19"/>
        </w:rPr>
        <w:t xml:space="preserve">Обе персоны — протоперсоны: модели, собранные командой на ограниченных данных (SE-04, сл. 15; Sommerville, 2020, с. 69). Имена условные. Наблюдений, где человек из целевой группы сам что-то сказал или сделал, пока нет ни для одной. Все поля карточек — в канве; здесь главное.</w:t>
      </w: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Персона А — Алина, кандидат на junior-PM.</w:t>
      </w:r>
      <w:r>
        <w:rPr>
          <w:rFonts w:ascii="Arial" w:cs="Arial" w:eastAsia="Arial" w:hAnsi="Arial"/>
          <w:sz w:val="19"/>
          <w:szCs w:val="19"/>
        </w:rPr>
        <w:t xml:space="preserve"> Готовится к стажировке, проходила курсы и проекты, но не отвечала за действующий продукт. Знает термины «история», «гипотеза», «MVP», но выстроить последовательность действий ей сложнее, чем объяснить определения. Хочет попробовать работу продакта, научиться аргументировать выбор и подготовить примеры для интервью. Боится ошибиться и не понимает критериев оценки. Основания: Г-А1–Г-А3, косвенно Н1 и Н3.</w:t>
      </w: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Персона Б — Дмитрий, продуктовый эксперт корпоративной школы банка.</w:t>
      </w:r>
      <w:r>
        <w:rPr>
          <w:rFonts w:ascii="Arial" w:cs="Arial" w:eastAsia="Arial" w:hAnsi="Arial"/>
          <w:sz w:val="19"/>
          <w:szCs w:val="19"/>
        </w:rPr>
        <w:t xml:space="preserve"> Разбирает работы начинающих и подключается к интервью, но не может сопровождать каждого участника. Хочет понять, что участник сделал сам и на какие данные опирался. Не верит, что балл или красивая презентация отражают качество решения. Основания: Г-Б1, Г-Б2; Н5 только как аналог.</w:t>
      </w: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Какие требования зависят от различий персон</w:t>
      </w:r>
      <w:r>
        <w:rPr>
          <w:rFonts w:ascii="Arial" w:cs="Arial" w:eastAsia="Arial" w:hAnsi="Arial"/>
          <w:sz w:val="19"/>
          <w:szCs w:val="19"/>
        </w:rPr>
        <w:t xml:space="preserve"> (SE-04, сл. 15):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8"/>
        <w:gridCol w:w="2655"/>
        <w:gridCol w:w="2424"/>
        <w:gridCol w:w="3139"/>
      </w:tblGrid>
      <w:tr>
        <w:trPr>
          <w:cantSplit/>
          <w:tblHeader/>
        </w:trPr>
        <w:tc>
          <w:tcPr>
            <w:tcW w:type="dxa" w:w="16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Различие</w:t>
            </w:r>
          </w:p>
        </w:tc>
        <w:tc>
          <w:tcPr>
            <w:tcW w:type="dxa" w:w="2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Алина</w:t>
            </w:r>
          </w:p>
        </w:tc>
        <w:tc>
          <w:tcPr>
            <w:tcW w:type="dxa" w:w="24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Дмитрий</w:t>
            </w:r>
          </w:p>
        </w:tc>
        <w:tc>
          <w:tcPr>
            <w:tcW w:type="dxa" w:w="31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Требование</w:t>
            </w:r>
          </w:p>
        </w:tc>
      </w:tr>
      <w:tr>
        <w:trPr>
          <w:cantSplit/>
          <w:tblHeader w:val="false"/>
        </w:trPr>
        <w:tc>
          <w:tcPr>
            <w:tcW w:type="dxa" w:w="16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Что видит</w:t>
            </w:r>
          </w:p>
        </w:tc>
        <w:tc>
          <w:tcPr>
            <w:tcW w:type="dxa" w:w="2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Свой тренировочный путь и самостоятельную работу</w:t>
            </w:r>
          </w:p>
        </w:tc>
        <w:tc>
          <w:tcPr>
            <w:tcW w:type="dxa" w:w="24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Только переданную самостоятельную работу</w:t>
            </w:r>
          </w:p>
        </w:tc>
        <w:tc>
          <w:tcPr>
            <w:tcW w:type="dxa" w:w="31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Два режима и правило доступа (требование к качеству 3)</w:t>
            </w:r>
          </w:p>
        </w:tc>
      </w:tr>
      <w:tr>
        <w:trPr>
          <w:cantSplit/>
          <w:tblHeader w:val="false"/>
        </w:trPr>
        <w:tc>
          <w:tcPr>
            <w:tcW w:type="dxa" w:w="16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Роль ошибки</w:t>
            </w:r>
          </w:p>
        </w:tc>
        <w:tc>
          <w:tcPr>
            <w:tcW w:type="dxa" w:w="2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Ошибаться нужно, чтобы учиться</w:t>
            </w:r>
          </w:p>
        </w:tc>
        <w:tc>
          <w:tcPr>
            <w:tcW w:type="dxa" w:w="24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Тренировочные ошибки до него не доходят</w:t>
            </w:r>
          </w:p>
        </w:tc>
        <w:tc>
          <w:tcPr>
            <w:tcW w:type="dxa" w:w="31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Черновики и тренировка не передаются (И5, И6)</w:t>
            </w:r>
          </w:p>
        </w:tc>
      </w:tr>
      <w:tr>
        <w:trPr>
          <w:cantSplit/>
          <w:tblHeader w:val="false"/>
        </w:trPr>
        <w:tc>
          <w:tcPr>
            <w:tcW w:type="dxa" w:w="16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Время</w:t>
            </w:r>
          </w:p>
        </w:tc>
        <w:tc>
          <w:tcPr>
            <w:tcW w:type="dxa" w:w="2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Учится между другими делами</w:t>
            </w:r>
          </w:p>
        </w:tc>
        <w:tc>
          <w:tcPr>
            <w:tcW w:type="dxa" w:w="24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Не может сопровождать каждого</w:t>
            </w:r>
          </w:p>
        </w:tc>
        <w:tc>
          <w:tcPr>
            <w:tcW w:type="dxa" w:w="31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Модуль около 45 минут; карточка с фрагментами вместо полной истории</w:t>
            </w:r>
          </w:p>
        </w:tc>
      </w:tr>
      <w:tr>
        <w:trPr>
          <w:cantSplit/>
          <w:tblHeader w:val="false"/>
        </w:trPr>
        <w:tc>
          <w:tcPr>
            <w:tcW w:type="dxa" w:w="16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Оценка</w:t>
            </w:r>
          </w:p>
        </w:tc>
        <w:tc>
          <w:tcPr>
            <w:tcW w:type="dxa" w:w="2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Нужен разбор, а не балл</w:t>
            </w:r>
          </w:p>
        </w:tc>
        <w:tc>
          <w:tcPr>
            <w:tcW w:type="dxa" w:w="24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Не доверяет баллам</w:t>
            </w:r>
          </w:p>
        </w:tc>
        <w:tc>
          <w:tcPr>
            <w:tcW w:type="dxa" w:w="31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Статусы по критериям и «недостаточно данных», без итогового балла</w:t>
            </w:r>
          </w:p>
        </w:tc>
      </w:tr>
    </w:tbl>
    <w:p>
      <w:pPr>
        <w:spacing w:after="0" w:line="140" w:lineRule="exact"/>
      </w:pPr>
    </w:p>
    <w:p>
      <w:pPr>
        <w:pStyle w:val="Heading1"/>
        <w:keepNext/>
        <w:spacing w:before="26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03. Карты эмпатии</w:t>
      </w:r>
    </w:p>
    <w:p>
      <w:pPr>
        <w:spacing w:after="70" w:line="245"/>
        <w:jc w:val="both"/>
      </w:pPr>
      <w:r>
        <w:rPr>
          <w:rFonts w:ascii="Arial" w:cs="Arial" w:eastAsia="Arial" w:hAnsi="Arial"/>
          <w:sz w:val="19"/>
          <w:szCs w:val="19"/>
        </w:rPr>
        <w:t xml:space="preserve">Карты разделены, чтобы не смешивать мотивы; полные карты — в канве. Ниже поля, которые по канве должны опираться на наблюдения. Н1–Н3 описывают опыт членов команды в похожих ролях (студент, сотрудник, стажёр), поэтому помечены как аналоги.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59"/>
        <w:gridCol w:w="4647"/>
        <w:gridCol w:w="3560"/>
      </w:tblGrid>
      <w:tr>
        <w:trPr>
          <w:cantSplit/>
          <w:tblHeader/>
        </w:trPr>
        <w:tc>
          <w:tcPr>
            <w:tcW w:type="dxa" w:w="16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Поле</w:t>
            </w:r>
          </w:p>
        </w:tc>
        <w:tc>
          <w:tcPr>
            <w:tcW w:type="dxa" w:w="46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Карта А — кандидат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Карта Б — эксперт</w:t>
            </w:r>
          </w:p>
        </w:tc>
      </w:tr>
      <w:tr>
        <w:trPr>
          <w:cantSplit/>
          <w:tblHeader w:val="false"/>
        </w:trPr>
        <w:tc>
          <w:tcPr>
            <w:tcW w:type="dxa" w:w="16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Говорит и делает</w:t>
            </w:r>
          </w:p>
        </w:tc>
        <w:tc>
          <w:tcPr>
            <w:tcW w:type="dxa" w:w="46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Студенты называли симуляцию с непонятной оценкой «казино» (Н1, аналог); обязательную игру не прошла, «хотелось погружаться в задачи» (Н2, аналог)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Задаёт уточняющие вопросы, ищет основания вывода (предположение, не наблюдалось)</w:t>
            </w:r>
          </w:p>
        </w:tc>
      </w:tr>
      <w:tr>
        <w:trPr>
          <w:cantSplit/>
          <w:tblHeader w:val="false"/>
        </w:trPr>
        <w:tc>
          <w:tcPr>
            <w:tcW w:type="dxa" w:w="16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Трудности</w:t>
            </w:r>
          </w:p>
        </w:tc>
        <w:tc>
          <w:tcPr>
            <w:tcW w:type="dxa" w:w="46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От терминов к действиям (Г-А1); непонятно, как считается успех решения (Н1 → Г-А2); нет поддержки на старте работы (Н3)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Восстановить контекст; отделить сильную аргументацию от уверенной подачи (Г-Б1, Г-Б2)</w:t>
            </w:r>
          </w:p>
        </w:tc>
      </w:tr>
      <w:tr>
        <w:trPr>
          <w:cantSplit/>
          <w:tblHeader w:val="false"/>
        </w:trPr>
        <w:tc>
          <w:tcPr>
            <w:tcW w:type="dxa" w:w="16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Желаемый результат</w:t>
            </w:r>
          </w:p>
        </w:tc>
        <w:tc>
          <w:tcPr>
            <w:tcW w:type="dxa" w:w="46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Самостоятельно разобрать новую задачу и объяснить выбор (Г-А1, Г-А2)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Быстро найти значимые решения и вопрос для интервью (Г-Б2)</w:t>
            </w:r>
          </w:p>
        </w:tc>
      </w:tr>
    </w:tbl>
    <w:p>
      <w:pPr>
        <w:spacing w:after="0" w:line="140" w:lineRule="exact"/>
      </w:pP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Следствие для дизайна.</w:t>
      </w:r>
      <w:r>
        <w:rPr>
          <w:rFonts w:ascii="Arial" w:cs="Arial" w:eastAsia="Arial" w:hAnsi="Arial"/>
          <w:sz w:val="19"/>
          <w:szCs w:val="19"/>
        </w:rPr>
        <w:t xml:space="preserve"> Для А: понятный контекст, отметка неизвестного, история своих решений, адресный разбор, граница тренировки. Для Б: карточка с фрагментами работы, видимые критерии и право поставить «недостаточно данных».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Пробел:</w:t>
      </w:r>
      <w:r>
        <w:rPr>
          <w:rFonts w:ascii="Arial" w:cs="Arial" w:eastAsia="Arial" w:hAnsi="Arial"/>
          <w:sz w:val="19"/>
          <w:szCs w:val="19"/>
        </w:rPr>
        <w:t xml:space="preserve"> канва ждёт, что важные трудности опираются на наблюдения (канва, с. 2). У карты А опора косвенная, у карты Б её нет; закрывают это интервью из плана.</w:t>
      </w:r>
    </w:p>
    <w:p>
      <w:pPr>
        <w:pStyle w:val="Heading1"/>
        <w:keepNext/>
        <w:spacing w:before="26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04. Концепции, выбор и сценарий</w:t>
      </w: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Потребности.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П1. Разобраться и действовать.</w:t>
      </w:r>
      <w:r>
        <w:rPr>
          <w:rFonts w:ascii="Arial" w:cs="Arial" w:eastAsia="Arial" w:hAnsi="Arial"/>
          <w:sz w:val="19"/>
          <w:szCs w:val="19"/>
        </w:rPr>
        <w:t xml:space="preserve"> Когда кандидат получает неоднозначную задачу, ему необходимо понять контекст и обосновать первое решение, потому что иначе он подменяет анализ знакомым шаблоном. Основание: Г-А1.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П2. Понять последствия.</w:t>
      </w:r>
      <w:r>
        <w:rPr>
          <w:rFonts w:ascii="Arial" w:cs="Arial" w:eastAsia="Arial" w:hAnsi="Arial"/>
          <w:sz w:val="19"/>
          <w:szCs w:val="19"/>
        </w:rPr>
        <w:t xml:space="preserve"> Когда ситуация меняется, участнику необходимо отличить последствия своего выбора от внешних обстоятельств, потому что иначе он пересматривает решение по неверной причине. Основание: Г-А2, Н1.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П3. Научиться и проверить перенос.</w:t>
      </w:r>
      <w:r>
        <w:rPr>
          <w:rFonts w:ascii="Arial" w:cs="Arial" w:eastAsia="Arial" w:hAnsi="Arial"/>
          <w:sz w:val="19"/>
          <w:szCs w:val="19"/>
        </w:rPr>
        <w:t xml:space="preserve"> После попытки участнику нужен разбор, который помогает решить другую похожую задачу, потому что исправление одного ответа не переносится. Основания: Г-А1–Г-А3.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П4. Увидеть основания оценки.</w:t>
      </w:r>
      <w:r>
        <w:rPr>
          <w:rFonts w:ascii="Arial" w:cs="Arial" w:eastAsia="Arial" w:hAnsi="Arial"/>
          <w:sz w:val="19"/>
          <w:szCs w:val="19"/>
        </w:rPr>
        <w:t xml:space="preserve"> Эксперту необходимо связать выводы с конкретными решениями участника, потому что балл не даёт материала для разговора. Основания: Г-Б1, Г-Б2.</w:t>
      </w:r>
    </w:p>
    <w:p>
      <w:pPr>
        <w:spacing w:after="0" w:line="80" w:lineRule="exact"/>
      </w:pP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Альтернативы.</w:t>
      </w:r>
      <w:r>
        <w:rPr>
          <w:rFonts w:ascii="Arial" w:cs="Arial" w:eastAsia="Arial" w:hAnsi="Arial"/>
          <w:sz w:val="19"/>
          <w:szCs w:val="19"/>
        </w:rPr>
        <w:t xml:space="preserve"> Для каждой названо обстоятельство, при котором она не подойдёт (SE-04, сл. 4).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8"/>
        <w:gridCol w:w="2489"/>
        <w:gridCol w:w="2750"/>
        <w:gridCol w:w="3109"/>
      </w:tblGrid>
      <w:tr>
        <w:trPr>
          <w:cantSplit/>
          <w:tblHeader/>
        </w:trPr>
        <w:tc>
          <w:tcPr>
            <w:tcW w:type="dxa" w:w="15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Концепция</w:t>
            </w:r>
          </w:p>
        </w:tc>
        <w:tc>
          <w:tcPr>
            <w:tcW w:type="dxa" w:w="24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Как происходит обучение и роль продукта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Почему может подойти</w:t>
            </w:r>
          </w:p>
        </w:tc>
        <w:tc>
          <w:tcPr>
            <w:tcW w:type="dxa" w:w="3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Когда не подойдёт</w:t>
            </w:r>
          </w:p>
        </w:tc>
      </w:tr>
      <w:tr>
        <w:trPr>
          <w:cantSplit/>
          <w:tblHeader w:val="false"/>
        </w:trPr>
        <w:tc>
          <w:tcPr>
            <w:tcW w:type="dxa" w:w="15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А. Курс с заданиями и разбором</w:t>
            </w:r>
          </w:p>
        </w:tc>
        <w:tc>
          <w:tcPr>
            <w:tcW w:type="dxa" w:w="24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Теория и отдельные упражнения; продукт организует материалы и обратную связь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Дёшево в авторинге; хорошая обратная связь сама даёт эффект, в среднем d = 0,48 (Wisniewski et al., 2020)</w:t>
            </w:r>
          </w:p>
        </w:tc>
        <w:tc>
          <w:tcPr>
            <w:tcW w:type="dxa" w:w="3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Если главный пробел — адаптация к последствиям: упражнения не связаны</w:t>
            </w:r>
          </w:p>
        </w:tc>
      </w:tr>
      <w:tr>
        <w:trPr>
          <w:cantSplit/>
          <w:tblHeader w:val="false"/>
        </w:trPr>
        <w:tc>
          <w:tcPr>
            <w:tcW w:type="dxa" w:w="15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Б. Сквозной проект с наставником</w:t>
            </w:r>
          </w:p>
        </w:tc>
        <w:tc>
          <w:tcPr>
            <w:tcW w:type="dxa" w:w="24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Участник разрабатывает концепцию продукта; продукт хранит материалы и комментарии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Целостный проект, живая обратная связь</w:t>
            </w:r>
          </w:p>
        </w:tc>
        <w:tc>
          <w:tcPr>
            <w:tcW w:type="dxa" w:w="3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Если наставников мало: каждое решение разбирает человек, а последствия «запуска» остаются разговором</w:t>
            </w:r>
          </w:p>
        </w:tc>
      </w:tr>
      <w:tr>
        <w:trPr>
          <w:cantSplit/>
          <w:tblHeader w:val="false"/>
        </w:trPr>
        <w:tc>
          <w:tcPr>
            <w:tcW w:type="dxa" w:w="15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В. Непрерывная симуляция</w:t>
            </w:r>
          </w:p>
        </w:tc>
        <w:tc>
          <w:tcPr>
            <w:tcW w:type="dxa" w:w="24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Участник развивает виртуальный продукт; продукт хранит состояние и считает последствия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Тренирует адаптацию и разделение эффектов</w:t>
            </w:r>
          </w:p>
        </w:tc>
        <w:tc>
          <w:tcPr>
            <w:tcW w:type="dxa" w:w="31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Если правила непрозрачны или примитивны: обучение превращается в угадывание ответа автора (Н1; Baker et al., 2004). Дорого в авторинге</w:t>
            </w:r>
          </w:p>
        </w:tc>
      </w:tr>
    </w:tbl>
    <w:p>
      <w:pPr>
        <w:spacing w:after="0" w:line="140" w:lineRule="exact"/>
      </w:pP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Выбор: концепция В с короткими объяснениями и разбором из А.</w:t>
      </w:r>
      <w:r>
        <w:rPr>
          <w:rFonts w:ascii="Arial" w:cs="Arial" w:eastAsia="Arial" w:hAnsi="Arial"/>
          <w:sz w:val="19"/>
          <w:szCs w:val="19"/>
        </w:rPr>
        <w:t xml:space="preserve"> Основание в замысле (решение команды) — тренировать связанные решения в неопределённости. Наблюдения: Н1 говорит не против симуляции, а против непрозрачной оценки, поэтому правила открыты; Н2 — против обязательной формы без связи с задачами, поэтому модуль короткий и привязан к цели участника. Исследования: симуляции дают большой эффект для сложных навыков при наличии опор, g = 0,85 по 145 исследованиям (Chernikova et al., 2020); дебрифинг после опыта даёт d = 0,67 (Tannenbaum &amp; Cerasoli, 2013); сравнение двух кейсов улучшает перенос (Gentner et al., 2003); обучение без руководства проигрывает управляемому (Kirschner et al., 2006), поэтому досье структурировано, а в тренировке есть подсказки. Предположение — Г-А2. Контраргумент: симуляция давала меньше, когда контрольная группа училась активно (Sitzmann, 2011). Значит, честный соперник — концепция А с хорошим разбором, и в пилоте мы сравниваем именно с ней.</w:t>
      </w: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Причинный механизм: почему симуляция может учить.</w:t>
      </w:r>
    </w:p>
    <w:p>
      <w:pPr>
        <w:pStyle w:val="ListParagraph"/>
        <w:numPr>
          <w:ilvl w:val="0"/>
          <w:numId w:val="3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До результата участник фиксирует ожидание: метрику, направление, величину и срок (К3).</w:t>
      </w:r>
    </w:p>
    <w:p>
      <w:pPr>
        <w:pStyle w:val="ListParagraph"/>
        <w:numPr>
          <w:ilvl w:val="0"/>
          <w:numId w:val="3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Последствия расходятся с ожиданием, а общий дашборд смешивает эффект релиза и приход 4 000 новых клиентов с другим составом.</w:t>
      </w:r>
    </w:p>
    <w:p>
      <w:pPr>
        <w:pStyle w:val="ListParagraph"/>
        <w:numPr>
          <w:ilvl w:val="0"/>
          <w:numId w:val="3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Расхождение заставляет объяснить причину: сработал релиз или изменилась аудитория (К4). Люди плохо замечают обратную связь от своих решений в динамической системе (Sterman, 1989), поэтому экран показывает «что вышло из релиза» и «что изменилось вокруг» раздельно.</w:t>
      </w:r>
    </w:p>
    <w:p>
      <w:pPr>
        <w:pStyle w:val="ListParagraph"/>
        <w:numPr>
          <w:ilvl w:val="0"/>
          <w:numId w:val="3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Разбор привязывает статус критерия к фрагменту работы и объясняет механизм через сегменты, а не «верно / неверно». Больше трети вмешательств с обратной связью ухудшали результат, особенно когда внимание уходило от задачи к самооценке (Kluger &amp; DeNisi, 1996).</w:t>
      </w:r>
    </w:p>
    <w:p>
      <w:pPr>
        <w:pStyle w:val="ListParagraph"/>
        <w:numPr>
          <w:ilvl w:val="0"/>
          <w:numId w:val="3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Новая задача на другом продукте проверяет, перенёсся ли принцип («оцени надёжность источника»), а не ответ.</w:t>
      </w:r>
    </w:p>
    <w:p>
      <w:pPr>
        <w:spacing w:after="0" w:line="80" w:lineRule="exact"/>
      </w:pPr>
    </w:p>
    <w:p>
      <w:pPr>
        <w:spacing w:after="70" w:line="245"/>
        <w:jc w:val="both"/>
      </w:pPr>
      <w:r>
        <w:rPr>
          <w:rFonts w:ascii="Arial" w:cs="Arial" w:eastAsia="Arial" w:hAnsi="Arial"/>
          <w:sz w:val="19"/>
          <w:szCs w:val="19"/>
        </w:rPr>
        <w:t xml:space="preserve">Механизм ломается, если участник угадывает правило, если числа передаются следующей когорте или если разбор воспринимается как приговор. Против этого: правила открыты, но формула статусов не раскрыта; обоснование должно ссылаться на цифры; в задаче на перенос другие данные и другой ответ; оценку переноса даёт эксперт.</w:t>
      </w: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Где у кейса есть «ответ автора».</w:t>
      </w:r>
      <w:r>
        <w:rPr>
          <w:rFonts w:ascii="Arial" w:cs="Arial" w:eastAsia="Arial" w:hAnsi="Arial"/>
          <w:sz w:val="19"/>
          <w:szCs w:val="19"/>
        </w:rPr>
        <w:t xml:space="preserve"> В эпизоде 1 единственно верного хода нет. В эпизоде 2 доминирует гибкое пополнение (Д): все пути с Д дают общий M2 не ниже 24,9%, все без Д — не выше 23,9%. Так задумано, потому что событие касается людей с нерегулярным доходом, но это и есть «ответ автора», о котором предупреждает риск концепции В. В разборе мы говорим об этом прямо, а перенос навыка проверяет самостоятельная задача с другими данными. Сами правила эффектов — гипотеза автора кейса; до пилота их вслепую проверят два практика.</w:t>
      </w: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Приоритетный сценарий.</w:t>
      </w:r>
      <w:r>
        <w:rPr>
          <w:rFonts w:ascii="Arial" w:cs="Arial" w:eastAsia="Arial" w:hAnsi="Arial"/>
          <w:sz w:val="19"/>
          <w:szCs w:val="19"/>
        </w:rPr>
        <w:t xml:space="preserve">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Начало:</w:t>
      </w:r>
      <w:r>
        <w:rPr>
          <w:rFonts w:ascii="Arial" w:cs="Arial" w:eastAsia="Arial" w:hAnsi="Arial"/>
          <w:sz w:val="19"/>
          <w:szCs w:val="19"/>
        </w:rPr>
        <w:t xml:space="preserve"> кандидат открывает модуль карьерной школы банка в режиме «Тренировка» и получает роль младшего продакта команды «Целей»: за спринт поднять регулярность накоплений.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Шаги</w:t>
      </w:r>
      <w:r>
        <w:rPr>
          <w:rFonts w:ascii="Arial" w:cs="Arial" w:eastAsia="Arial" w:hAnsi="Arial"/>
          <w:sz w:val="19"/>
          <w:szCs w:val="19"/>
        </w:rPr>
        <w:t xml:space="preserve"> — пять шагов карты историй (блок 06): досье, решение в пределах 10 очков, последствия и пересмотр, разбор, задача на перенос с шагом «месяц спустя».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Успех:</w:t>
      </w:r>
      <w:r>
        <w:rPr>
          <w:rFonts w:ascii="Arial" w:cs="Arial" w:eastAsia="Arial" w:hAnsi="Arial"/>
          <w:sz w:val="19"/>
          <w:szCs w:val="19"/>
        </w:rPr>
        <w:t xml:space="preserve"> отделил свой эффект от внешнего, решил новую задачу, эксперт получил работу с основаниями.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Затруднение:</w:t>
      </w:r>
      <w:r>
        <w:rPr>
          <w:rFonts w:ascii="Arial" w:cs="Arial" w:eastAsia="Arial" w:hAnsi="Arial"/>
          <w:sz w:val="19"/>
          <w:szCs w:val="19"/>
        </w:rPr>
        <w:t xml:space="preserve"> не хватает данных — запросить срез или записать допущение; своя идея вне списка сохраняется в разборе как альтернатива и не получает выдуманных цифр; несогласие с разбором — правила модели открыты.</w:t>
      </w: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Непрерывность на цифрах.</w:t>
      </w:r>
      <w:r>
        <w:rPr>
          <w:rFonts w:ascii="Arial" w:cs="Arial" w:eastAsia="Arial" w:hAnsi="Arial"/>
          <w:sz w:val="19"/>
          <w:szCs w:val="19"/>
        </w:rPr>
        <w:t xml:space="preserve"> В ветке «напоминания, затем пуши реже и баллы» у прежней аудитории автопополнение за месяц 1 выросло с 18 до 18,9%, а общий показатель упал до 15,1%, потому что у 4 000 пришедших по партнёрству автопополнение около 5,5%. Руководитель пишет: «Автопополнение упало! Что сломалось? Давай срочно баллы». Кто поверит общему дашборду, запустит баллы: активность вырастет, а средняя сумма пополнения упадёт с 2 400 до 1 900 ₽. Это ловушка прокси-метрики, ради которой построен эпизод. Все цифры — правила учебного сценария, а не прогноз рынка.</w:t>
      </w:r>
    </w:p>
    <w:p>
      <w:pPr>
        <w:pStyle w:val="Heading1"/>
        <w:keepNext/>
        <w:spacing w:before="26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05. Карточки историй</w:t>
      </w:r>
    </w:p>
    <w:p>
      <w:pPr>
        <w:spacing w:after="70" w:line="245"/>
        <w:jc w:val="both"/>
      </w:pPr>
      <w:r>
        <w:rPr>
          <w:rFonts w:ascii="Arial" w:cs="Arial" w:eastAsia="Arial" w:hAnsi="Arial"/>
          <w:sz w:val="19"/>
          <w:szCs w:val="19"/>
        </w:rPr>
        <w:t xml:space="preserve">Ориентир канвы — четыре истории с двумя критериями (канва, с. 9), но число историй определяется концепцией. Мы оставили шесть: четыре для обучения и две для самостоятельной работы и эксперта, чтобы не потерять корпоративную сторону.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7"/>
        <w:gridCol w:w="2690"/>
        <w:gridCol w:w="981"/>
        <w:gridCol w:w="2931"/>
        <w:gridCol w:w="2057"/>
      </w:tblGrid>
      <w:tr>
        <w:trPr>
          <w:cantSplit/>
          <w:tblHeader/>
        </w:trPr>
        <w:tc>
          <w:tcPr>
            <w:tcW w:type="dxa" w:w="12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Код</w:t>
            </w:r>
          </w:p>
        </w:tc>
        <w:tc>
          <w:tcPr>
            <w:tcW w:type="dxa" w:w="2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История</w:t>
            </w:r>
          </w:p>
        </w:tc>
        <w:tc>
          <w:tcPr>
            <w:tcW w:type="dxa" w:w="9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П / шаг</w:t>
            </w:r>
          </w:p>
        </w:tc>
        <w:tc>
          <w:tcPr>
            <w:tcW w:type="dxa" w:w="29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Критерий 1</w:t>
            </w:r>
          </w:p>
        </w:tc>
        <w:tc>
          <w:tcPr>
            <w:tcW w:type="dxa" w:w="20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Критерий 2</w:t>
            </w:r>
          </w:p>
        </w:tc>
      </w:tr>
      <w:tr>
        <w:trPr>
          <w:cantSplit/>
          <w:tblHeader w:val="false"/>
        </w:trPr>
        <w:tc>
          <w:tcPr>
            <w:tcW w:type="dxa" w:w="12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И1. Понять контекст</w:t>
            </w:r>
          </w:p>
        </w:tc>
        <w:tc>
          <w:tcPr>
            <w:tcW w:type="dxa" w:w="2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Как кандидат, я хочу изучить цель, ограничения и сведения, чтобы определить, что выяснить до решения</w:t>
            </w:r>
          </w:p>
        </w:tc>
        <w:tc>
          <w:tcPr>
            <w:tcW w:type="dxa" w:w="9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П1 / 1</w:t>
            </w:r>
          </w:p>
        </w:tc>
        <w:tc>
          <w:tcPr>
            <w:tcW w:type="dxa" w:w="29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Видны роль, задача, ограничения, материалы и режим «Тренировка»</w:t>
            </w:r>
          </w:p>
        </w:tc>
        <w:tc>
          <w:tcPr>
            <w:tcW w:type="dxa" w:w="20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Неизвестное обозначено; можно записать вопрос или допущение</w:t>
            </w:r>
          </w:p>
        </w:tc>
      </w:tr>
      <w:tr>
        <w:trPr>
          <w:cantSplit/>
          <w:tblHeader w:val="false"/>
        </w:trPr>
        <w:tc>
          <w:tcPr>
            <w:tcW w:type="dxa" w:w="12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И2. Обосновать решение</w:t>
            </w:r>
          </w:p>
        </w:tc>
        <w:tc>
          <w:tcPr>
            <w:tcW w:type="dxa" w:w="2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Как кандидат, я хочу зафиксировать действие, основания и ожидание, чтобы потом сопоставить их с последствиями</w:t>
            </w:r>
          </w:p>
        </w:tc>
        <w:tc>
          <w:tcPr>
            <w:tcW w:type="dxa" w:w="9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П1 / 2</w:t>
            </w:r>
          </w:p>
        </w:tc>
        <w:tc>
          <w:tcPr>
            <w:tcW w:type="dxa" w:w="29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Решение содержит проблему, сегмент, действие, обоснование и ожидание; следующий эпизод на него ссылается</w:t>
            </w:r>
          </w:p>
        </w:tc>
        <w:tc>
          <w:tcPr>
            <w:tcW w:type="dxa" w:w="20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Без действия или обоснования запись остаётся черновиком, текст не теряется</w:t>
            </w:r>
          </w:p>
        </w:tc>
      </w:tr>
      <w:tr>
        <w:trPr>
          <w:cantSplit/>
          <w:tblHeader w:val="false"/>
        </w:trPr>
        <w:tc>
          <w:tcPr>
            <w:tcW w:type="dxa" w:w="12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И3. Пересмотреть решение</w:t>
            </w:r>
          </w:p>
        </w:tc>
        <w:tc>
          <w:tcPr>
            <w:tcW w:type="dxa" w:w="2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Как кандидат, я хочу видеть новые условия рядом с прошлым решением, чтобы объяснить, что и почему меняю</w:t>
            </w:r>
          </w:p>
        </w:tc>
        <w:tc>
          <w:tcPr>
            <w:tcW w:type="dxa" w:w="9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П2 / 3</w:t>
            </w:r>
          </w:p>
        </w:tc>
        <w:tc>
          <w:tcPr>
            <w:tcW w:type="dxa" w:w="29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Последствия выбора и внешнее событие показаны раздельно; состояние совпадает с веткой сценария</w:t>
            </w:r>
          </w:p>
        </w:tc>
        <w:tc>
          <w:tcPr>
            <w:tcW w:type="dxa" w:w="20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Новая версия хранится отдельно от первой, с объяснением изменений</w:t>
            </w:r>
          </w:p>
        </w:tc>
      </w:tr>
      <w:tr>
        <w:trPr>
          <w:cantSplit/>
          <w:tblHeader w:val="false"/>
        </w:trPr>
        <w:tc>
          <w:tcPr>
            <w:tcW w:type="dxa" w:w="12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И4. Получить разбор</w:t>
            </w:r>
          </w:p>
        </w:tc>
        <w:tc>
          <w:tcPr>
            <w:tcW w:type="dxa" w:w="2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Как кандидат, я хочу разбор оснований, альтернатив и пропущенных ограничений, чтобы иначе решать следующие задачи</w:t>
            </w:r>
          </w:p>
        </w:tc>
        <w:tc>
          <w:tcPr>
            <w:tcW w:type="dxa" w:w="9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П3 / 4</w:t>
            </w:r>
          </w:p>
        </w:tc>
        <w:tc>
          <w:tcPr>
            <w:tcW w:type="dxa" w:w="29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Разбор связан с конкретным выбором и данными кейса</w:t>
            </w:r>
          </w:p>
        </w:tc>
        <w:tc>
          <w:tcPr>
            <w:tcW w:type="dxa" w:w="20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Нехватка данных обозначена явно, без категоричной оценки</w:t>
            </w:r>
          </w:p>
        </w:tc>
      </w:tr>
      <w:tr>
        <w:trPr>
          <w:cantSplit/>
          <w:tblHeader w:val="false"/>
        </w:trPr>
        <w:tc>
          <w:tcPr>
            <w:tcW w:type="dxa" w:w="12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И5. Применить самостоятельно</w:t>
            </w:r>
          </w:p>
        </w:tc>
        <w:tc>
          <w:tcPr>
            <w:tcW w:type="dxa" w:w="2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Как кандидат, я хочу решить похожую задачу без подсказок и объяснить её результат месяц спустя, чтобы проверить, могу ли применить подход</w:t>
            </w:r>
          </w:p>
        </w:tc>
        <w:tc>
          <w:tcPr>
            <w:tcW w:type="dxa" w:w="9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П3, П4 / 5</w:t>
            </w:r>
          </w:p>
        </w:tc>
        <w:tc>
          <w:tcPr>
            <w:tcW w:type="dxa" w:w="29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Задача не повторяет разобранный ответ; условия и критерии видны до начала; месяц спустя внешнее событие показано отдельно, разбивка по причинам открывается действием</w:t>
            </w:r>
          </w:p>
        </w:tc>
        <w:tc>
          <w:tcPr>
            <w:tcW w:type="dxa" w:w="20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Работа отделена от тренировки; передача эксперту — отдельное действие</w:t>
            </w:r>
          </w:p>
        </w:tc>
      </w:tr>
      <w:tr>
        <w:trPr>
          <w:cantSplit/>
          <w:tblHeader w:val="false"/>
        </w:trPr>
        <w:tc>
          <w:tcPr>
            <w:tcW w:type="dxa" w:w="12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И6. Разобрать работу</w:t>
            </w:r>
          </w:p>
        </w:tc>
        <w:tc>
          <w:tcPr>
            <w:tcW w:type="dxa" w:w="26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Как продуктовый эксперт, я хочу видеть решение и его основания по понятным критериям, чтобы подготовить комментарий или вопрос для интервью</w:t>
            </w:r>
          </w:p>
        </w:tc>
        <w:tc>
          <w:tcPr>
            <w:tcW w:type="dxa" w:w="9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П4 / после 5</w:t>
            </w:r>
          </w:p>
        </w:tc>
        <w:tc>
          <w:tcPr>
            <w:tcW w:type="dxa" w:w="29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Эксперт видит переданную работу по всем шести критериям, без тренировочных черновиков</w:t>
            </w:r>
          </w:p>
        </w:tc>
        <w:tc>
          <w:tcPr>
            <w:tcW w:type="dxa" w:w="20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Комментарий привязан к фрагменту; есть «недостаточно данных»; решения о найме нет</w:t>
            </w:r>
          </w:p>
        </w:tc>
      </w:tr>
    </w:tbl>
    <w:p>
      <w:pPr>
        <w:spacing w:after="0" w:line="140" w:lineRule="exact"/>
      </w:pPr>
    </w:p>
    <w:p>
      <w:pPr>
        <w:spacing w:after="70" w:line="245"/>
        <w:jc w:val="both"/>
      </w:pPr>
      <w:r>
        <w:rPr>
          <w:rFonts w:ascii="Arial" w:cs="Arial" w:eastAsia="Arial" w:hAnsi="Arial"/>
          <w:sz w:val="19"/>
          <w:szCs w:val="19"/>
        </w:rPr>
        <w:t xml:space="preserve">По INVEST (SE-03, сл. 31) слабое место — И5: она опирается на две потребности. В MVP это один экран, к пилоту разделим её на «решить задачу» и «передать эксперту».</w:t>
      </w:r>
    </w:p>
    <w:p>
      <w:pPr>
        <w:pStyle w:val="Heading1"/>
        <w:keepNext/>
        <w:spacing w:before="26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06. Карта историй и граница MVP</w:t>
      </w:r>
    </w:p>
    <w:p>
      <w:pPr>
        <w:spacing w:after="70" w:line="245"/>
        <w:jc w:val="both"/>
      </w:pPr>
      <w:r>
        <w:rPr>
          <w:rFonts w:ascii="Arial" w:cs="Arial" w:eastAsia="Arial" w:hAnsi="Arial"/>
          <w:sz w:val="19"/>
          <w:szCs w:val="19"/>
        </w:rPr>
        <w:t xml:space="preserve">MVP — вертикальный срез: один путь проходит через интерфейс, правила и данные и даёт целый результат (SE-02, сл. 41–42; SE-04, сл. 42).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71"/>
        <w:gridCol w:w="4654"/>
        <w:gridCol w:w="3141"/>
      </w:tblGrid>
      <w:tr>
        <w:trPr>
          <w:cantSplit/>
          <w:tblHeader/>
        </w:trPr>
        <w:tc>
          <w:tcPr>
            <w:tcW w:type="dxa" w:w="2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Шаг</w:t>
            </w:r>
          </w:p>
        </w:tc>
        <w:tc>
          <w:tcPr>
            <w:tcW w:type="dxa" w:w="4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Входит в MVP</w:t>
            </w:r>
          </w:p>
        </w:tc>
        <w:tc>
          <w:tcPr>
            <w:tcW w:type="dxa" w:w="3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За границей MVP</w:t>
            </w:r>
          </w:p>
        </w:tc>
      </w:tr>
      <w:tr>
        <w:trPr>
          <w:cantSplit/>
          <w:tblHeader w:val="false"/>
        </w:trPr>
        <w:tc>
          <w:tcPr>
            <w:tcW w:type="dxa" w:w="2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Войти в роль</w:t>
            </w:r>
          </w:p>
        </w:tc>
        <w:tc>
          <w:tcPr>
            <w:tcW w:type="dxa" w:w="4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И1: один кейс, шесть источников, блок «Что неизвестно»</w:t>
            </w:r>
          </w:p>
        </w:tc>
        <w:tc>
          <w:tcPr>
            <w:tcW w:type="dxa" w:w="3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Персональная программа из библиотеки модулей</w:t>
            </w:r>
          </w:p>
        </w:tc>
      </w:tr>
      <w:tr>
        <w:trPr>
          <w:cantSplit/>
          <w:tblHeader w:val="false"/>
        </w:trPr>
        <w:tc>
          <w:tcPr>
            <w:tcW w:type="dxa" w:w="2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 Принять решение</w:t>
            </w:r>
          </w:p>
        </w:tc>
        <w:tc>
          <w:tcPr>
            <w:tcW w:type="dxa" w:w="4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И2: подготовленные проблемы, сегменты и инициативы, свободное обоснование, ожидание</w:t>
            </w:r>
          </w:p>
        </w:tc>
        <w:tc>
          <w:tcPr>
            <w:tcW w:type="dxa" w:w="3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Свои продукты и фичи с расчётом</w:t>
            </w:r>
          </w:p>
        </w:tc>
      </w:tr>
      <w:tr>
        <w:trPr>
          <w:cantSplit/>
          <w:tblHeader w:val="false"/>
        </w:trPr>
        <w:tc>
          <w:tcPr>
            <w:tcW w:type="dxa" w:w="2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 Адаптироваться</w:t>
            </w:r>
          </w:p>
        </w:tc>
        <w:tc>
          <w:tcPr>
            <w:tcW w:type="dxa" w:w="4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И3: эпизод 2 зависит от выбора; одно внешнее событие; срез; пересмотр рядом с решением 1</w:t>
            </w:r>
          </w:p>
        </w:tc>
        <w:tc>
          <w:tcPr>
            <w:tcW w:type="dxa" w:w="3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Автономный рынок и бесконечные события</w:t>
            </w:r>
          </w:p>
        </w:tc>
      </w:tr>
      <w:tr>
        <w:trPr>
          <w:cantSplit/>
          <w:tblHeader w:val="false"/>
        </w:trPr>
        <w:tc>
          <w:tcPr>
            <w:tcW w:type="dxa" w:w="2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4. Разобрать опыт</w:t>
            </w:r>
          </w:p>
        </w:tc>
        <w:tc>
          <w:tcPr>
            <w:tcW w:type="dxa" w:w="4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И4: метрики двух месяцев, открытые правила, К1–К6 с фрагментами, другие ветки</w:t>
            </w:r>
          </w:p>
        </w:tc>
        <w:tc>
          <w:tcPr>
            <w:tcW w:type="dxa" w:w="3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Персональный ИИ-наставник</w:t>
            </w:r>
          </w:p>
        </w:tc>
      </w:tr>
      <w:tr>
        <w:trPr>
          <w:cantSplit/>
          <w:tblHeader w:val="false"/>
        </w:trPr>
        <w:tc>
          <w:tcPr>
            <w:tcW w:type="dxa" w:w="2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5. Проверить перенос</w:t>
            </w:r>
          </w:p>
        </w:tc>
        <w:tc>
          <w:tcPr>
            <w:tcW w:type="dxa" w:w="4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И5: одна задача без подсказок, шаг «месяц спустя» и карточка</w:t>
            </w:r>
          </w:p>
        </w:tc>
        <w:tc>
          <w:tcPr>
            <w:tcW w:type="dxa" w:w="3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Валидированное оценивание и рейтинг кандидатов</w:t>
            </w:r>
          </w:p>
        </w:tc>
      </w:tr>
      <w:tr>
        <w:trPr>
          <w:cantSplit/>
          <w:tblHeader w:val="false"/>
        </w:trPr>
        <w:tc>
          <w:tcPr>
            <w:tcW w:type="dxa" w:w="2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Путь эксперта</w:t>
            </w:r>
          </w:p>
        </w:tc>
        <w:tc>
          <w:tcPr>
            <w:tcW w:type="dxa" w:w="4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И6: сводка по потоку и список переданных работ → разбор по К1–К6 с фрагментом и вопросом для интервью</w:t>
            </w:r>
          </w:p>
        </w:tc>
        <w:tc>
          <w:tcPr>
            <w:tcW w:type="dxa" w:w="31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Интеграция с системами найма</w:t>
            </w:r>
          </w:p>
        </w:tc>
      </w:tr>
    </w:tbl>
    <w:p>
      <w:pPr>
        <w:spacing w:after="0" w:line="140" w:lineRule="exact"/>
      </w:pP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Результат MVP.</w:t>
      </w:r>
      <w:r>
        <w:rPr>
          <w:rFonts w:ascii="Arial" w:cs="Arial" w:eastAsia="Arial" w:hAnsi="Arial"/>
          <w:sz w:val="19"/>
          <w:szCs w:val="19"/>
        </w:rPr>
        <w:t xml:space="preserve"> Пользователь проходит два связанных решения, видит накопление последствий, получает разбор и отдельно применяет принцип; эксперт получает пример работы.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Пробелы до законченного результата:</w:t>
      </w:r>
      <w:r>
        <w:rPr>
          <w:rFonts w:ascii="Arial" w:cs="Arial" w:eastAsia="Arial" w:hAnsi="Arial"/>
          <w:sz w:val="19"/>
          <w:szCs w:val="19"/>
        </w:rPr>
        <w:t xml:space="preserve"> работа передаётся эксперту только внутри одного браузера, ИИ-разбор имитирован. Нижняя строка карты — идеи вне объёма, а не план версий (канва, с. 7).</w:t>
      </w:r>
    </w:p>
    <w:p>
      <w:pPr>
        <w:pStyle w:val="Heading1"/>
        <w:keepNext/>
        <w:spacing w:before="26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07. Фичи и их основания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78"/>
        <w:gridCol w:w="3791"/>
        <w:gridCol w:w="1762"/>
        <w:gridCol w:w="2635"/>
      </w:tblGrid>
      <w:tr>
        <w:trPr>
          <w:cantSplit/>
          <w:tblHeader/>
        </w:trPr>
        <w:tc>
          <w:tcPr>
            <w:tcW w:type="dxa" w:w="1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Фича</w:t>
            </w:r>
          </w:p>
        </w:tc>
        <w:tc>
          <w:tcPr>
            <w:tcW w:type="dxa" w:w="37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Что делает продукт</w:t>
            </w:r>
          </w:p>
        </w:tc>
        <w:tc>
          <w:tcPr>
            <w:tcW w:type="dxa" w:w="17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Цепочка</w:t>
            </w:r>
          </w:p>
        </w:tc>
        <w:tc>
          <w:tcPr>
            <w:tcW w:type="dxa" w:w="26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Граница MVP</w:t>
            </w:r>
          </w:p>
        </w:tc>
      </w:tr>
      <w:tr>
        <w:trPr>
          <w:cantSplit/>
          <w:tblHeader w:val="false"/>
        </w:trPr>
        <w:tc>
          <w:tcPr>
            <w:tcW w:type="dxa" w:w="1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Ф1. Рабочее пространство кейса</w:t>
            </w:r>
          </w:p>
        </w:tc>
        <w:tc>
          <w:tcPr>
            <w:tcW w:type="dxa" w:w="37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Показывает вводную, источники, ограничения и неизвестное; принимает решение с обоснованием и ожиданием</w:t>
            </w:r>
          </w:p>
        </w:tc>
        <w:tc>
          <w:tcPr>
            <w:tcW w:type="dxa" w:w="17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Г-А1 → П1 → И1, И2 → Э1, Э2</w:t>
            </w:r>
          </w:p>
        </w:tc>
        <w:tc>
          <w:tcPr>
            <w:tcW w:type="dxa" w:w="26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Один подготовленный кейс</w:t>
            </w:r>
          </w:p>
        </w:tc>
      </w:tr>
      <w:tr>
        <w:trPr>
          <w:cantSplit/>
          <w:tblHeader w:val="false"/>
        </w:trPr>
        <w:tc>
          <w:tcPr>
            <w:tcW w:type="dxa" w:w="1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Ф2. Связанные эпизоды и история решений</w:t>
            </w:r>
          </w:p>
        </w:tc>
        <w:tc>
          <w:tcPr>
            <w:tcW w:type="dxa" w:w="37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Переносит выбор в следующие условия (обязательства, ёмкость, доработки), хранит версии решений</w:t>
            </w:r>
          </w:p>
        </w:tc>
        <w:tc>
          <w:tcPr>
            <w:tcW w:type="dxa" w:w="17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Г-А2 → П2 → И3 → Э3, Э2</w:t>
            </w:r>
          </w:p>
        </w:tc>
        <w:tc>
          <w:tcPr>
            <w:tcW w:type="dxa" w:w="26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Ограниченное число объяснимых веток, не модель рынка</w:t>
            </w:r>
          </w:p>
        </w:tc>
      </w:tr>
      <w:tr>
        <w:trPr>
          <w:cantSplit/>
          <w:tblHeader w:val="false"/>
        </w:trPr>
        <w:tc>
          <w:tcPr>
            <w:tcW w:type="dxa" w:w="1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Ф3. Разбор и учебная помощь</w:t>
            </w:r>
          </w:p>
        </w:tc>
        <w:tc>
          <w:tcPr>
            <w:tcW w:type="dxa" w:w="37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Связывает выбор с данными, раскрывает правила модели, показывает другие ветки и фрагменты работы</w:t>
            </w:r>
          </w:p>
        </w:tc>
        <w:tc>
          <w:tcPr>
            <w:tcW w:type="dxa" w:w="17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Н1 + Г-А2, Г-А3 → П3 → И4 → Э3</w:t>
            </w:r>
          </w:p>
        </w:tc>
        <w:tc>
          <w:tcPr>
            <w:tcW w:type="dxa" w:w="26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К2–К4 считаются правилами, К1, К5, К6 — эвристикой вместо ИИ; ключ автора не проверен практиками</w:t>
            </w:r>
          </w:p>
        </w:tc>
      </w:tr>
      <w:tr>
        <w:trPr>
          <w:cantSplit/>
          <w:tblHeader w:val="false"/>
        </w:trPr>
        <w:tc>
          <w:tcPr>
            <w:tcW w:type="dxa" w:w="1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Ф4. Самостоятельная проба и карточка</w:t>
            </w:r>
          </w:p>
        </w:tc>
        <w:tc>
          <w:tcPr>
            <w:tcW w:type="dxa" w:w="37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Отделяет проверочную работу от тренировки, показывает её результат месяц спустя вместе с внешним событием, передаёт работу эксперту по действию участника; руководителю программы даёт сводку по потоку</w:t>
            </w:r>
          </w:p>
        </w:tc>
        <w:tc>
          <w:tcPr>
            <w:tcW w:type="dxa" w:w="17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Г-А3, Г-Б1, Г-Б2 → П3, П4 → И5, И6 → Э4, Э5</w:t>
            </w:r>
          </w:p>
        </w:tc>
        <w:tc>
          <w:tcPr>
            <w:tcW w:type="dxa" w:w="26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Одна задача с одним событием; без интеграции с наймом</w:t>
            </w:r>
          </w:p>
        </w:tc>
      </w:tr>
    </w:tbl>
    <w:p>
      <w:pPr>
        <w:spacing w:after="0" w:line="140" w:lineRule="exact"/>
      </w:pPr>
    </w:p>
    <w:p>
      <w:pPr>
        <w:spacing w:after="70" w:line="245"/>
        <w:jc w:val="both"/>
      </w:pPr>
      <w:r>
        <w:rPr>
          <w:rFonts w:ascii="Arial" w:cs="Arial" w:eastAsia="Arial" w:hAnsi="Arial"/>
          <w:sz w:val="19"/>
          <w:szCs w:val="19"/>
        </w:rPr>
        <w:t xml:space="preserve">Ф3 — первая цепочка, которая начинается с наблюдения; остальные пока начинаются с Г, и задним числом мы их не переписываем. Режим обоснования (из Н5) и свёрнутый на главной блок «Для защиты проекта: готовые прохождения (раскрывают ответы)» — служебные функции для показа, а не фичи продукта.</w:t>
      </w: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Проверка связности.</w:t>
      </w:r>
      <w:r>
        <w:rPr>
          <w:rFonts w:ascii="Arial" w:cs="Arial" w:eastAsia="Arial" w:hAnsi="Arial"/>
          <w:sz w:val="19"/>
          <w:szCs w:val="19"/>
        </w:rPr>
        <w:t xml:space="preserve"> Г-А2 «не хватает причинной обратной связи» → П2 «отличить последствия своего выбора от внешних обстоятельств» → И3 «пересмотреть решение» → Ф2 «связанные эпизоды» → Э3 «последствия и новая вводная». В MVP видно, что прошлое решение учитывается: оно стоит слева от формы пересмотра; если в эпизоде 1 взяли баллы, во втором остаётся 7 очков вместо 10; «умные напоминания» доступны, только если напоминания уже запущены.</w:t>
      </w: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Какое предположение сильнее всего влияет на состав фич.</w:t>
      </w:r>
      <w:r>
        <w:rPr>
          <w:rFonts w:ascii="Arial" w:cs="Arial" w:eastAsia="Arial" w:hAnsi="Arial"/>
          <w:sz w:val="19"/>
          <w:szCs w:val="19"/>
        </w:rPr>
        <w:t xml:space="preserve"> Г-А2. Если она не подтвердится, самая дорогая в авторинге Ф2 теряет основание, а Ф1, Ф3 и Ф4 остаются в концепции А.</w:t>
      </w:r>
    </w:p>
    <w:p>
      <w:pPr>
        <w:pStyle w:val="Heading1"/>
        <w:keepNext/>
        <w:spacing w:before="26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08. Интерфейс и прототип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70"/>
        <w:gridCol w:w="5664"/>
        <w:gridCol w:w="1832"/>
      </w:tblGrid>
      <w:tr>
        <w:trPr>
          <w:cantSplit/>
          <w:tblHeader/>
        </w:trPr>
        <w:tc>
          <w:tcPr>
            <w:tcW w:type="dxa" w:w="2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Экран</w:t>
            </w:r>
          </w:p>
        </w:tc>
        <w:tc>
          <w:tcPr>
            <w:tcW w:type="dxa" w:w="56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Что видит и делает пользователь</w:t>
            </w:r>
          </w:p>
        </w:tc>
        <w:tc>
          <w:tcPr>
            <w:tcW w:type="dxa" w:w="18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И / Ф</w:t>
            </w:r>
          </w:p>
        </w:tc>
      </w:tr>
      <w:tr>
        <w:trPr>
          <w:cantSplit/>
          <w:tblHeader w:val="false"/>
        </w:trPr>
        <w:tc>
          <w:tcPr>
            <w:tcW w:type="dxa" w:w="2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Э1. Досье</w:t>
            </w:r>
          </w:p>
        </w:tc>
        <w:tc>
          <w:tcPr>
            <w:tcW w:type="dxa" w:w="56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Роль, задача, режим, ёмкость, стартовые метрики, вкладки источников, «Что неизвестно»; можно записать вопрос или допущение</w:t>
            </w:r>
          </w:p>
        </w:tc>
        <w:tc>
          <w:tcPr>
            <w:tcW w:type="dxa" w:w="18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И1 / Ф1</w:t>
            </w:r>
          </w:p>
        </w:tc>
      </w:tr>
      <w:tr>
        <w:trPr>
          <w:cantSplit/>
          <w:tblHeader w:val="false"/>
        </w:trPr>
        <w:tc>
          <w:tcPr>
            <w:tcW w:type="dxa" w:w="2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Э2. Решение</w:t>
            </w:r>
          </w:p>
        </w:tc>
        <w:tc>
          <w:tcPr>
            <w:tcW w:type="dxa" w:w="56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Инициативы с ценой, шкала ёмкости, статус «Черновик» или «Готово к запуску»; при пересмотре слева решение 1 и итог месяца</w:t>
            </w:r>
          </w:p>
        </w:tc>
        <w:tc>
          <w:tcPr>
            <w:tcW w:type="dxa" w:w="18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И2, И3 / Ф1, Ф2</w:t>
            </w:r>
          </w:p>
        </w:tc>
      </w:tr>
      <w:tr>
        <w:trPr>
          <w:cantSplit/>
          <w:tblHeader w:val="false"/>
        </w:trPr>
        <w:tc>
          <w:tcPr>
            <w:tcW w:type="dxa" w:w="2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Э3. Последствия и разбор</w:t>
            </w:r>
          </w:p>
        </w:tc>
        <w:tc>
          <w:tcPr>
            <w:tcW w:type="dxa" w:w="56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Раздельно «что вышло из релиза» и «что изменилось вокруг», дашборд руководителя, срез по кнопке; затем правила модели и К1–К6</w:t>
            </w:r>
          </w:p>
        </w:tc>
        <w:tc>
          <w:tcPr>
            <w:tcW w:type="dxa" w:w="18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И3, И4 / Ф2, Ф3</w:t>
            </w:r>
          </w:p>
        </w:tc>
      </w:tr>
      <w:tr>
        <w:trPr>
          <w:cantSplit/>
          <w:tblHeader w:val="false"/>
        </w:trPr>
        <w:tc>
          <w:tcPr>
            <w:tcW w:type="dxa" w:w="2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Э4. Самостоятельная задача</w:t>
            </w:r>
          </w:p>
        </w:tc>
        <w:tc>
          <w:tcPr>
            <w:tcW w:type="dxa" w:w="56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Новые условия и критерии, без подсказок, 7 очков. «Месяц спустя»: новость об операторе «Север», общий показатель, разбивка по причинам по кнопке; объяснение и короткий пересмотр</w:t>
            </w:r>
          </w:p>
        </w:tc>
        <w:tc>
          <w:tcPr>
            <w:tcW w:type="dxa" w:w="18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И5 / Ф4</w:t>
            </w:r>
          </w:p>
        </w:tc>
      </w:tr>
      <w:tr>
        <w:trPr>
          <w:cantSplit/>
          <w:tblHeader w:val="false"/>
        </w:trPr>
        <w:tc>
          <w:tcPr>
            <w:tcW w:type="dxa" w:w="2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Э5. Карточка и кабинет эксперта</w:t>
            </w:r>
          </w:p>
        </w:tc>
        <w:tc>
          <w:tcPr>
            <w:tcW w:type="dxa" w:w="56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Участник передаёт или отзывает работу. Эксперт видит сводку по потоку и работу по К1–К6, ставит статус, привязывает комментарий к фрагменту, пишет вопрос для интервью</w:t>
            </w:r>
          </w:p>
        </w:tc>
        <w:tc>
          <w:tcPr>
            <w:tcW w:type="dxa" w:w="18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И5, И6 / Ф4</w:t>
            </w:r>
          </w:p>
        </w:tc>
      </w:tr>
    </w:tbl>
    <w:p>
      <w:pPr>
        <w:spacing w:after="0" w:line="140" w:lineRule="exact"/>
      </w:pP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Переходы.</w:t>
      </w:r>
      <w:r>
        <w:rPr>
          <w:rFonts w:ascii="Arial" w:cs="Arial" w:eastAsia="Arial" w:hAnsi="Arial"/>
          <w:sz w:val="19"/>
          <w:szCs w:val="19"/>
        </w:rPr>
        <w:t xml:space="preserve"> Э1 → Э2 → Э3 с новой вводной → Э2 с пересмотром → Э3 с разбором → Э4 → Э4 «месяц спустя» → Э5 (в интерфейсе семь шагов); у эксперта: сводка по потоку и список работ → разбор работы.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80"/>
              <w:right w:type="dxa" w:w="60"/>
            </w:tcMar>
            <w:vAlign w:val="bottom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2590800" cy="1619250"/>
                  <wp:effectExtent t="0" r="0" b="0" l="0"/>
                  <wp:docPr id="1" name="03-досье" descr="Э1. Досье: источники противоречат друг другу, неизвестное отмечено отдельно" title="Э1. Досье: источники противоречат друг другу, неизвестное отмечено отдельн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30"/>
              <w:jc w:val="center"/>
            </w:pP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Рис. 1. Э1. Досье: источники противоречат друг другу, неизвестное отмечено отдельно</w:t>
            </w:r>
          </w:p>
        </w:tc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80"/>
              <w:right w:type="dxa" w:w="60"/>
            </w:tcMar>
            <w:vAlign w:val="bottom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2590800" cy="2371725"/>
                  <wp:effectExtent t="0" r="0" b="0" l="0"/>
                  <wp:docPr id="1" name="06-последствия" descr="Э3. Последствия: эффект релиза и внешнее событие показаны раздельно" title="Э3. Последствия: эффект релиза и внешнее событие показаны раздельн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0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30"/>
              <w:jc w:val="center"/>
            </w:pP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Рис. 2. Э3. Последствия: эффект релиза и внешнее событие показаны раздельно</w:t>
            </w:r>
          </w:p>
        </w:tc>
      </w:tr>
      <w:tr>
        <w:trPr>
          <w:cantSplit/>
        </w:trPr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80"/>
              <w:right w:type="dxa" w:w="60"/>
            </w:tcMar>
            <w:vAlign w:val="bottom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2590800" cy="1619250"/>
                  <wp:effectExtent t="0" r="0" b="0" l="0"/>
                  <wp:docPr id="1" name="07-пересмотр" descr="Э2 при пересмотре: решение 1 и итог месяца стоят рядом с новой формой" title="Э2 при пересмотре: решение 1 и итог месяца стоят рядом с новой формо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30"/>
              <w:jc w:val="center"/>
            </w:pP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Рис. 3. Э2 при пересмотре: решение 1 и итог месяца стоят рядом с новой формой</w:t>
            </w:r>
          </w:p>
        </w:tc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80"/>
              <w:right w:type="dxa" w:w="60"/>
            </w:tcMar>
            <w:vAlign w:val="bottom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2590800" cy="1190625"/>
                  <wp:effectExtent t="0" r="0" b="0" l="0"/>
                  <wp:docPr id="1" name="16-ловушка-разбор" descr="Э3 с разбором в ветке «ловушка баллов»: «не видно» и «частично» объяснены через данные кейса" title="Э3 с разбором в ветке «ловушка баллов»: «не видно» и «частично» объяснены через данные кейс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30"/>
              <w:jc w:val="center"/>
            </w:pP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Рис. 4. Э3 с разбором в ветке «ловушка баллов»: «не видно» и «частично» объяснены через данные кейса (фрагмент экрана)</w:t>
            </w:r>
          </w:p>
        </w:tc>
      </w:tr>
      <w:tr>
        <w:trPr>
          <w:cantSplit/>
        </w:trPr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80"/>
              <w:right w:type="dxa" w:w="60"/>
            </w:tcMar>
            <w:vAlign w:val="bottom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2590800" cy="1571625"/>
                  <wp:effectExtent t="0" r="0" b="0" l="0"/>
                  <wp:docPr id="1" name="10b-месяц-спустя" descr="Э4 «месяц спустя»: внешнее событие, общий показатель и разбивка по причинам; кандидат объясняет результат" title="Э4 «месяц спустя»: внешнее событие, общий показатель и разбивка по причинам; кандидат объясняет результа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30"/>
              <w:jc w:val="center"/>
            </w:pP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Рис. 5. Э4 «месяц спустя»: внешнее событие, общий показатель и разбивка по причинам; кандидат объясняет результат (фрагмент экрана)</w:t>
            </w:r>
          </w:p>
        </w:tc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80"/>
              <w:right w:type="dxa" w:w="60"/>
            </w:tcMar>
            <w:vAlign w:val="bottom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2590800" cy="1619250"/>
                  <wp:effectExtent t="0" r="0" b="0" l="0"/>
                  <wp:docPr id="1" name="12-эксперт-список" descr="Кабинет эксперта: сводка по потоку для руководителя программы и список переданных работ" title="Кабинет эксперта: сводка по потоку для руководителя программы и список переданных рабо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30"/>
              <w:jc w:val="center"/>
            </w:pP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Рис. 6. Кабинет эксперта: сводка по потоку для руководителя программы и список переданных работ</w:t>
            </w:r>
          </w:p>
        </w:tc>
      </w:tr>
    </w:tbl>
    <w:p>
      <w:pPr>
        <w:spacing w:after="0" w:line="140" w:lineRule="exact"/>
      </w:pP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Ошибки и пустые состояния.</w:t>
      </w:r>
      <w:r>
        <w:rPr>
          <w:rFonts w:ascii="Arial" w:cs="Arial" w:eastAsia="Arial" w:hAnsi="Arial"/>
          <w:sz w:val="19"/>
          <w:szCs w:val="19"/>
        </w:rPr>
        <w:t xml:space="preserve"> Учебная неопределённость, незаполненное решение, техническая ошибка и «ещё не проверено» должны различаться (SE-03, сл. 25, 40).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15"/>
        <w:gridCol w:w="5595"/>
        <w:gridCol w:w="1756"/>
      </w:tblGrid>
      <w:tr>
        <w:trPr>
          <w:cantSplit/>
          <w:tblHeader/>
        </w:trPr>
        <w:tc>
          <w:tcPr>
            <w:tcW w:type="dxa" w:w="25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Ситуация</w:t>
            </w:r>
          </w:p>
        </w:tc>
        <w:tc>
          <w:tcPr>
            <w:tcW w:type="dxa" w:w="55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Что видит пользователь и как продолжить</w:t>
            </w:r>
          </w:p>
        </w:tc>
        <w:tc>
          <w:tcPr>
            <w:tcW w:type="dxa" w:w="1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В MVP</w:t>
            </w:r>
          </w:p>
        </w:tc>
      </w:tr>
      <w:tr>
        <w:trPr>
          <w:cantSplit/>
          <w:tblHeader w:val="false"/>
        </w:trPr>
        <w:tc>
          <w:tcPr>
            <w:tcW w:type="dxa" w:w="25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Сведений нет по условиям кейса</w:t>
            </w:r>
          </w:p>
        </w:tc>
        <w:tc>
          <w:tcPr>
            <w:tcW w:type="dxa" w:w="55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Блок «Что неизвестно» и поле для вопроса или допущения; можно идти к решению с допущением</w:t>
            </w:r>
          </w:p>
        </w:tc>
        <w:tc>
          <w:tcPr>
            <w:tcW w:type="dxa" w:w="1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Есть</w:t>
            </w:r>
          </w:p>
        </w:tc>
      </w:tr>
      <w:tr>
        <w:trPr>
          <w:cantSplit/>
          <w:tblHeader w:val="false"/>
        </w:trPr>
        <w:tc>
          <w:tcPr>
            <w:tcW w:type="dxa" w:w="25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Решение неполное или превышена ёмкость</w:t>
            </w:r>
          </w:p>
        </w:tc>
        <w:tc>
          <w:tcPr>
            <w:tcW w:type="dxa" w:w="55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«Черновик» и список того, чего не хватает; текст сохраняется</w:t>
            </w:r>
          </w:p>
        </w:tc>
        <w:tc>
          <w:tcPr>
            <w:tcW w:type="dxa" w:w="1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Есть</w:t>
            </w:r>
          </w:p>
        </w:tc>
      </w:tr>
      <w:tr>
        <w:trPr>
          <w:cantSplit/>
          <w:tblHeader w:val="false"/>
        </w:trPr>
        <w:tc>
          <w:tcPr>
            <w:tcW w:type="dxa" w:w="25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Своя идея вне списка</w:t>
            </w:r>
          </w:p>
        </w:tc>
        <w:tc>
          <w:tcPr>
            <w:tcW w:type="dxa" w:w="55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Сохраняется в разборе как альтернатива с пометкой «симуляция её не считает»; эксперт её не видит, цифр она не получает; чтобы идти дальше, нужно выбрать ближайшую поддерживаемую инициативу</w:t>
            </w:r>
          </w:p>
        </w:tc>
        <w:tc>
          <w:tcPr>
            <w:tcW w:type="dxa" w:w="1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Есть</w:t>
            </w:r>
          </w:p>
        </w:tc>
      </w:tr>
      <w:tr>
        <w:trPr>
          <w:cantSplit/>
          <w:tblHeader w:val="false"/>
        </w:trPr>
        <w:tc>
          <w:tcPr>
            <w:tcW w:type="dxa" w:w="25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Месяц спустя разбивку не открыли</w:t>
            </w:r>
          </w:p>
        </w:tc>
        <w:tc>
          <w:tcPr>
            <w:tcW w:type="dxa" w:w="55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Объяснить результат можно и без неё, но по К4 эксперт увидит, что разбивку не запрашивали</w:t>
            </w:r>
          </w:p>
        </w:tc>
        <w:tc>
          <w:tcPr>
            <w:tcW w:type="dxa" w:w="1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Есть</w:t>
            </w:r>
          </w:p>
        </w:tc>
      </w:tr>
      <w:tr>
        <w:trPr>
          <w:cantSplit/>
          <w:tblHeader w:val="false"/>
        </w:trPr>
        <w:tc>
          <w:tcPr>
            <w:tcW w:type="dxa" w:w="25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Работа не передана или не разобрана</w:t>
            </w:r>
          </w:p>
        </w:tc>
        <w:tc>
          <w:tcPr>
            <w:tcW w:type="dxa" w:w="55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«Не передана» или «Ожидает разбора», а не нулевая оценка</w:t>
            </w:r>
          </w:p>
        </w:tc>
        <w:tc>
          <w:tcPr>
            <w:tcW w:type="dxa" w:w="1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Есть</w:t>
            </w:r>
          </w:p>
        </w:tc>
      </w:tr>
      <w:tr>
        <w:trPr>
          <w:cantSplit/>
          <w:tblHeader w:val="false"/>
        </w:trPr>
        <w:tc>
          <w:tcPr>
            <w:tcW w:type="dxa" w:w="25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Хранилище браузера недоступно</w:t>
            </w:r>
          </w:p>
        </w:tc>
        <w:tc>
          <w:tcPr>
            <w:tcW w:type="dxa" w:w="55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Работа идёт в памяти и пропадёт после закрытия вкладки; сообщения нет</w:t>
            </w:r>
          </w:p>
        </w:tc>
        <w:tc>
          <w:tcPr>
            <w:tcW w:type="dxa" w:w="1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Недоработка</w:t>
            </w:r>
          </w:p>
        </w:tc>
      </w:tr>
      <w:tr>
        <w:trPr>
          <w:cantSplit/>
          <w:tblHeader w:val="false"/>
        </w:trPr>
        <w:tc>
          <w:tcPr>
            <w:tcW w:type="dxa" w:w="25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Материал или разбор не загрузился</w:t>
            </w:r>
          </w:p>
        </w:tc>
        <w:tc>
          <w:tcPr>
            <w:tcW w:type="dxa" w:w="55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В MVP не возникает: всё в статической сборке. В целевой версии — сообщение о технической ошибке и «Повторить», без подстановки результата</w:t>
            </w:r>
          </w:p>
        </w:tc>
        <w:tc>
          <w:tcPr>
            <w:tcW w:type="dxa" w:w="1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Нет</w:t>
            </w:r>
          </w:p>
        </w:tc>
      </w:tr>
    </w:tbl>
    <w:p>
      <w:pPr>
        <w:spacing w:after="0" w:line="140" w:lineRule="exact"/>
      </w:pPr>
    </w:p>
    <w:p>
      <w:pPr>
        <w:pStyle w:val="Heading1"/>
        <w:keepNext/>
        <w:spacing w:before="26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09. Технические решения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98"/>
        <w:gridCol w:w="5016"/>
        <w:gridCol w:w="2852"/>
      </w:tblGrid>
      <w:tr>
        <w:trPr>
          <w:cantSplit/>
          <w:tblHeader/>
        </w:trPr>
        <w:tc>
          <w:tcPr>
            <w:tcW w:type="dxa" w:w="19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Блок</w:t>
            </w:r>
          </w:p>
        </w:tc>
        <w:tc>
          <w:tcPr>
            <w:tcW w:type="dxa" w:w="50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Роль в сценарии и передаваемые данные</w:t>
            </w:r>
          </w:p>
        </w:tc>
        <w:tc>
          <w:tcPr>
            <w:tcW w:type="dxa" w:w="28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В MVP</w:t>
            </w:r>
          </w:p>
        </w:tc>
      </w:tr>
      <w:tr>
        <w:trPr>
          <w:cantSplit/>
          <w:tblHeader w:val="false"/>
        </w:trPr>
        <w:tc>
          <w:tcPr>
            <w:tcW w:type="dxa" w:w="19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Интерфейс участника и эксперта</w:t>
            </w:r>
          </w:p>
        </w:tc>
        <w:tc>
          <w:tcPr>
            <w:tcW w:type="dxa" w:w="50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Принимает выбор и обоснование, показывает последствия и карточку; в логику передаёт инициативы, объяснение, запрос среза</w:t>
            </w:r>
          </w:p>
        </w:tc>
        <w:tc>
          <w:tcPr>
            <w:tcW w:type="dxa" w:w="28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React 19, TypeScript, VKUI; статический сайт</w:t>
            </w:r>
          </w:p>
        </w:tc>
      </w:tr>
      <w:tr>
        <w:trPr>
          <w:cantSplit/>
          <w:tblHeader w:val="false"/>
        </w:trPr>
        <w:tc>
          <w:tcPr>
            <w:tcW w:type="dxa" w:w="19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Логика сценария</w:t>
            </w:r>
          </w:p>
        </w:tc>
        <w:tc>
          <w:tcPr>
            <w:tcW w:type="dxa" w:w="50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Считает следующее состояние по правилам, ставит статусы К2–К4; в хранение передаёт решения и срез</w:t>
            </w:r>
          </w:p>
        </w:tc>
        <w:tc>
          <w:tcPr>
            <w:tcW w:type="dxa" w:w="28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sim/engine.ts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sim/debrief.ts</w:t>
            </w:r>
          </w:p>
        </w:tc>
      </w:tr>
      <w:tr>
        <w:trPr>
          <w:cantSplit/>
          <w:tblHeader w:val="false"/>
        </w:trPr>
        <w:tc>
          <w:tcPr>
            <w:tcW w:type="dxa" w:w="19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Хранение</w:t>
            </w:r>
          </w:p>
        </w:tc>
        <w:tc>
          <w:tcPr>
            <w:tcW w:type="dxa" w:w="50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Сценарий, попытки, самостоятельная работа, комментарии эксперта</w:t>
            </w:r>
          </w:p>
        </w:tc>
        <w:tc>
          <w:tcPr>
            <w:tcW w:type="dxa" w:w="28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Сценарий в коде (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sim/scenario.ts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), остальное в localStorage</w:t>
            </w:r>
          </w:p>
        </w:tc>
      </w:tr>
      <w:tr>
        <w:trPr>
          <w:cantSplit/>
          <w:tblHeader w:val="false"/>
        </w:trPr>
        <w:tc>
          <w:tcPr>
            <w:tcW w:type="dxa" w:w="19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Внешний ИИ-сервис</w:t>
            </w:r>
          </w:p>
        </w:tc>
        <w:tc>
          <w:tcPr>
            <w:tcW w:type="dxa" w:w="50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Только в целевой версии и только у названного провайдера: получает текст обоснования и рубрику, возвращает черновик статуса К1, К5, К6, который подтверждает эксперт; цифр и правил не меняет</w:t>
            </w:r>
          </w:p>
        </w:tc>
        <w:tc>
          <w:tcPr>
            <w:tcW w:type="dxa" w:w="28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Нет: эвристика по ключевым словам</w:t>
            </w:r>
          </w:p>
        </w:tc>
      </w:tr>
    </w:tbl>
    <w:p>
      <w:pPr>
        <w:spacing w:after="0" w:line="1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68"/>
        <w:gridCol w:w="3222"/>
        <w:gridCol w:w="2450"/>
        <w:gridCol w:w="2426"/>
      </w:tblGrid>
      <w:tr>
        <w:trPr>
          <w:cantSplit/>
          <w:tblHeader/>
        </w:trPr>
        <w:tc>
          <w:tcPr>
            <w:tcW w:type="dxa" w:w="17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Данные</w:t>
            </w:r>
          </w:p>
        </w:tc>
        <w:tc>
          <w:tcPr>
            <w:tcW w:type="dxa" w:w="32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Что хранится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Кто имеет доступ</w:t>
            </w:r>
          </w:p>
        </w:tc>
        <w:tc>
          <w:tcPr>
            <w:tcW w:type="dxa" w:w="2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В MVP</w:t>
            </w:r>
          </w:p>
        </w:tc>
      </w:tr>
      <w:tr>
        <w:trPr>
          <w:cantSplit/>
          <w:tblHeader w:val="false"/>
        </w:trPr>
        <w:tc>
          <w:tcPr>
            <w:tcW w:type="dxa" w:w="17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Сценарий</w:t>
            </w:r>
          </w:p>
        </w:tc>
        <w:tc>
          <w:tcPr>
            <w:tcW w:type="dxa" w:w="32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Вводные, источники, правила эффектов, событие, версия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Автор и эксперт; участнику — часть текущего шага</w:t>
            </w:r>
          </w:p>
        </w:tc>
        <w:tc>
          <w:tcPr>
            <w:tcW w:type="dxa" w:w="2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В коде, версия — коммит</w:t>
            </w:r>
          </w:p>
        </w:tc>
      </w:tr>
      <w:tr>
        <w:trPr>
          <w:cantSplit/>
          <w:tblHeader w:val="false"/>
        </w:trPr>
        <w:tc>
          <w:tcPr>
            <w:tcW w:type="dxa" w:w="17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 Тренировочная попытка</w:t>
            </w:r>
          </w:p>
        </w:tc>
        <w:tc>
          <w:tcPr>
            <w:tcW w:type="dxa" w:w="32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Заметки, решения 1 и 2, срез, разбор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Только участник</w:t>
            </w:r>
          </w:p>
        </w:tc>
        <w:tc>
          <w:tcPr>
            <w:tcW w:type="dxa" w:w="2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localStorage</w:t>
            </w:r>
          </w:p>
        </w:tc>
      </w:tr>
      <w:tr>
        <w:trPr>
          <w:cantSplit/>
          <w:tblHeader w:val="false"/>
        </w:trPr>
        <w:tc>
          <w:tcPr>
            <w:tcW w:type="dxa" w:w="17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 Самостоятельная работа</w:t>
            </w:r>
          </w:p>
        </w:tc>
        <w:tc>
          <w:tcPr>
            <w:tcW w:type="dxa" w:w="32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Условия, решение, обоснование, ожидание, объяснение «месяц спустя», статус передачи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Участник; эксперт — после передачи и до отзыва</w:t>
            </w:r>
          </w:p>
        </w:tc>
        <w:tc>
          <w:tcPr>
            <w:tcW w:type="dxa" w:w="2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localStorage, передача — флаг в том же браузере</w:t>
            </w:r>
          </w:p>
        </w:tc>
      </w:tr>
      <w:tr>
        <w:trPr>
          <w:cantSplit/>
          <w:tblHeader w:val="false"/>
        </w:trPr>
        <w:tc>
          <w:tcPr>
            <w:tcW w:type="dxa" w:w="17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4. Критерии и комментарии</w:t>
            </w:r>
          </w:p>
        </w:tc>
        <w:tc>
          <w:tcPr>
            <w:tcW w:type="dxa" w:w="32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Статусы, фрагмент, комментарий, вопрос для интервью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Эксперт и автор работы</w:t>
            </w:r>
          </w:p>
        </w:tc>
        <w:tc>
          <w:tcPr>
            <w:tcW w:type="dxa" w:w="2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localStorage</w:t>
            </w:r>
          </w:p>
        </w:tc>
      </w:tr>
    </w:tbl>
    <w:p>
      <w:pPr>
        <w:spacing w:after="0" w:line="140" w:lineRule="exact"/>
      </w:pP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Персональные данные (для пилота).</w:t>
      </w:r>
      <w:r>
        <w:rPr>
          <w:rFonts w:ascii="Arial" w:cs="Arial" w:eastAsia="Arial" w:hAnsi="Arial"/>
          <w:sz w:val="19"/>
          <w:szCs w:val="19"/>
        </w:rPr>
        <w:t xml:space="preserve"> Кандидаты в системе — под псевдонимами, таблицу соответствия держит банк. Работа передаётся только после явного согласия, со сроком хранения и правом отозвать. Хостинг — в РФ или в контуре банка. ИИ-разбор — только у названного провайдера и с проверкой экспертом. Автоматических решений о найме нет (152-ФЗ, ст. 16). В MVP этого нет: данные вымышлены и живут в браузере.</w:t>
      </w: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Т1. Браузерный формат.</w:t>
      </w:r>
      <w:r>
        <w:rPr>
          <w:rFonts w:ascii="Arial" w:cs="Arial" w:eastAsia="Arial" w:hAnsi="Arial"/>
          <w:sz w:val="19"/>
          <w:szCs w:val="19"/>
        </w:rPr>
        <w:t xml:space="preserve"> Выбор: веб-интерфейс; альтернатива: мобильное приложение или VR. Подходит сценарию, потому что основная работа — читать источники, сравнивать цифры и писать обоснование, а ссылку можно открыть без установки. Ограничение: мобильный опыт не обещаем; GitHub Pages годится только для вымышленных данных, для пилота нужен сервер в контуре банка (SE-01, сл. 20).</w:t>
      </w: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Т2. Подготовленные правила последствий.</w:t>
      </w:r>
      <w:r>
        <w:rPr>
          <w:rFonts w:ascii="Arial" w:cs="Arial" w:eastAsia="Arial" w:hAnsi="Arial"/>
          <w:sz w:val="19"/>
          <w:szCs w:val="19"/>
        </w:rPr>
        <w:t xml:space="preserve"> Выбор: ограниченные ветвления с заранее объяснёнными зависимостями; альтернатива: мир, который генерирует ИИ. Подходит, потому что нужно показать, почему действие привело к состоянию, и воспроизвести переход при проверке; ИИ внутри продукта требует отдельной оценки и не получает новых прав сам (SE-02, сл. 87, 94). Ограничение: любую идею участника посчитать нельзя, она сохраняется в разборе как альтернатива. В эпизоде 1 восемь допустимых наборов, поэтому правило можно выучить (Baker et al., 2004); защита — вариация чисел между потоками.</w:t>
      </w: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Требования к качеству.</w:t>
      </w:r>
      <w:r>
        <w:rPr>
          <w:rFonts w:ascii="Arial" w:cs="Arial" w:eastAsia="Arial" w:hAnsi="Arial"/>
          <w:sz w:val="19"/>
          <w:szCs w:val="19"/>
        </w:rPr>
        <w:t xml:space="preserve"> Каждое задаёт условие, меру и способ проверки (SE-03, сл. 40).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4"/>
        <w:gridCol w:w="3687"/>
        <w:gridCol w:w="2251"/>
        <w:gridCol w:w="2324"/>
      </w:tblGrid>
      <w:tr>
        <w:trPr>
          <w:cantSplit/>
          <w:tblHeader/>
        </w:trPr>
        <w:tc>
          <w:tcPr>
            <w:tcW w:type="dxa" w:w="1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Свойство</w:t>
            </w:r>
          </w:p>
        </w:tc>
        <w:tc>
          <w:tcPr>
            <w:tcW w:type="dxa" w:w="3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Мера</w:t>
            </w:r>
          </w:p>
        </w:tc>
        <w:tc>
          <w:tcPr>
            <w:tcW w:type="dxa" w:w="22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Как проверяем</w:t>
            </w:r>
          </w:p>
        </w:tc>
        <w:tc>
          <w:tcPr>
            <w:tcW w:type="dxa" w:w="23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Статус</w:t>
            </w:r>
          </w:p>
        </w:tc>
      </w:tr>
      <w:tr>
        <w:trPr>
          <w:cantSplit/>
          <w:tblHeader w:val="false"/>
        </w:trPr>
        <w:tc>
          <w:tcPr>
            <w:tcW w:type="dxa" w:w="1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Причинная согласованность</w:t>
            </w:r>
          </w:p>
        </w:tc>
        <w:tc>
          <w:tcPr>
            <w:tcW w:type="dxa" w:w="3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При одинаковых состоянии, выборах и событии результат совпадает в 100% прогонов; пять контрольных веток и задача «месяц спустя» совпадают с расчётом сценария до 0,1 п.п.</w:t>
            </w:r>
          </w:p>
        </w:tc>
        <w:tc>
          <w:tcPr>
            <w:tcW w:type="dxa" w:w="22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 автотестов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sim/engine.test.ts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в CI перед каждой публикацией</w:t>
            </w:r>
          </w:p>
        </w:tc>
        <w:tc>
          <w:tcPr>
            <w:tcW w:type="dxa" w:w="23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Выполняется</w:t>
            </w:r>
          </w:p>
        </w:tc>
      </w:tr>
      <w:tr>
        <w:trPr>
          <w:cantSplit/>
          <w:tblHeader w:val="false"/>
        </w:trPr>
        <w:tc>
          <w:tcPr>
            <w:tcW w:type="dxa" w:w="1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 Разбор не хвалит пустоту</w:t>
            </w:r>
          </w:p>
        </w:tc>
        <w:tc>
          <w:tcPr>
            <w:tcW w:type="dxa" w:w="3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Эталонные прохождения дают ожидаемые статусы; бессмыслица из слов словаря, данные, названные «неважными», и обоснование из одних ссылок на источники не получают «видно»</w:t>
            </w:r>
          </w:p>
        </w:tc>
        <w:tc>
          <w:tcPr>
            <w:tcW w:type="dxa" w:w="22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 автотестов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sim/debrief.test.ts</w:t>
            </w:r>
          </w:p>
        </w:tc>
        <w:tc>
          <w:tcPr>
            <w:tcW w:type="dxa" w:w="23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Выполняется на тестовых случаях; эвристика остаётся эвристикой</w:t>
            </w:r>
          </w:p>
        </w:tc>
      </w:tr>
      <w:tr>
        <w:trPr>
          <w:cantSplit/>
          <w:tblHeader w:val="false"/>
        </w:trPr>
        <w:tc>
          <w:tcPr>
            <w:tcW w:type="dxa" w:w="1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 Разделение режимов и доступа</w:t>
            </w:r>
          </w:p>
        </w:tc>
        <w:tc>
          <w:tcPr>
            <w:tcW w:type="dxa" w:w="3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У эксперта нет ни одного поля тренировочного маршрута; работа появляется после «Передать» и исчезает после «Отозвать»</w:t>
            </w:r>
          </w:p>
        </w:tc>
        <w:tc>
          <w:tcPr>
            <w:tcW w:type="dxa" w:w="22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Сравнение представлений участника и эксперта</w:t>
            </w:r>
          </w:p>
        </w:tc>
        <w:tc>
          <w:tcPr>
            <w:tcW w:type="dxa" w:w="23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Показано на одном устройстве; без серверной авторизации не доказано</w:t>
            </w:r>
          </w:p>
        </w:tc>
      </w:tr>
      <w:tr>
        <w:trPr>
          <w:cantSplit/>
          <w:tblHeader w:val="false"/>
        </w:trPr>
        <w:tc>
          <w:tcPr>
            <w:tcW w:type="dxa" w:w="1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4. Различимость эффектов (пилот)</w:t>
            </w:r>
          </w:p>
        </w:tc>
        <w:tc>
          <w:tcPr>
            <w:tcW w:type="dxa" w:w="36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 из 5 участников различают эффект своего решения и внешнее событие</w:t>
            </w:r>
          </w:p>
        </w:tc>
        <w:tc>
          <w:tcPr>
            <w:tcW w:type="dxa" w:w="22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Статус К4 и вопрос после модуля</w:t>
            </w:r>
          </w:p>
        </w:tc>
        <w:tc>
          <w:tcPr>
            <w:tcW w:type="dxa" w:w="23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Не проверялось</w:t>
            </w:r>
          </w:p>
        </w:tc>
      </w:tr>
    </w:tbl>
    <w:p>
      <w:pPr>
        <w:spacing w:after="0" w:line="140" w:lineRule="exact"/>
      </w:pPr>
    </w:p>
    <w:p>
      <w:pPr>
        <w:pStyle w:val="Heading1"/>
        <w:keepNext/>
        <w:spacing w:before="26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 MVP: что сделано и что не доказано</w:t>
      </w: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Формат.</w:t>
      </w:r>
      <w:r>
        <w:rPr>
          <w:rFonts w:ascii="Arial" w:cs="Arial" w:eastAsia="Arial" w:hAnsi="Arial"/>
          <w:sz w:val="19"/>
          <w:szCs w:val="19"/>
        </w:rPr>
        <w:t xml:space="preserve"> Работающий веб-прототип с открытым кодом: https://nominalnominalovich.github.io/polygon/. Мокапов по курсу достаточно (SE-04, сл. 2, 42), но главный момент продукта — последствия, которые зависят от выбора и совпадают при повторе, — статичный мокап показал бы его только на одной заранее нарисованной ветке.</w:t>
      </w: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Сценарий демонстрации</w:t>
      </w:r>
      <w:r>
        <w:rPr>
          <w:rFonts w:ascii="Arial" w:cs="Arial" w:eastAsia="Arial" w:hAnsi="Arial"/>
          <w:sz w:val="19"/>
          <w:szCs w:val="19"/>
        </w:rPr>
        <w:t xml:space="preserve"> повторяет приоритетный сценарий, затем тот же человек входит как эксперт. На главной свёрнут блок с тремя готовыми прохождениями, которые раскрывают ответы. «Сильный путь» — Б+В, затем Д и Е-В при пушах реже: общий M1 56,6%, M2 34,5%; непобеждённых по паре M1 / M2 путей два, второй — В+Г → Д + Е-В (52,7 / 35,0).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83"/>
        <w:gridCol w:w="3333"/>
        <w:gridCol w:w="2950"/>
      </w:tblGrid>
      <w:tr>
        <w:trPr>
          <w:cantSplit/>
          <w:tblHeader/>
        </w:trPr>
        <w:tc>
          <w:tcPr>
            <w:tcW w:type="dxa" w:w="35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Реализовано</w:t>
            </w:r>
          </w:p>
        </w:tc>
        <w:tc>
          <w:tcPr>
            <w:tcW w:type="dxa" w:w="33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Имитируется</w:t>
            </w:r>
          </w:p>
        </w:tc>
        <w:tc>
          <w:tcPr>
            <w:tcW w:type="dxa" w:w="2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Ограничения</w:t>
            </w:r>
          </w:p>
        </w:tc>
      </w:tr>
      <w:tr>
        <w:trPr>
          <w:cantSplit/>
          <w:tblHeader w:val="false"/>
        </w:trPr>
        <w:tc>
          <w:tcPr>
            <w:tcW w:type="dxa" w:w="35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Путь кандидата из семи шагов; расчёт по пяти сегментам; восемь наборов эпизода 1 и варианты эпизода 2 с учётом обязательств; срез; версии решений; разбор К1–К6 с фрагментами, заметкой о доминирующем ходе и сравнением с другими ветками; задача на перенос с шагом «месяц спустя»: событие, разбивка по причинам, объяснение и пересмотр; передача и отзыв; кабинет эксперта по К1–К6 со статусом «недостаточно данных» и сводкой по потоку; режим обоснования; 15 автотестов</w:t>
            </w:r>
          </w:p>
        </w:tc>
        <w:tc>
          <w:tcPr>
            <w:tcW w:type="dxa" w:w="33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ИИ-разбор свободного текста: К1, К5, К6 ставит эвристика по ключевым словам, на экране это подписано; банк, клиенты и коллеги; две демо-работы у эксперта; передача и сводка по потоку внутри одного браузера; библиотека модулей</w:t>
            </w:r>
          </w:p>
        </w:tc>
        <w:tc>
          <w:tcPr>
            <w:tcW w:type="dxa" w:w="2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Нет сервера, входа и защиты данных; эвристику по-прежнему можно обмануть; ключ автора не проверен практиками; один модуль и одна закрытая задача без ротации; нет вариации чисел</w:t>
            </w:r>
          </w:p>
        </w:tc>
      </w:tr>
    </w:tbl>
    <w:p>
      <w:pPr>
        <w:spacing w:after="0" w:line="140" w:lineRule="exact"/>
      </w:pP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Судьба прототипа</w:t>
      </w:r>
      <w:r>
        <w:rPr>
          <w:rFonts w:ascii="Arial" w:cs="Arial" w:eastAsia="Arial" w:hAnsi="Arial"/>
          <w:sz w:val="19"/>
          <w:szCs w:val="19"/>
        </w:rPr>
        <w:t xml:space="preserve"> выбрана по частям (SE-02, сл. 17). Эволюционная часть: движок, формат сценария, контрольные ветки как тесты, правила К2–К4. Одноразовая: эвристика К1, К5, К6 (заменят рубрика и проверка экспертом), хранение в браузере (заменит сервер с доступом), демо-пресеты. От продолжения из-за понесённых затрат защищают критерии остановки в стратегии.</w:t>
      </w: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Что MVP не доказывает.</w:t>
      </w:r>
      <w:r>
        <w:rPr>
          <w:rFonts w:ascii="Arial" w:cs="Arial" w:eastAsia="Arial" w:hAnsi="Arial"/>
          <w:sz w:val="19"/>
          <w:szCs w:val="19"/>
        </w:rPr>
        <w:t xml:space="preserve"> Что симуляция учит лучше кейса; что кандидатам это нужно; что эксперты будут пользоваться карточкой; что улучшится найм; что банк заплатит; что правила автора кейса верны; сколько стоит авторинг; что система безопасна и надёжна.</w:t>
      </w:r>
    </w:p>
    <w:p>
      <w:pPr>
        <w:pStyle w:val="Heading1"/>
        <w:keepNext/>
        <w:spacing w:before="26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Стратегия и вывод на рынок</w:t>
      </w: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Позиционирование</w:t>
      </w:r>
      <w:r>
        <w:rPr>
          <w:rFonts w:ascii="Arial" w:cs="Arial" w:eastAsia="Arial" w:hAnsi="Arial"/>
          <w:sz w:val="19"/>
          <w:szCs w:val="19"/>
        </w:rPr>
        <w:t xml:space="preserve"> (шаблон Мура: Sommerville, 2020, с. 18). Для банков и финтех-компаний с карьерными программами для начинающих продактов, которым нужно видеть, как кандидат работает с данными и ограничениями, «Полигон» — модуль практики и этап перед интервью. Он стоит между шорт-листом и структурированным интервью: финалисты тренируются на модуле, затем решают закрытую ротируемую задачу с шагом «месяц спустя», и эксперт приходит на интервью с трассой решений кандидата, а не с презентацией. В отличие от курсов с изолированными заданиями, кейс-чемпионатов и коротких карьерных игр, «Полигон» переносит решения и их последствия между эпизодами и проверяет, отделяет ли кандидат эффект своего решения от внешнего события. Это не фильтр отбора и не решение о найме. Рабочее название «продуктовая школа-симулятор» осталось от концепции v1.1; по смыслу это модуль практики, а школа — у банка.</w:t>
      </w: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Модель.</w:t>
      </w:r>
      <w:r>
        <w:rPr>
          <w:rFonts w:ascii="Arial" w:cs="Arial" w:eastAsia="Arial" w:hAnsi="Arial"/>
          <w:sz w:val="19"/>
          <w:szCs w:val="19"/>
        </w:rPr>
        <w:t xml:space="preserve"> Платит банк, кандидат участвует бесплатно; так уже работают Forage [S32], программы банков на Changellenge [S24, S27] и «Школа 21» [S17]. Из какого бюджета платит банк, не решено, и это две гипотезы: (а) бюджет отбора — от 15 тыс. ₽ за участника; (б) бюджет подготовки — около 7 тыс. ₽ на человека, порядок расходов корпоративного университета на обучаемого (расчёт по [S47]). Выбор между ними — первый вопрос к покупателю: от ответа зависят цена и денежные ворота пилота. Сам пилот — бесплатно в обмен на участие эксперта банка.</w:t>
      </w: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Полная стоимость владения.</w:t>
      </w:r>
      <w:r>
        <w:rPr>
          <w:rFonts w:ascii="Arial" w:cs="Arial" w:eastAsia="Arial" w:hAnsi="Arial"/>
          <w:sz w:val="19"/>
          <w:szCs w:val="19"/>
        </w:rPr>
        <w:t xml:space="preserve"> Первоначальная разработка — лишь часть затрат (SE-01, сл. 9, 14). Наш продукт почти целиком состоит из авторского контента: числа, правила, разборы, реплики. Урок Pearson SuccessMaker: контент-команда осталась на водопаде, контентная дорожная карта три года не менялась, и продукт казался устаревшим и дорогим в сопровождении (кейс Pearson, Ivey, 2012; SE-02, сл. 81–83).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9"/>
        <w:gridCol w:w="3628"/>
        <w:gridCol w:w="1679"/>
        <w:gridCol w:w="3040"/>
      </w:tblGrid>
      <w:tr>
        <w:trPr>
          <w:cantSplit/>
          <w:tblHeader/>
        </w:trPr>
        <w:tc>
          <w:tcPr>
            <w:tcW w:type="dxa" w:w="1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Статья</w:t>
            </w:r>
          </w:p>
        </w:tc>
        <w:tc>
          <w:tcPr>
            <w:tcW w:type="dxa" w:w="36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Из чего состоит</w:t>
            </w:r>
          </w:p>
        </w:tc>
        <w:tc>
          <w:tcPr>
            <w:tcW w:type="dxa" w:w="16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Чем измерим</w:t>
            </w:r>
          </w:p>
        </w:tc>
        <w:tc>
          <w:tcPr>
            <w:tcW w:type="dxa" w:w="3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Что известно</w:t>
            </w:r>
          </w:p>
        </w:tc>
      </w:tr>
      <w:tr>
        <w:trPr>
          <w:cantSplit/>
          <w:tblHeader w:val="false"/>
        </w:trPr>
        <w:tc>
          <w:tcPr>
            <w:tcW w:type="dxa" w:w="1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Авторинг модуля</w:t>
            </w:r>
          </w:p>
        </w:tc>
        <w:tc>
          <w:tcPr>
            <w:tcW w:type="dxa" w:w="36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Мир и сегменты, правила эффектов, контрольные ветки, разборы и реплики, задача на перенос, тесты, слепая проверка ключа практиками</w:t>
            </w:r>
          </w:p>
        </w:tc>
        <w:tc>
          <w:tcPr>
            <w:tcW w:type="dxa" w:w="16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Часы автора и практиков на модуль</w:t>
            </w:r>
          </w:p>
        </w:tc>
        <w:tc>
          <w:tcPr>
            <w:tcW w:type="dxa" w:w="3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Модуль 1: [вписать факт: N ч]. Около 45 минут прохождения, 5 сегментов, 4 + 9 инициатив, 5 контрольных веток</w:t>
            </w:r>
          </w:p>
        </w:tc>
      </w:tr>
      <w:tr>
        <w:trPr>
          <w:cantSplit/>
          <w:tblHeader w:val="false"/>
        </w:trPr>
        <w:tc>
          <w:tcPr>
            <w:tcW w:type="dxa" w:w="1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Адаптация под банк</w:t>
            </w:r>
          </w:p>
        </w:tc>
        <w:tc>
          <w:tcPr>
            <w:tcW w:type="dxa" w:w="36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Домен и продукты банка, термины, согласование кейса с экспертами</w:t>
            </w:r>
          </w:p>
        </w:tc>
        <w:tc>
          <w:tcPr>
            <w:tcW w:type="dxa" w:w="16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Часы на банк</w:t>
            </w:r>
          </w:p>
        </w:tc>
        <w:tc>
          <w:tcPr>
            <w:tcW w:type="dxa" w:w="3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Не измеряли</w:t>
            </w:r>
          </w:p>
        </w:tc>
      </w:tr>
      <w:tr>
        <w:trPr>
          <w:cantSplit/>
          <w:tblHeader w:val="false"/>
        </w:trPr>
        <w:tc>
          <w:tcPr>
            <w:tcW w:type="dxa" w:w="1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Ротация закрытой задачи</w:t>
            </w:r>
          </w:p>
        </w:tc>
        <w:tc>
          <w:tcPr>
            <w:tcW w:type="dxa" w:w="36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Новая задача «месяц спустя» на каждый поток, чтобы ответ не передавался следующей когорте</w:t>
            </w:r>
          </w:p>
        </w:tc>
        <w:tc>
          <w:tcPr>
            <w:tcW w:type="dxa" w:w="16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Часы на поток</w:t>
            </w:r>
          </w:p>
        </w:tc>
        <w:tc>
          <w:tcPr>
            <w:tcW w:type="dxa" w:w="3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Не измеряли</w:t>
            </w:r>
          </w:p>
        </w:tc>
      </w:tr>
      <w:tr>
        <w:trPr>
          <w:cantSplit/>
          <w:tblHeader w:val="false"/>
        </w:trPr>
        <w:tc>
          <w:tcPr>
            <w:tcW w:type="dxa" w:w="1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Минуты эксперта на карточку</w:t>
            </w:r>
          </w:p>
        </w:tc>
        <w:tc>
          <w:tcPr>
            <w:tcW w:type="dxa" w:w="36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Разбор одной карточки по К1–К6 и вопрос для интервью</w:t>
            </w:r>
          </w:p>
        </w:tc>
        <w:tc>
          <w:tcPr>
            <w:tcW w:type="dxa" w:w="16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Медиана минут × число карточек</w:t>
            </w:r>
          </w:p>
        </w:tc>
        <w:tc>
          <w:tcPr>
            <w:tcW w:type="dxa" w:w="3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Сводка по потоку считает медиану; реальных замеров нет</w:t>
            </w:r>
          </w:p>
        </w:tc>
      </w:tr>
      <w:tr>
        <w:trPr>
          <w:cantSplit/>
          <w:tblHeader w:val="false"/>
        </w:trPr>
        <w:tc>
          <w:tcPr>
            <w:tcW w:type="dxa" w:w="1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Сопровождение</w:t>
            </w:r>
          </w:p>
        </w:tc>
        <w:tc>
          <w:tcPr>
            <w:tcW w:type="dxa" w:w="36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Хостинг в РФ или в контуре банка, вход, хранение, согласования безопасности, ИИ-разбор у названного провайдера с проверкой экспертом, поддержка участников</w:t>
            </w:r>
          </w:p>
        </w:tc>
        <w:tc>
          <w:tcPr>
            <w:tcW w:type="dxa" w:w="16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Месячная стоимость и часы</w:t>
            </w:r>
          </w:p>
        </w:tc>
        <w:tc>
          <w:tcPr>
            <w:tcW w:type="dxa" w:w="3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Сейчас бесплатно, только для вымышленных данных</w:t>
            </w:r>
          </w:p>
        </w:tc>
      </w:tr>
    </w:tbl>
    <w:p>
      <w:pPr>
        <w:spacing w:after="0" w:line="140" w:lineRule="exact"/>
      </w:pPr>
    </w:p>
    <w:p>
      <w:pPr>
        <w:spacing w:after="70" w:line="245"/>
        <w:jc w:val="both"/>
      </w:pPr>
      <w:r>
        <w:rPr>
          <w:rFonts w:ascii="Arial" w:cs="Arial" w:eastAsia="Arial" w:hAnsi="Arial"/>
          <w:sz w:val="19"/>
          <w:szCs w:val="19"/>
        </w:rPr>
        <w:t xml:space="preserve">Годовая стоимость ≈ модули × авторинг + банки × адаптация + потоки × ротация + карточки × минуты эксперта + сопровождение. Правило команды: второй модуль делаем, только если авторинг первого уложился в бюджет, согласованный с партнёром; если второй модуль не дешевле первого, сначала меняем формат авторинга (например, редактор сценариев), а не расширяем библиотеку.</w:t>
      </w: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Вывод на рынок.</w:t>
      </w:r>
      <w:r>
        <w:rPr>
          <w:rFonts w:ascii="Arial" w:cs="Arial" w:eastAsia="Arial" w:hAnsi="Arial"/>
          <w:sz w:val="19"/>
          <w:szCs w:val="19"/>
        </w:rPr>
        <w:t xml:space="preserve"> Покупатель — не пользователь, и решения принимают разные роли (SE-03, сл. 22): руководитель карьерной программы — о модуле, служба безопасности — о данных кандидатов, юристы — о согласиях. Быстрый релиз не равен быстрому использованию (SE-03, сл. 4). Канал входа — один модуль в существующей карьерной программе банка (такой формат есть, Н4); Changellenge уже продаёт банкам онлайн-практики и игры [S24, S27, S30] и может быть и конкурентом, и каналом. Наборы в школы обычно раз в год, поэтому готовность платить фиксируем письмом о намерениях на старте пилота.</w:t>
      </w: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Пилот и ворота решений.</w:t>
      </w:r>
      <w:r>
        <w:rPr>
          <w:rFonts w:ascii="Arial" w:cs="Arial" w:eastAsia="Arial" w:hAnsi="Arial"/>
          <w:sz w:val="19"/>
          <w:szCs w:val="19"/>
        </w:rPr>
        <w:t xml:space="preserve"> Команда проверяет продукт в спринтах, решения о вложениях принимаются на контрольных точках (SE-02, сл. 71). Пороги задаём до старта и согласуем с партнёром (SE-02, сл. 66); числа ниже — наше предложение.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7"/>
        <w:gridCol w:w="2898"/>
        <w:gridCol w:w="5111"/>
      </w:tblGrid>
      <w:tr>
        <w:trPr>
          <w:cantSplit/>
          <w:tblHeader/>
        </w:trPr>
        <w:tc>
          <w:tcPr>
            <w:tcW w:type="dxa" w:w="1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Ворота</w:t>
            </w:r>
          </w:p>
        </w:tc>
        <w:tc>
          <w:tcPr>
            <w:tcW w:type="dxa" w:w="28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Решение</w:t>
            </w:r>
          </w:p>
        </w:tc>
        <w:tc>
          <w:tcPr>
            <w:tcW w:type="dxa" w:w="51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Условие прохода</w:t>
            </w:r>
          </w:p>
        </w:tc>
      </w:tr>
      <w:tr>
        <w:trPr>
          <w:cantSplit/>
          <w:tblHeader w:val="false"/>
        </w:trPr>
        <w:tc>
          <w:tcPr>
            <w:tcW w:type="dxa" w:w="1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0. Обоснование</w:t>
            </w:r>
          </w:p>
        </w:tc>
        <w:tc>
          <w:tcPr>
            <w:tcW w:type="dxa" w:w="28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Готовить пилот или менять концепцию</w:t>
            </w:r>
          </w:p>
        </w:tc>
        <w:tc>
          <w:tcPr>
            <w:tcW w:type="dxa" w:w="51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Проведены пять прохождений вслух и разговор с банком; Г-А1 и Г-А2 не отвергнуты; два практика проверили ключ автора вслепую; банк подписал письмо о намерениях; готов релиз R1</w:t>
            </w:r>
          </w:p>
        </w:tc>
      </w:tr>
      <w:tr>
        <w:trPr>
          <w:cantSplit/>
          <w:tblHeader w:val="false"/>
        </w:trPr>
        <w:tc>
          <w:tcPr>
            <w:tcW w:type="dxa" w:w="1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Разрешение на пилот</w:t>
            </w:r>
          </w:p>
        </w:tc>
        <w:tc>
          <w:tcPr>
            <w:tcW w:type="dxa" w:w="28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Запустить один поток</w:t>
            </w:r>
          </w:p>
        </w:tc>
        <w:tc>
          <w:tcPr>
            <w:tcW w:type="dxa" w:w="51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Один модуль и одна закрытая задача для финалистов одной карьерной программы перед структурированным интервью</w:t>
            </w:r>
          </w:p>
        </w:tc>
      </w:tr>
      <w:tr>
        <w:trPr>
          <w:cantSplit/>
          <w:tblHeader w:val="false"/>
        </w:trPr>
        <w:tc>
          <w:tcPr>
            <w:tcW w:type="dxa" w:w="1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 Решение о расширении</w:t>
            </w:r>
          </w:p>
        </w:tc>
        <w:tc>
          <w:tcPr>
            <w:tcW w:type="dxa" w:w="28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Расширить, продлить пилот или остановить (SE-02, сл. 61)</w:t>
            </w:r>
          </w:p>
        </w:tc>
        <w:tc>
          <w:tcPr>
            <w:tcW w:type="dxa" w:w="51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Критерии ниже, с названными ресурсными последствиями (SE-01, сл. 5)</w:t>
            </w:r>
          </w:p>
        </w:tc>
      </w:tr>
    </w:tbl>
    <w:p>
      <w:pPr>
        <w:spacing w:after="0" w:line="140" w:lineRule="exact"/>
      </w:pP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Расширяем, если выполнено всё:</w:t>
      </w:r>
      <w:r>
        <w:rPr>
          <w:rFonts w:ascii="Arial" w:cs="Arial" w:eastAsia="Arial" w:hAnsi="Arial"/>
          <w:sz w:val="19"/>
          <w:szCs w:val="19"/>
        </w:rPr>
        <w:t xml:space="preserve"> модуль завершили не меньше 70% начавших; эксперт задал вопрос из карточки не меньше чем в 2 из 3 интервью; «угадывали правила» не больше 1 из 5 участников (проверка Н1); медиана разбора карточки не больше 10 минут; банк подтверждает второй поток по цене от 15 тыс. ₽ при не меньше 60 участниках в год. Последнее — денежные ворота, около 0,9 млн ₽.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Продлеваем или сужаем:</w:t>
      </w:r>
      <w:r>
        <w:rPr>
          <w:rFonts w:ascii="Arial" w:cs="Arial" w:eastAsia="Arial" w:hAnsi="Arial"/>
          <w:sz w:val="19"/>
          <w:szCs w:val="19"/>
        </w:rPr>
        <w:t xml:space="preserve"> участники завершают модуль, но эксперты карточкой не пользуются или медиана разбора выше 10 минут.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Останавливаем, если выполнено хоть одно:</w:t>
      </w:r>
      <w:r>
        <w:rPr>
          <w:rFonts w:ascii="Arial" w:cs="Arial" w:eastAsia="Arial" w:hAnsi="Arial"/>
          <w:sz w:val="19"/>
          <w:szCs w:val="19"/>
        </w:rPr>
        <w:t xml:space="preserve"> утечка персональных данных; кадровое решение принято только по карточке; банк готов платить лишь из бюджета обучения, не больше 7 тыс. ₽ за человека. В последнем случае пересчитываем модель и переходим к позиционированию «модуль подготовки». Если статусы критериев начнут использовать как фильтр, они перестанут быть честными (Campbell, 1979).</w:t>
      </w:r>
    </w:p>
    <w:p>
      <w:pPr>
        <w:spacing w:after="0" w:line="80" w:lineRule="exact"/>
      </w:pP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Эффект обучения в банке не доказывается:</w:t>
      </w:r>
      <w:r>
        <w:rPr>
          <w:rFonts w:ascii="Arial" w:cs="Arial" w:eastAsia="Arial" w:hAnsi="Arial"/>
          <w:sz w:val="19"/>
          <w:szCs w:val="19"/>
        </w:rPr>
        <w:t xml:space="preserve"> поток мал, и при 30 участниках на группу различима только разница от ≈ 36 п.п. (α = 0,05, мощность 80%). Сравнение с концепцией А (тот же кейс и разбор, но без последствий) проводим отдельно, на учебных потоках вузов с циклом в семестр; если разницы нет, переходим к концепции А. Развёртывание в контуре банка ещё не релиз (SE-02, сл. 66): модуль открываем одному потоку, наблюдаем, затем решаем о расширении. Ответственные после релиза (предложение): Ольга Федорова — содержание и разборы, Роман Салимгареев — платформа и данные, Мария Прегер — партнёр и решения на воротах, Софа Ибрагимова — исследование.</w:t>
      </w:r>
    </w:p>
    <w:p>
      <w:pPr>
        <w:pStyle w:val="Heading1"/>
        <w:keepNext/>
        <w:spacing w:before="26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Конкуренты и рынок</w:t>
      </w:r>
    </w:p>
    <w:p>
      <w:pPr>
        <w:spacing w:after="70" w:line="245"/>
        <w:jc w:val="both"/>
      </w:pPr>
      <w:r>
        <w:rPr>
          <w:rFonts w:ascii="Arial" w:cs="Arial" w:eastAsia="Arial" w:hAnsi="Arial"/>
          <w:sz w:val="19"/>
          <w:szCs w:val="19"/>
        </w:rPr>
        <w:t xml:space="preserve">Данные собраны 23.10.2026 по открытым источникам; коды [S…] ведут к списку в разделе «Источники». Пометка «вывод» означает нашу интерпретацию, «расчёт» — оценку с допущениями.</w:t>
      </w:r>
    </w:p>
    <w:p>
      <w:pPr>
        <w:spacing w:after="1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Таблица сравнения аналогов — в приложении 1.</w:t>
      </w: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Где ниши нет.</w:t>
      </w:r>
      <w:r>
        <w:rPr>
          <w:rFonts w:ascii="Arial" w:cs="Arial" w:eastAsia="Arial" w:hAnsi="Arial"/>
          <w:sz w:val="19"/>
          <w:szCs w:val="19"/>
        </w:rPr>
        <w:t xml:space="preserve"> Симулятор для продакта уже продаёт GoPractice: с 2018 года больше 20 000 учеников, среди логотипов клиентов Т-Банк [S3]. Модель «кандидату бесплатно, платит работодатель» есть у Forage, программ на Changellenge и школ банков [S17, S24, S27, S32], ИИ-разбор по чек-листу экспертов банка — у ОТП [S27].</w:t>
      </w: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Где ниша есть.</w:t>
      </w:r>
      <w:r>
        <w:rPr>
          <w:rFonts w:ascii="Arial" w:cs="Arial" w:eastAsia="Arial" w:hAnsi="Arial"/>
          <w:sz w:val="19"/>
          <w:szCs w:val="19"/>
        </w:rPr>
        <w:t xml:space="preserve"> По найденному не занята только связка трёх элементов: последствия и обязательства переносятся между эпизодами; эффект решения отделён от внешнего события; эксперт получает карточку с обоснованием и правом поставить «недостаточно данных» вместо балла. Каждый элемент легко скопировать, поэтому нишу защищают только качество проверенных ключей и ранние договорённости с банками (вывод).</w:t>
      </w: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Главные конкуренты.</w:t>
      </w:r>
      <w:r>
        <w:rPr>
          <w:rFonts w:ascii="Arial" w:cs="Arial" w:eastAsia="Arial" w:hAnsi="Arial"/>
          <w:sz w:val="19"/>
          <w:szCs w:val="19"/>
        </w:rPr>
        <w:t xml:space="preserve"> GoPractice — главный риск по продукту (вывод). Changellenge — главный конкурент за бюджет банков и возможный канал: работает с 2007 года и сообщает о сотрудничестве с 85% компаний из топ-100 работодателей России [S29]. Собственные школы банков — вариант «сделать самим»: на «Мини-CEO» Т-Банка было 6 000 заявок на 8 мест [S15].</w:t>
      </w: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Рынок.</w:t>
      </w:r>
      <w:r>
        <w:rPr>
          <w:rFonts w:ascii="Arial" w:cs="Arial" w:eastAsia="Arial" w:hAnsi="Arial"/>
          <w:sz w:val="19"/>
          <w:szCs w:val="19"/>
        </w:rPr>
        <w:t xml:space="preserve"> Выручка топ-100 EdTech-компаний России за 2025 год — 154 млрд ₽, рост 12% [S43], доля дополнительного профессионального образования — 34% [S44]. Средний бюджет корпоративного университета в 2025 году — 524,5 млн ₽ после 544,6 млн ₽ годом раньше [S47]. 23.10.2026 на hh.ru в роли «Менеджер продукта» было 1 510 вакансий, из них без опыта 99, то есть 6,6% [S48]: вход в профессию узкий, и это довод за спрос кандидатов на доказуемую практику, но пока гипотеза. В России 300 банков, из них 12 системно значимых [S51, S52].</w:t>
      </w: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Объём рынка (расчёт с допущениями).</w:t>
      </w:r>
      <w:r>
        <w:rPr>
          <w:rFonts w:ascii="Arial" w:cs="Arial" w:eastAsia="Arial" w:hAnsi="Arial"/>
          <w:sz w:val="19"/>
          <w:szCs w:val="19"/>
        </w:rPr>
        <w:t xml:space="preserve"> Организации × участники в год × цена: 20 банков и финтех-компаний × 300 участников × 30 000 ₽ дают SAM ≈ 180 млн ₽; с техкомпаниями TAM ≈ 360 млн ₽; проверка от потока вакансий даёт TAM ≈ 616 млн ₽ и SAM ≈ 75 млн ₽. Итог: TAM порядка 0,4–0,6 млрд ₽ в год, SAM — 0,08–0,18 млрд ₽. Цена 30 000 ₽ — B2C-цена GoPractice со скидкой за объём 50–60%, как у Reforge [S5, S35]; это самое слабое допущение. Ниша узкая, расширять её можно ролями и отраслями.</w:t>
      </w:r>
    </w:p>
    <w:p>
      <w:pPr>
        <w:pStyle w:val="Heading1"/>
        <w:keepNext/>
        <w:spacing w:before="26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Дорожная карта</w:t>
      </w:r>
    </w:p>
    <w:p>
      <w:pPr>
        <w:spacing w:after="70" w:line="245"/>
        <w:jc w:val="both"/>
      </w:pPr>
      <w:r>
        <w:rPr>
          <w:rFonts w:ascii="Arial" w:cs="Arial" w:eastAsia="Arial" w:hAnsi="Arial"/>
          <w:sz w:val="19"/>
          <w:szCs w:val="19"/>
        </w:rPr>
        <w:t xml:space="preserve">ISPMA различает roadmapping — серию релизов на горизонте одного–пяти лет — и release planning — состав ближайшего релиза (ISPMA, 2022, Foundation, §3.4–3.5). Карта ниже разделяет обязательства, гипотезы и направление и называет, что меняет каждый уровень (SE-02, сл. 82); план с зафиксированными фичами — антипример из кейса Pearson.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2"/>
        <w:gridCol w:w="4218"/>
        <w:gridCol w:w="3746"/>
      </w:tblGrid>
      <w:tr>
        <w:trPr>
          <w:cantSplit/>
          <w:tblHeader/>
        </w:trPr>
        <w:tc>
          <w:tcPr>
            <w:tcW w:type="dxa" w:w="19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Горизонт и уровень</w:t>
            </w:r>
          </w:p>
        </w:tc>
        <w:tc>
          <w:tcPr>
            <w:tcW w:type="dxa" w:w="42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Что</w:t>
            </w:r>
          </w:p>
        </w:tc>
        <w:tc>
          <w:tcPr>
            <w:tcW w:type="dxa" w:w="3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Что изменит этот уровень</w:t>
            </w:r>
          </w:p>
        </w:tc>
      </w:tr>
      <w:tr>
        <w:trPr>
          <w:cantSplit/>
          <w:tblHeader w:val="false"/>
        </w:trPr>
        <w:tc>
          <w:tcPr>
            <w:tcW w:type="dxa" w:w="19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Сейчас: до ворот 0 (обязательства)</w:t>
            </w:r>
          </w:p>
        </w:tc>
        <w:tc>
          <w:tcPr>
            <w:tcW w:type="dxa" w:w="42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Пять прохождений вслух и разговор с банком до 28.10; слепая проверка ключа двумя практиками; часы модуля 1; затем интервью 5 + 2 и анкета; релиз R1; банк-партнёр</w:t>
            </w:r>
          </w:p>
        </w:tc>
        <w:tc>
          <w:tcPr>
            <w:tcW w:type="dxa" w:w="3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Если Г-А2 отвергнута, R1 строим под концепцию А; если практики опровергнут два правила ключа и больше, пересобираем модель эффектов; если банк не найден, пилотируем в вузовском курсе</w:t>
            </w:r>
          </w:p>
        </w:tc>
      </w:tr>
      <w:tr>
        <w:trPr>
          <w:cantSplit/>
          <w:tblHeader w:val="false"/>
        </w:trPr>
        <w:tc>
          <w:tcPr>
            <w:tcW w:type="dxa" w:w="19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Далее: пилот, ворота 1–2 (гипотезы)</w:t>
            </w:r>
          </w:p>
        </w:tc>
        <w:tc>
          <w:tcPr>
            <w:tcW w:type="dxa" w:w="42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Пилот модуля в одной карьерной программе; сравнение с концепцией А на учебных потоках вузов; ИИ-разбор К1, К5, К6 по рубрике с проверкой экспертом выборки; второй модуль «Удержание» (причина по когортам)</w:t>
            </w:r>
          </w:p>
        </w:tc>
        <w:tc>
          <w:tcPr>
            <w:tcW w:type="dxa" w:w="3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Итоги пилота по критериям ворот 2; бюджет покупателя; стоимость авторинга; доля статусов, исправленных экспертом</w:t>
            </w:r>
          </w:p>
        </w:tc>
      </w:tr>
      <w:tr>
        <w:trPr>
          <w:cantSplit/>
          <w:tblHeader w:val="false"/>
        </w:trPr>
        <w:tc>
          <w:tcPr>
            <w:tcW w:type="dxa" w:w="19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Потом: после решения о расширении (направление)</w:t>
            </w:r>
          </w:p>
        </w:tc>
        <w:tc>
          <w:tcPr>
            <w:tcW w:type="dxa" w:w="42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Модули по непокрытым элементам ISPMA (Pricing, Product Life Cycle Management, Roadmapping на длинном горизонте); редактор сценариев для автора банка; командные сценарии — только если выявится потребность в тренировке взаимодействия</w:t>
            </w:r>
          </w:p>
        </w:tc>
        <w:tc>
          <w:tcPr>
            <w:tcW w:type="dxa" w:w="3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Спрос банков, стоимость второго модуля, данные пилота</w:t>
            </w:r>
          </w:p>
        </w:tc>
      </w:tr>
    </w:tbl>
    <w:p>
      <w:pPr>
        <w:spacing w:after="0" w:line="140" w:lineRule="exact"/>
      </w:pP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План релиза R1 (release planning).</w:t>
      </w:r>
      <w:r>
        <w:rPr>
          <w:rFonts w:ascii="Arial" w:cs="Arial" w:eastAsia="Arial" w:hAnsi="Arial"/>
          <w:sz w:val="19"/>
          <w:szCs w:val="19"/>
        </w:rPr>
        <w:t xml:space="preserve"> Сервер с входом и правилом доступа; псевдонимы кандидатов и хостинг в РФ или в контуре банка; согласие с перечнем передаваемых данных, сроком хранения и правом отозвать; ротация закрытой задачи и вариация чисел между потоками; шаг сравнения эпизода и задачи на перенос («чем опрос в автоплатеже надёжнее опроса в „Целях“?»), потому что сравнение двух кейсов улучшает перенос (Gentner et al., 2003); сообщение при недоступном хранилище. ИИ-разбор и второй модуль в R1 не входят, ёмкость на R1 ещё не оценена. Расширение не обещаем только потому, что функция попала в нижнюю строку карты историй.</w:t>
      </w:r>
    </w:p>
    <w:p>
      <w:pPr>
        <w:pStyle w:val="Heading1"/>
        <w:keepNext/>
        <w:spacing w:before="26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Соответствие ISPMA SPMBoK 2.0</w:t>
      </w: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Версия.</w:t>
      </w:r>
      <w:r>
        <w:rPr>
          <w:rFonts w:ascii="Arial" w:cs="Arial" w:eastAsia="Arial" w:hAnsi="Arial"/>
          <w:sz w:val="19"/>
          <w:szCs w:val="19"/>
        </w:rPr>
        <w:t xml:space="preserve"> Действующая версия — SPMBoK 2.0 (ISPMA, 2022). Рамка — SPM Framework V.2.0: 7 столбцов и 40 элементов, поверх них слои Participation, Core и Orchestration (силлабус SPM – The Foundation V.2.1, рис. 1). Сопоставление ниже — наша интерпретация; официальной сертификации или аккредитации мы не заявляем.</w:t>
      </w:r>
    </w:p>
    <w:p>
      <w:pPr>
        <w:spacing w:after="1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Таблица сопоставления по элементам — в приложении 2.</w:t>
      </w: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Что тренируем, что контекст, что не покрыто</w:t>
      </w:r>
      <w:r>
        <w:rPr>
          <w:rFonts w:ascii="Arial" w:cs="Arial" w:eastAsia="Arial" w:hAnsi="Arial"/>
          <w:sz w:val="19"/>
          <w:szCs w:val="19"/>
        </w:rPr>
        <w:t xml:space="preserve"> (подсчёт наш, границы спорны). С разбором тренируем 5 элементов из 40: Customer Insight, Release Planning, Performance and Risk Management, Product Analysis и часть Positioning and Product Definition; частично — Product Requirements Engineering. Ещё 8 элементов присутствуют только как ограничения (комплаенс, финансы, ресурсы, маркетинг и др.). Не покрыты 26, в том числе Pricing, Product Life Cycle Management, Development и Sales and Fulfillment, а также дизайн эксперимента (силлабус Product Planning, EU4).</w:t>
      </w: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Место в обучении по ISPMA.</w:t>
      </w:r>
      <w:r>
        <w:rPr>
          <w:rFonts w:ascii="Arial" w:cs="Arial" w:eastAsia="Arial" w:hAnsi="Arial"/>
          <w:sz w:val="19"/>
          <w:szCs w:val="19"/>
        </w:rPr>
        <w:t xml:space="preserve"> Экзамены ISPMA — тесты с множественным выбором, а на упражнения на реалистичных сценариях ISPMA советует отводить около половины учебного времени (силлабус Product Planning, с. 3). «Полигон» может быть такой средой упражнений; это наш аргумент, а не позиция ISPMA.</w:t>
      </w:r>
    </w:p>
    <w:p>
      <w:pPr>
        <w:pStyle w:val="Heading1"/>
        <w:keepNext/>
        <w:spacing w:before="26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Что изменила проверка</w:t>
      </w:r>
    </w:p>
    <w:p>
      <w:pPr>
        <w:spacing w:after="70" w:line="245"/>
        <w:jc w:val="both"/>
      </w:pPr>
      <w:r>
        <w:rPr>
          <w:rFonts w:ascii="Arial" w:cs="Arial" w:eastAsia="Arial" w:hAnsi="Arial"/>
          <w:sz w:val="19"/>
          <w:szCs w:val="19"/>
        </w:rPr>
        <w:t xml:space="preserve">23.10.2026 мы провели внутреннюю проверку MVP в формате «совета директоров»: восемь ролей (инвестор, CPO, аналитик, CFO, кандидат, адвокат дьявола, покупатель из банка, преподаватель-оценщик) разыгрывали ИИ-агенты по нашему брифу. Аналитик прогнал движок по всем 121 допустимому пути. Это проверка продукта, а не наблюдения целевой аудитории, поэтому ни один её вывод не стал Н.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27"/>
        <w:gridCol w:w="5439"/>
      </w:tblGrid>
      <w:tr>
        <w:trPr>
          <w:cantSplit/>
          <w:tblHeader/>
        </w:trPr>
        <w:tc>
          <w:tcPr>
            <w:tcW w:type="dxa" w:w="4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Что было</w:t>
            </w:r>
          </w:p>
        </w:tc>
        <w:tc>
          <w:tcPr>
            <w:tcW w:type="dxa" w:w="54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Что сделано</w:t>
            </w:r>
          </w:p>
        </w:tc>
      </w:tr>
      <w:tr>
        <w:trPr>
          <w:cantSplit/>
          <w:tblHeader w:val="false"/>
        </w:trPr>
        <w:tc>
          <w:tcPr>
            <w:tcW w:type="dxa" w:w="4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«Лучшая ветка» Б+В → Е-Б + Д (55,7 / 32,9) не была лучшей; «единственно верного пути нет» верно только для эпизода 1</w:t>
            </w:r>
          </w:p>
        </w:tc>
        <w:tc>
          <w:tcPr>
            <w:tcW w:type="dxa" w:w="54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«Сильный путь» — Б+В → Д + Е-В с пушами реже (56,6 / 34,5); в разборе прямо сказано, что в эпизоде 2 доминирует Д</w:t>
            </w:r>
          </w:p>
        </w:tc>
      </w:tr>
      <w:tr>
        <w:trPr>
          <w:cantSplit/>
          <w:tblHeader w:val="false"/>
        </w:trPr>
        <w:tc>
          <w:tcPr>
            <w:tcW w:type="dxa" w:w="4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Образцовый ответ читал дашборд неверно: «общий показатель просел»</w:t>
            </w:r>
          </w:p>
        </w:tc>
        <w:tc>
          <w:tcPr>
            <w:tcW w:type="dxa" w:w="54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Текст исправлен: общий M2 вырос с 18 до 22,3%, у прежней аудитории — до 28,5%</w:t>
            </w:r>
          </w:p>
        </w:tc>
      </w:tr>
      <w:tr>
        <w:trPr>
          <w:cantSplit/>
          <w:tblHeader w:val="false"/>
        </w:trPr>
        <w:tc>
          <w:tcPr>
            <w:tcW w:type="dxa" w:w="4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Пять интервью исследования выдавали точные доли скрытой модели (37 / 27 / 18 / 18)</w:t>
            </w:r>
          </w:p>
        </w:tc>
        <w:tc>
          <w:tcPr>
            <w:tcW w:type="dxa" w:w="54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Ориентиры «≈ треть / четверть / пятая / пятая» и оговорка: пять интервью дают шаг 20%, в поддержку пишут те, у кого уже проблема</w:t>
            </w:r>
          </w:p>
        </w:tc>
      </w:tr>
      <w:tr>
        <w:trPr>
          <w:cantSplit/>
          <w:tblHeader w:val="false"/>
        </w:trPr>
        <w:tc>
          <w:tcPr>
            <w:tcW w:type="dxa" w:w="4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Разбор хвалил бессмыслицу: «воронка 9% пуш» получала «видно» по всем критериям</w:t>
            </w:r>
          </w:p>
        </w:tc>
        <w:tc>
          <w:tcPr>
            <w:tcW w:type="dxa" w:w="54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Ссылки на источники не считаются своими словами, короткое обоснование даёт «частично», данные, названные «неважными», — «не видно»; на каждый случай есть тест, всего тестов 15</w:t>
            </w:r>
          </w:p>
        </w:tc>
      </w:tr>
    </w:tbl>
    <w:p>
      <w:pPr>
        <w:spacing w:after="0" w:line="140" w:lineRule="exact"/>
      </w:pPr>
    </w:p>
    <w:p>
      <w:pPr>
        <w:spacing w:after="70" w:line="245"/>
        <w:jc w:val="both"/>
      </w:pPr>
      <w:r>
        <w:rPr>
          <w:rFonts w:ascii="Arial" w:cs="Arial" w:eastAsia="Arial" w:hAnsi="Arial"/>
          <w:sz w:val="19"/>
          <w:szCs w:val="19"/>
        </w:rPr>
        <w:t xml:space="preserve">Кроме ошибок, проверка нашла пробел в дизайне: самостоятельная задача мерила К1, К2, К3, К6, а ключевой навык (К4, К5) оставался в тренировке, которую эксперт не видит. Добавлены шаг «месяц спустя» и сводка по потоку. Исправлена и наша ошибка в отчёте: «своя идея» не уходит эксперту, а остаётся в разборе как альтернатива. Мелкие правки: главная не раскрывает разгадку, реплики и уроки разбора берут цифры с экрана, на телефоне нет горизонтальной прокрутки.</w:t>
      </w: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Что осталось.</w:t>
      </w:r>
      <w:r>
        <w:rPr>
          <w:rFonts w:ascii="Arial" w:cs="Arial" w:eastAsia="Arial" w:hAnsi="Arial"/>
          <w:sz w:val="19"/>
          <w:szCs w:val="19"/>
        </w:rPr>
        <w:t xml:space="preserve"> Наблюдений целевой аудитории нет: пять прохождений и разговор с банком запланированы до 28.10. Ключ автора практики не проверяли. Часы авторинга модуля 1 не восстановлены: [вписать факт: N ч]. Позиционирование сменилось со «школы» на этап перед интервью, но бюджет покупателя пока остаётся двумя гипотезами.</w:t>
      </w:r>
    </w:p>
    <w:p>
      <w:pPr>
        <w:pStyle w:val="Heading1"/>
        <w:keepNext/>
        <w:spacing w:before="26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Распределение работы</w:t>
      </w:r>
    </w:p>
    <w:p>
      <w:pPr>
        <w:spacing w:after="70" w:line="245"/>
        <w:jc w:val="both"/>
      </w:pPr>
      <w:r>
        <w:rPr>
          <w:rFonts w:ascii="Arial" w:cs="Arial" w:eastAsia="Arial" w:hAnsi="Arial"/>
          <w:sz w:val="19"/>
          <w:szCs w:val="19"/>
        </w:rPr>
        <w:t xml:space="preserve">Распределение предварительное — команда подтверждает.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44"/>
        <w:gridCol w:w="6622"/>
      </w:tblGrid>
      <w:tr>
        <w:trPr>
          <w:cantSplit/>
          <w:tblHeader/>
        </w:trPr>
        <w:tc>
          <w:tcPr>
            <w:tcW w:type="dxa" w:w="3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Участник</w:t>
            </w:r>
          </w:p>
        </w:tc>
        <w:tc>
          <w:tcPr>
            <w:tcW w:type="dxa" w:w="66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Вклад</w:t>
            </w:r>
          </w:p>
        </w:tc>
      </w:tr>
      <w:tr>
        <w:trPr>
          <w:cantSplit/>
          <w:tblHeader w:val="false"/>
        </w:trPr>
        <w:tc>
          <w:tcPr>
            <w:tcW w:type="dxa" w:w="3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Ольга Федорова</w:t>
            </w:r>
          </w:p>
        </w:tc>
        <w:tc>
          <w:tcPr>
            <w:tcW w:type="dxa" w:w="66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Идея симуляции и механика учебного мира; Н1, Н2</w:t>
            </w:r>
          </w:p>
        </w:tc>
      </w:tr>
      <w:tr>
        <w:trPr>
          <w:cantSplit/>
          <w:tblHeader w:val="false"/>
        </w:trPr>
        <w:tc>
          <w:tcPr>
            <w:tcW w:type="dxa" w:w="3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Софа Ибрагимова</w:t>
            </w:r>
          </w:p>
        </w:tc>
        <w:tc>
          <w:tcPr>
            <w:tcW w:type="dxa" w:w="66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Концепция v1.1: персоны, карты эмпатии, истории; Н3, Н4; идея анкеты стажёров</w:t>
            </w:r>
          </w:p>
        </w:tc>
      </w:tr>
      <w:tr>
        <w:trPr>
          <w:cantSplit/>
          <w:tblHeader w:val="false"/>
        </w:trPr>
        <w:tc>
          <w:tcPr>
            <w:tcW w:type="dxa" w:w="3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Мария Прегер</w:t>
            </w:r>
          </w:p>
        </w:tc>
        <w:tc>
          <w:tcPr>
            <w:tcW w:type="dxa" w:w="66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Организация, рамка задания и фреймворки, выбор аудитории, презентация; Н5</w:t>
            </w:r>
          </w:p>
        </w:tc>
      </w:tr>
      <w:tr>
        <w:trPr>
          <w:cantSplit/>
          <w:tblHeader w:val="false"/>
        </w:trPr>
        <w:tc>
          <w:tcPr>
            <w:tcW w:type="dxa" w:w="3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Роман Салимгареев</w:t>
            </w:r>
          </w:p>
        </w:tc>
        <w:tc>
          <w:tcPr>
            <w:tcW w:type="dxa" w:w="66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Платформа MVP, сценарий «Накопления на цель», движок симуляции, автотесты</w:t>
            </w:r>
          </w:p>
        </w:tc>
      </w:tr>
    </w:tbl>
    <w:p>
      <w:pPr>
        <w:spacing w:after="0" w:line="140" w:lineRule="exact"/>
      </w:pPr>
    </w:p>
    <w:p>
      <w:r>
        <w:br w:type="page"/>
      </w:r>
    </w:p>
    <w:p>
      <w:pPr>
        <w:pStyle w:val="Heading1"/>
        <w:keepNext/>
        <w:spacing w:before="26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Приложение 1. Сравнение аналогов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60"/>
        <w:gridCol w:w="2507"/>
        <w:gridCol w:w="1890"/>
        <w:gridCol w:w="2146"/>
        <w:gridCol w:w="1663"/>
      </w:tblGrid>
      <w:tr>
        <w:trPr>
          <w:cantSplit/>
          <w:tblHeader/>
        </w:trPr>
        <w:tc>
          <w:tcPr>
            <w:tcW w:type="dxa" w:w="1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Аналог</w:t>
            </w:r>
          </w:p>
        </w:tc>
        <w:tc>
          <w:tcPr>
            <w:tcW w:type="dxa" w:w="25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Последствия копятся между эпизодами</w:t>
            </w:r>
          </w:p>
        </w:tc>
        <w:tc>
          <w:tcPr>
            <w:tcW w:type="dxa" w:w="1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Разбор решений</w:t>
            </w:r>
          </w:p>
        </w:tc>
        <w:tc>
          <w:tcPr>
            <w:tcW w:type="dxa" w:w="2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Кто платит, связь с наймом</w:t>
            </w:r>
          </w:p>
        </w:tc>
        <w:tc>
          <w:tcPr>
            <w:tcW w:type="dxa" w:w="16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Финтех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GoPractice, симулятор продакта</w:t>
            </w:r>
          </w:p>
        </w:tc>
        <w:tc>
          <w:tcPr>
            <w:tcW w:type="dxa" w:w="25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Частично: сквозной сюжет, данные меняются по ходу истории; ветвление от решений не подтверждено, обзор 2018 года описывает линейный сюжет [S2, S7]</w:t>
            </w:r>
          </w:p>
        </w:tc>
        <w:tc>
          <w:tcPr>
            <w:tcW w:type="dxa" w:w="1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Частично: большинство заданий проверяется автоматически, к другим даны эталоны [S2]</w:t>
            </w:r>
          </w:p>
        </w:tc>
        <w:tc>
          <w:tcPr>
            <w:tcW w:type="dxa" w:w="2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B2C, 71 900 ₽ за 2 месяца на Хабр Карьере [S5]; B2B для обучения своих сотрудников, связи с наймом нет [S3]</w:t>
            </w:r>
          </w:p>
        </w:tc>
        <w:tc>
          <w:tcPr>
            <w:tcW w:type="dxa" w:w="16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Нет: вымышленный мессенджер [S2]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ОТП Банк, «Примерь роль» на Changellenge</w:t>
            </w:r>
          </w:p>
        </w:tc>
        <w:tc>
          <w:tcPr>
            <w:tcW w:type="dxa" w:w="25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Нет: мини-игры с мгновенными последствиями, около 6 минут [S27]</w:t>
            </w:r>
          </w:p>
        </w:tc>
        <w:tc>
          <w:tcPr>
            <w:tcW w:type="dxa" w:w="1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Да: нейросеть по чек-листу экспертов банка [S27]</w:t>
            </w:r>
          </w:p>
        </w:tc>
        <w:tc>
          <w:tcPr>
            <w:tcW w:type="dxa" w:w="2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Банк (вывод); ссылка на вакансию [S27]</w:t>
            </w:r>
          </w:p>
        </w:tc>
        <w:tc>
          <w:tcPr>
            <w:tcW w:type="dxa" w:w="16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Да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Альфа-Банк, онлайн-практика на Changellenge</w:t>
            </w:r>
          </w:p>
        </w:tc>
        <w:tc>
          <w:tcPr>
            <w:tcW w:type="dxa" w:w="25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Нет данных: кейсы, 21 день [S24]</w:t>
            </w:r>
          </w:p>
        </w:tc>
        <w:tc>
          <w:tcPr>
            <w:tcW w:type="dxa" w:w="1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Нет данных</w:t>
            </w:r>
          </w:p>
        </w:tc>
        <w:tc>
          <w:tcPr>
            <w:tcW w:type="dxa" w:w="2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Банк (вывод: цена для студента не указана); сертификат и зачёт практики [S24]</w:t>
            </w:r>
          </w:p>
        </w:tc>
        <w:tc>
          <w:tcPr>
            <w:tcW w:type="dxa" w:w="16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Да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Forage</w:t>
            </w:r>
          </w:p>
        </w:tc>
        <w:tc>
          <w:tcPr>
            <w:tcW w:type="dxa" w:w="25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Нет: отдельные короткие задания [S33]</w:t>
            </w:r>
          </w:p>
        </w:tc>
        <w:tc>
          <w:tcPr>
            <w:tcW w:type="dxa" w:w="1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Нет данных</w:t>
            </w:r>
          </w:p>
        </w:tc>
        <w:tc>
          <w:tcPr>
            <w:tcW w:type="dxa" w:w="2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Работодатель; студенту бесплатно; профиль виден работодателю [S32]</w:t>
            </w:r>
          </w:p>
        </w:tc>
        <w:tc>
          <w:tcPr>
            <w:tcW w:type="dxa" w:w="16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Частично: банковские симуляции есть, продуктового трека не нашли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Собственные программы банков: Т-Банк «Мини-CEO», ВТБ × ВШМ СПбГУ</w:t>
            </w:r>
          </w:p>
        </w:tc>
        <w:tc>
          <w:tcPr>
            <w:tcW w:type="dxa" w:w="25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Нет: реальные проекты [S15, S23]</w:t>
            </w:r>
          </w:p>
        </w:tc>
        <w:tc>
          <w:tcPr>
            <w:tcW w:type="dxa" w:w="1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Да: наставник, трекеры, жюри [S16, S23]</w:t>
            </w:r>
          </w:p>
        </w:tc>
        <w:tc>
          <w:tcPr>
            <w:tcW w:type="dxa" w:w="2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Банк; стажировка или найм [S15, S23]</w:t>
            </w:r>
          </w:p>
        </w:tc>
        <w:tc>
          <w:tcPr>
            <w:tcW w:type="dxa" w:w="16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Да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«Школа 21», «Менеджер продукта»</w:t>
            </w:r>
          </w:p>
        </w:tc>
        <w:tc>
          <w:tcPr>
            <w:tcW w:type="dxa" w:w="25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Нет: проекты, уровни, внутренняя валюта [S17]</w:t>
            </w:r>
          </w:p>
        </w:tc>
        <w:tc>
          <w:tcPr>
            <w:tcW w:type="dxa" w:w="1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Частично: взаимные проверки [S17]</w:t>
            </w:r>
          </w:p>
        </w:tc>
        <w:tc>
          <w:tcPr>
            <w:tcW w:type="dxa" w:w="2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Бесплатно; обязательная стажировка [S17]</w:t>
            </w:r>
          </w:p>
        </w:tc>
        <w:tc>
          <w:tcPr>
            <w:tcW w:type="dxa" w:w="16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Нет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Курсы PM (Яндекс Практикум, Skillbox и др.)</w:t>
            </w:r>
          </w:p>
        </w:tc>
        <w:tc>
          <w:tcPr>
            <w:tcW w:type="dxa" w:w="25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Нет: тренажёры и проекты [S39, S41]</w:t>
            </w:r>
          </w:p>
        </w:tc>
        <w:tc>
          <w:tcPr>
            <w:tcW w:type="dxa" w:w="1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Частично: ревью проектов [S39]</w:t>
            </w:r>
          </w:p>
        </w:tc>
        <w:tc>
          <w:tcPr>
            <w:tcW w:type="dxa" w:w="2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B2C, 125–155 тыс. ₽ за 8–12 месяцев по подборке [S8]</w:t>
            </w:r>
          </w:p>
        </w:tc>
        <w:tc>
          <w:tcPr>
            <w:tcW w:type="dxa" w:w="16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Нет</w:t>
            </w:r>
          </w:p>
        </w:tc>
      </w:tr>
    </w:tbl>
    <w:p>
      <w:pPr>
        <w:pStyle w:val="Heading1"/>
        <w:keepNext/>
        <w:spacing w:before="26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Приложение 2. Сопоставление элементов «Полигона» с SPM Framework V.2.0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7"/>
        <w:gridCol w:w="3557"/>
        <w:gridCol w:w="2571"/>
        <w:gridCol w:w="1231"/>
      </w:tblGrid>
      <w:tr>
        <w:trPr>
          <w:cantSplit/>
          <w:tblHeader/>
        </w:trPr>
        <w:tc>
          <w:tcPr>
            <w:tcW w:type="dxa" w:w="25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Элемент «Полигона»</w:t>
            </w:r>
          </w:p>
        </w:tc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Элемент SPM Framework V.2.0</w:t>
            </w:r>
          </w:p>
        </w:tc>
        <w:tc>
          <w:tcPr>
            <w:tcW w:type="dxa" w:w="25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Что тренируем</w:t>
            </w:r>
          </w:p>
        </w:tc>
        <w:tc>
          <w:tcPr>
            <w:tcW w:type="dxa" w:w="12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Критерий</w:t>
            </w:r>
          </w:p>
        </w:tc>
      </w:tr>
      <w:tr>
        <w:trPr>
          <w:cantSplit/>
          <w:tblHeader w:val="false"/>
        </w:trPr>
        <w:tc>
          <w:tcPr>
            <w:tcW w:type="dxa" w:w="25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Досье: воронка, обращения, опрос с откликом 9%, отзывы, отметки «неизвестно»</w:t>
            </w:r>
          </w:p>
        </w:tc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Product Planning → Customer Insight; Strategic Management → Product Analysis</w:t>
            </w:r>
          </w:p>
        </w:tc>
        <w:tc>
          <w:tcPr>
            <w:tcW w:type="dxa" w:w="25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Совмещать поведенческие данные и прямой контакт, оценивать надёжность источника</w:t>
            </w:r>
          </w:p>
        </w:tc>
        <w:tc>
          <w:tcPr>
            <w:tcW w:type="dxa" w:w="12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К1</w:t>
            </w:r>
          </w:p>
        </w:tc>
      </w:tr>
      <w:tr>
        <w:trPr>
          <w:cantSplit/>
          <w:tblHeader w:val="false"/>
        </w:trPr>
        <w:tc>
          <w:tcPr>
            <w:tcW w:type="dxa" w:w="25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Выбор проблемы и сегмента</w:t>
            </w:r>
          </w:p>
        </w:tc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Product Strategy → Positioning and Product Definition (сегмент и ценностное предложение)</w:t>
            </w:r>
          </w:p>
        </w:tc>
        <w:tc>
          <w:tcPr>
            <w:tcW w:type="dxa" w:w="25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Привязывать действие к причине конкретного сегмента</w:t>
            </w:r>
          </w:p>
        </w:tc>
        <w:tc>
          <w:tcPr>
            <w:tcW w:type="dxa" w:w="12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К2</w:t>
            </w:r>
          </w:p>
        </w:tc>
      </w:tr>
      <w:tr>
        <w:trPr>
          <w:cantSplit/>
          <w:tblHeader w:val="false"/>
        </w:trPr>
        <w:tc>
          <w:tcPr>
            <w:tcW w:type="dxa" w:w="25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Инициативы в пределах 10 очков; во втором эпизоде ёмкость минус обязательства</w:t>
            </w:r>
          </w:p>
        </w:tc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Product Planning → Release Planning</w:t>
            </w:r>
          </w:p>
        </w:tc>
        <w:tc>
          <w:tcPr>
            <w:tcW w:type="dxa" w:w="25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Выбирать состав релиза при ограниченной ёмкости</w:t>
            </w:r>
          </w:p>
        </w:tc>
        <w:tc>
          <w:tcPr>
            <w:tcW w:type="dxa" w:w="12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К6</w:t>
            </w:r>
          </w:p>
        </w:tc>
      </w:tr>
      <w:tr>
        <w:trPr>
          <w:cantSplit/>
          <w:tblHeader w:val="false"/>
        </w:trPr>
        <w:tc>
          <w:tcPr>
            <w:tcW w:type="dxa" w:w="25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Ожидание: метрика, направление, величина, срок</w:t>
            </w:r>
          </w:p>
        </w:tc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Product Strategy → Performance and Risk Management</w:t>
            </w:r>
          </w:p>
        </w:tc>
        <w:tc>
          <w:tcPr>
            <w:tcW w:type="dxa" w:w="25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Формулировать проверяемую гипотезу</w:t>
            </w:r>
          </w:p>
        </w:tc>
        <w:tc>
          <w:tcPr>
            <w:tcW w:type="dxa" w:w="12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К3</w:t>
            </w:r>
          </w:p>
        </w:tc>
      </w:tr>
      <w:tr>
        <w:trPr>
          <w:cantSplit/>
          <w:tblHeader w:val="false"/>
        </w:trPr>
        <w:tc>
          <w:tcPr>
            <w:tcW w:type="dxa" w:w="25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Срез «прежняя / новая аудитория»</w:t>
            </w:r>
          </w:p>
        </w:tc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Product Analysis; Performance and Risk Management (когорты, actionable-метрики)</w:t>
            </w:r>
          </w:p>
        </w:tc>
        <w:tc>
          <w:tcPr>
            <w:tcW w:type="dxa" w:w="25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Не делать выводов по смешанному дашборду</w:t>
            </w:r>
          </w:p>
        </w:tc>
        <w:tc>
          <w:tcPr>
            <w:tcW w:type="dxa" w:w="12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К4</w:t>
            </w:r>
          </w:p>
        </w:tc>
      </w:tr>
      <w:tr>
        <w:trPr>
          <w:cantSplit/>
          <w:tblHeader w:val="false"/>
        </w:trPr>
        <w:tc>
          <w:tcPr>
            <w:tcW w:type="dxa" w:w="25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Пересмотр рядом с решением 1</w:t>
            </w:r>
          </w:p>
        </w:tc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Release Planning, шаг рефлексии по результатам; Roadmapping лишь частично: у нас два спринта, а не 1–5 лет</w:t>
            </w:r>
          </w:p>
        </w:tc>
        <w:tc>
          <w:tcPr>
            <w:tcW w:type="dxa" w:w="25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Пересматривать решение со ссылкой на итог</w:t>
            </w:r>
          </w:p>
        </w:tc>
        <w:tc>
          <w:tcPr>
            <w:tcW w:type="dxa" w:w="12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К5</w:t>
            </w:r>
          </w:p>
        </w:tc>
      </w:tr>
      <w:tr>
        <w:trPr>
          <w:cantSplit/>
          <w:tblHeader w:val="false"/>
        </w:trPr>
        <w:tc>
          <w:tcPr>
            <w:tcW w:type="dxa" w:w="25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Содержание инициатив В и Д</w:t>
            </w:r>
          </w:p>
        </w:tc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Product Requirements Engineering, частично: участник выбирает готовую формулировку</w:t>
            </w:r>
          </w:p>
        </w:tc>
        <w:tc>
          <w:tcPr>
            <w:tcW w:type="dxa" w:w="25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Переводить жалобы в требования</w:t>
            </w:r>
          </w:p>
        </w:tc>
        <w:tc>
          <w:tcPr>
            <w:tcW w:type="dxa" w:w="12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5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Лимит пушей, комплаенс бонусов, расходы на баллы, внешнее партнёрство</w:t>
            </w:r>
          </w:p>
        </w:tc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Контекст: Operational Marketing, Compliance Management, Financial Management, Resource Management, Market Analysis, Ecosystem Management, Technical Support</w:t>
            </w:r>
          </w:p>
        </w:tc>
        <w:tc>
          <w:tcPr>
            <w:tcW w:type="dxa" w:w="25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Видеть ограничения других функций</w:t>
            </w:r>
          </w:p>
        </w:tc>
        <w:tc>
          <w:tcPr>
            <w:tcW w:type="dxa" w:w="12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К6</w:t>
            </w:r>
          </w:p>
        </w:tc>
      </w:tr>
      <w:tr>
        <w:trPr>
          <w:cantSplit/>
          <w:tblHeader w:val="false"/>
        </w:trPr>
        <w:tc>
          <w:tcPr>
            <w:tcW w:type="dxa" w:w="25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Задача на перенос «Автоплатёж» с шагом «месяц спустя»</w:t>
            </w:r>
          </w:p>
        </w:tc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Customer Insight, Release Planning, Product Analysis, Performance and Risk Management</w:t>
            </w:r>
          </w:p>
        </w:tc>
        <w:tc>
          <w:tcPr>
            <w:tcW w:type="dxa" w:w="25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Перенести принцип на другой продукт и отделить эффект решения от внешнего события</w:t>
            </w:r>
          </w:p>
        </w:tc>
        <w:tc>
          <w:tcPr>
            <w:tcW w:type="dxa" w:w="12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К1–К6</w:t>
            </w:r>
          </w:p>
        </w:tc>
      </w:tr>
    </w:tbl>
    <w:p>
      <w:pPr>
        <w:pStyle w:val="Heading1"/>
        <w:keepNext/>
        <w:spacing w:before="26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Приложение 3. Источники</w:t>
      </w: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Материалы курса.</w:t>
      </w:r>
      <w:r>
        <w:rPr>
          <w:rFonts w:ascii="Arial" w:cs="Arial" w:eastAsia="Arial" w:hAnsi="Arial"/>
          <w:sz w:val="19"/>
          <w:szCs w:val="19"/>
        </w:rPr>
        <w:t xml:space="preserve"> Салтан А. Слайды занятий SE-01 — SE-04 «Основы инженерии цифровых продуктов», ВШЭ СПб, 2026. Слайд задания «Групповой проект», 17.09.2026, сл. 7. Канва «Продукт для обучения продуктовому менеджменту», блоки 01–10 (выгрузка Miro, 9 с.). Кейс: Pearson's SuccessMaker: Putting the Customer First in Transforming Product Development Processes. Ivey Publishing, 2012, W11744.</w:t>
      </w: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Продуктовый менеджмент.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Sommerville I. Engineering Software Products: An Introduction to Modern Software Engineering. Pearson, 2020.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ISPMA. SPM – The Foundation, Syllabus V.2.1, 2022. https://ispma.org/wp-content/uploads/2022/11/ISPMA-SPM-Foundation-Syllabus-V.2.1_Student.pdf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ISPMA. SPM Excellence in Product Planning, Syllabus V.2.0, 2022. https://ispma.org/wp-content/uploads/2022/11/ISPMA-SPM-Excellence-in-Product-Planning-Syllabus-V2.0-Student-Edition.pdf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ISPMA. Body of Knowledge; Resources. https://ispma.org/bok/ ; https://ispma.org/resources/ (просмотрено 23.10.2026).</w:t>
      </w:r>
    </w:p>
    <w:p>
      <w:pPr>
        <w:spacing w:after="0" w:line="80" w:lineRule="exact"/>
      </w:pP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Обучение, обратная связь, оценка.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Baker R. S. et al. (2004). Off-task behavior in the cognitive tutor classroom: When students "game the system". CHI 2004, 383–390. https://doi.org/10.1145/985692.985741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Campbell D. T. (1979). Assessing the impact of planned social change. Evaluation and Program Planning, 2(1), 67–90. https://doi.org/10.1016/0149-7189(79)90048-X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Chernikova O. et al. (2020). Simulation-based learning in higher education: A meta-analysis. Review of Educational Research, 90(4), 499–541. https://doi.org/10.3102/0034654320933544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Gentner D., Loewenstein J., Thompson L. (2003). Learning and transfer: A general role for analogical encoding. Journal of Educational Psychology, 95(2), 393–408. https://doi.org/10.1037/0022-0663.95.2.393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Kirschner P. A., Sweller J., Clark R. E. (2006). Why minimal guidance during instruction does not work. Educational Psychologist, 41(2), 75–86. https://doi.org/10.1207/s15326985ep4102_1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Kluger A. N., DeNisi A. (1996). The effects of feedback interventions on performance. Psychological Bulletin, 119(2), 254–284. https://doi.org/10.1037/0033-2909.119.2.254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Sitzmann T. (2011). A meta-analytic examination of the instructional effectiveness of computer-based simulation games. Personnel Psychology, 64(2), 489–528. https://doi.org/10.1111/j.1744-6570.2011.01190.x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Sterman J. D. (1989). Modeling managerial behavior: Misperceptions of feedback in a dynamic decision making experiment. Management Science, 35(3), 321–339. https://doi.org/10.1287/mnsc.35.3.321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Tannenbaum S. I., Cerasoli C. P. (2013). Do team and individual debriefs enhance performance? Human Factors, 55(1), 231–245. https://doi.org/10.1177/0018720812448394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Wisniewski B., Zierer K., Hattie J. (2020). The power of feedback revisited. Frontiers in Psychology, 10, 3087. https://doi.org/10.3389/fpsyg.2019.03087</w:t>
      </w:r>
    </w:p>
    <w:p>
      <w:pPr>
        <w:spacing w:after="0" w:line="80" w:lineRule="exact"/>
      </w:pP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Право.</w:t>
      </w:r>
      <w:r>
        <w:rPr>
          <w:rFonts w:ascii="Arial" w:cs="Arial" w:eastAsia="Arial" w:hAnsi="Arial"/>
          <w:sz w:val="19"/>
          <w:szCs w:val="19"/>
        </w:rPr>
        <w:t xml:space="preserve"> Федеральный закон от 27.07.2006 № 152-ФЗ «О персональных данных», ст. 16.</w:t>
      </w:r>
    </w:p>
    <w:p>
      <w:pPr>
        <w:spacing w:after="70" w:line="24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Рынок и конкуренты</w:t>
      </w:r>
      <w:r>
        <w:rPr>
          <w:rFonts w:ascii="Arial" w:cs="Arial" w:eastAsia="Arial" w:hAnsi="Arial"/>
          <w:sz w:val="19"/>
          <w:szCs w:val="19"/>
        </w:rPr>
        <w:t xml:space="preserve"> (обращение 23.10.2026; [В] — вторичный источник, цифра не сверена с первоисточником).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[S2] GoPractice, симулятор управления продуктом. https://gopractice.ru/course/pm/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[S3] GoPractice, «Корпоративным клиентам». https://gopractice.ru/corporate/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[S5] Хабр Карьера, каталог GoPractice [В]. https://career.habr.com/courses/education_centers/246-gopractice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[S7] vc.ru, обзор «Симулятора Go Practice», 27.11.2018 [В]. https://vc.ru/promo/51823-go-practice-review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[S8] Хабр, подборка курсов продакт-менеджера, 30.03.2026 [В]. https://habr.com/ru/articles/1011414/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[S15] Хабр, «Мини-CEO» Т-Банка [В]. https://habr.com/ru/articles/991312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[S16] Kod.ru, «Мини-CEO» Т-Банка, 01.07.2025 [В]. https://kod.ru/mini-ceo-programma-razvitiya-ot-t-banka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[S17] «Школа 21». https://21-school.ru/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[S23] Kod.ru, интенсив ВТБ Онлайн × ВШМ СПбГУ, 22.05.2026 [В]. https://kod.ru/intensiv-produktovyy-menedzhment-vtb-online-vshm-spbgu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[S24] Changellenge, онлайн-практика Альфа-Банка. https://changellenge.com/event/onlayn-praktika-ot-alfa-bank/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[S27] Changellenge, «Примерь роль сотрудника ОТП Банка». https://changellenge.com/career-games/primer-rol-sotrudnika-otp-bank/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[S29] Changellenge. https://changellenge.com/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[S30] Changellenge Digital. https://changellenge.com/digital/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[S32] Forage, About. https://www.theforage.com/about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[S33] Forage, блог о коротких симуляциях (страница не открывалась). https://www.theforage.com/blog/careers/short-job-simulations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[S35] Reforge, Pricing. https://www.reforge.com/pricing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[S39] Яндекс Практикум, «Продакт-менеджмент для специалистов с опытом». https://practicum.yandex.ru/product-manager/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[S41] Skillbox, «Профессия Продакт-менеджер». https://skillbox.ru/course/product-management/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[S43] Sostav, итоги EdTech 2025 (Smart Ranking), 03.02.2026 [В]. https://www.sostav.ru/publication/tempy-rosta-vyruchki-krupnejshikh-rossijskikh-edtech-kompanij-prodolzhayut-zamedlyatsya-81431.html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[S44] Skillbox Media, «В 2025 году российский EdTech вырос всего на 12%», 06.02.2026 [В]. https://skillbox.ru/media/edtech/v-2025-godu-rossiyskiy-edtech-vyros-vsego-na-12/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[S47] «Коммерсантъ», исследование корпоративных университетов ВШБ ВШЭ, 27.04.2026 [В]. https://www.kommersant.ru/doc/8623499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[S48] hh.ru, поиск вакансий, роль «Менеджер продукта», снимок 23.10.2026. https://hh.ru/search/vacancy?professional_role=73&amp;area=113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[S51] Банк России, количественные характеристики банковского сектора, на 01.10.2026. https://cbr.ru/statistics/bank_sector/lic/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[S52] Банк России, перечень системно значимых кредитных организаций, 07.10.2026. https://cbr.ru/banking_sector/credit/SystemBanks.html</w:t>
      </w:r>
    </w:p>
    <w:p>
      <w:pPr>
        <w:spacing w:after="0" w:line="80" w:lineRule="exact"/>
      </w:pPr>
    </w:p>
    <w:sectPr>
      <w:headerReference w:type="default" r:id="rId6"/>
      <w:footerReference w:type="default" r:id="rId7"/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7F7F"/>
        <w:sz w:val="15"/>
        <w:szCs w:val="15"/>
      </w:rPr>
      <w:t xml:space="preserve">Полигон — продуктовая школа-симулятор · отчёт по групповому проекту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60" w:after="100"/>
      <w:outlineLvl w:val="0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Title">
    <w:name w:val="Title"/>
    <w:basedOn w:val="Normal"/>
    <w:next w:val="Normal"/>
    <w:rPr>
      <w:rFonts w:ascii="Arial" w:cs="Arial" w:eastAsia="Arial" w:hAnsi="Arial"/>
      <w:b/>
      <w:bCs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686e3a722e841cc036f1405284ec589f7df6151f.png"/><Relationship Id="rId9" Type="http://schemas.openxmlformats.org/officeDocument/2006/relationships/image" Target="media/064086fd50ee894f41ddb7a270d7bc16f69c4c8c.png"/><Relationship Id="rId10" Type="http://schemas.openxmlformats.org/officeDocument/2006/relationships/image" Target="media/88cf4a2d28c50bb242e50d48b01054bb6721eae8.png"/><Relationship Id="rId11" Type="http://schemas.openxmlformats.org/officeDocument/2006/relationships/image" Target="media/5955af2dd6b939344d6f11c6b7fe7a2f986b243f.png"/><Relationship Id="rId12" Type="http://schemas.openxmlformats.org/officeDocument/2006/relationships/image" Target="media/241fe6783ffd9999cc79e0ffd86355d11332f9eb.png"/><Relationship Id="rId13" Type="http://schemas.openxmlformats.org/officeDocument/2006/relationships/image" Target="media/2aaa86cce207fdeb08dc9877231c9a8f3929146e.png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Полигон — продуктовая школа-симулятор. Итоговый отчёт</dc:title>
  <dc:creator>Команда «Полигон»</dc:creator>
  <cp:lastModifiedBy>Un-named</cp:lastModifiedBy>
  <cp:revision>1</cp:revision>
  <dcterms:created xsi:type="dcterms:W3CDTF">2026-10-23T20:52:13.777Z</dcterms:created>
  <dcterms:modified xsi:type="dcterms:W3CDTF">2026-10-23T20:52:13.777Z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