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10C" w:rsidRDefault="00510F8A">
      <w:pPr>
        <w:spacing w:after="228"/>
        <w:ind w:left="10" w:right="317" w:hanging="10"/>
        <w:jc w:val="center"/>
      </w:pPr>
      <w:bookmarkStart w:id="0" w:name="_GoBack"/>
      <w:bookmarkEnd w:id="0"/>
      <w:r>
        <w:rPr>
          <w:b/>
          <w:color w:val="FF0000"/>
          <w:sz w:val="36"/>
        </w:rPr>
        <w:t xml:space="preserve">AI LAB – TASK 1 </w:t>
      </w:r>
    </w:p>
    <w:p w:rsidR="00E2010C" w:rsidRDefault="00510F8A">
      <w:pPr>
        <w:spacing w:after="228"/>
        <w:ind w:left="10" w:right="313" w:hanging="10"/>
        <w:jc w:val="center"/>
      </w:pPr>
      <w:r>
        <w:rPr>
          <w:b/>
          <w:color w:val="FF0000"/>
          <w:sz w:val="36"/>
        </w:rPr>
        <w:t xml:space="preserve">Nouman Ali  </w:t>
      </w:r>
    </w:p>
    <w:p w:rsidR="00E2010C" w:rsidRDefault="00510F8A">
      <w:pPr>
        <w:spacing w:after="226"/>
        <w:ind w:left="3092"/>
      </w:pPr>
      <w:r>
        <w:rPr>
          <w:b/>
          <w:color w:val="FF0000"/>
          <w:sz w:val="36"/>
        </w:rPr>
        <w:t xml:space="preserve">SU92-BSAIM-F25-118 </w:t>
      </w:r>
    </w:p>
    <w:p w:rsidR="00E2010C" w:rsidRDefault="00510F8A">
      <w:pPr>
        <w:ind w:left="10" w:right="306" w:hanging="10"/>
        <w:jc w:val="center"/>
      </w:pPr>
      <w:r>
        <w:rPr>
          <w:b/>
          <w:color w:val="FF0000"/>
          <w:sz w:val="36"/>
        </w:rPr>
        <w:t xml:space="preserve">AI-3B </w:t>
      </w:r>
    </w:p>
    <w:p w:rsidR="00E2010C" w:rsidRDefault="00510F8A">
      <w:pPr>
        <w:spacing w:after="0"/>
        <w:ind w:right="2268"/>
        <w:jc w:val="right"/>
      </w:pPr>
      <w:r>
        <w:rPr>
          <w:b/>
          <w:sz w:val="26"/>
        </w:rPr>
        <w:t>Timeline of Major Artificial Intelligence Milestones</w:t>
      </w:r>
      <w:r>
        <w:rPr>
          <w:sz w:val="24"/>
        </w:rPr>
        <w:t xml:space="preserve"> </w:t>
      </w:r>
    </w:p>
    <w:tbl>
      <w:tblPr>
        <w:tblStyle w:val="TableGrid"/>
        <w:tblW w:w="9339" w:type="dxa"/>
        <w:tblInd w:w="13" w:type="dxa"/>
        <w:tblCellMar>
          <w:top w:w="0" w:type="dxa"/>
          <w:left w:w="105" w:type="dxa"/>
          <w:bottom w:w="80" w:type="dxa"/>
          <w:right w:w="94" w:type="dxa"/>
        </w:tblCellMar>
        <w:tblLook w:val="04A0" w:firstRow="1" w:lastRow="0" w:firstColumn="1" w:lastColumn="0" w:noHBand="0" w:noVBand="1"/>
      </w:tblPr>
      <w:tblGrid>
        <w:gridCol w:w="1238"/>
        <w:gridCol w:w="2246"/>
        <w:gridCol w:w="4872"/>
        <w:gridCol w:w="983"/>
      </w:tblGrid>
      <w:tr w:rsidR="00E2010C">
        <w:trPr>
          <w:trHeight w:val="870"/>
        </w:trPr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bottom"/>
          </w:tcPr>
          <w:p w:rsidR="00E2010C" w:rsidRDefault="00510F8A">
            <w:pPr>
              <w:spacing w:after="17"/>
              <w:ind w:left="3"/>
            </w:pPr>
            <w:r>
              <w:rPr>
                <w:b/>
                <w:color w:val="FF0000"/>
                <w:sz w:val="20"/>
              </w:rPr>
              <w:t xml:space="preserve">Year / </w:t>
            </w:r>
          </w:p>
          <w:p w:rsidR="00E2010C" w:rsidRDefault="00510F8A">
            <w:pPr>
              <w:spacing w:after="0"/>
              <w:ind w:left="3"/>
            </w:pPr>
            <w:r>
              <w:rPr>
                <w:b/>
                <w:color w:val="FF0000"/>
                <w:sz w:val="20"/>
              </w:rPr>
              <w:t xml:space="preserve">Period </w:t>
            </w:r>
          </w:p>
        </w:tc>
        <w:tc>
          <w:tcPr>
            <w:tcW w:w="2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bottom"/>
          </w:tcPr>
          <w:p w:rsidR="00E2010C" w:rsidRDefault="00510F8A">
            <w:pPr>
              <w:spacing w:after="0"/>
            </w:pPr>
            <w:r>
              <w:rPr>
                <w:b/>
                <w:color w:val="FF0000"/>
                <w:sz w:val="20"/>
              </w:rPr>
              <w:t xml:space="preserve">Milestone 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bottom"/>
          </w:tcPr>
          <w:p w:rsidR="00E2010C" w:rsidRDefault="00510F8A">
            <w:pPr>
              <w:spacing w:after="0"/>
            </w:pPr>
            <w:r>
              <w:rPr>
                <w:b/>
                <w:color w:val="FF0000"/>
                <w:sz w:val="20"/>
              </w:rPr>
              <w:t xml:space="preserve">Significance </w:t>
            </w:r>
          </w:p>
        </w:tc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bottom"/>
          </w:tcPr>
          <w:p w:rsidR="00E2010C" w:rsidRDefault="00510F8A">
            <w:pPr>
              <w:spacing w:after="0"/>
              <w:ind w:left="5"/>
            </w:pPr>
            <w:r>
              <w:rPr>
                <w:b/>
                <w:color w:val="FF0000"/>
                <w:sz w:val="20"/>
              </w:rPr>
              <w:t xml:space="preserve">Source </w:t>
            </w:r>
          </w:p>
        </w:tc>
      </w:tr>
      <w:tr w:rsidR="00E2010C">
        <w:trPr>
          <w:trHeight w:val="1268"/>
        </w:trPr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  <w:ind w:left="3"/>
            </w:pPr>
            <w:r>
              <w:rPr>
                <w:sz w:val="18"/>
              </w:rPr>
              <w:t>1950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</w:pPr>
            <w:r>
              <w:rPr>
                <w:sz w:val="18"/>
              </w:rPr>
              <w:t>Alan Turing proposes the imitation game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</w:pPr>
            <w:r>
              <w:rPr>
                <w:sz w:val="18"/>
              </w:rPr>
              <w:t>In “Computing Machinery and Intelligence,” Turing proposed a conversational test for examining whether a machine’s responses could appear human-like, helping shape later discussions of machine intelligence.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  <w:ind w:left="5"/>
            </w:pPr>
            <w:r>
              <w:rPr>
                <w:sz w:val="18"/>
              </w:rPr>
              <w:t>Source 1</w:t>
            </w:r>
            <w:r>
              <w:rPr>
                <w:sz w:val="24"/>
              </w:rPr>
              <w:t xml:space="preserve"> </w:t>
            </w:r>
          </w:p>
        </w:tc>
      </w:tr>
      <w:tr w:rsidR="00E2010C">
        <w:trPr>
          <w:trHeight w:val="1015"/>
        </w:trPr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  <w:ind w:left="3"/>
            </w:pPr>
            <w:r>
              <w:rPr>
                <w:sz w:val="18"/>
              </w:rPr>
              <w:t>1956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13"/>
            </w:pPr>
            <w:r>
              <w:rPr>
                <w:sz w:val="18"/>
              </w:rPr>
              <w:t xml:space="preserve">Dartmouth Summer </w:t>
            </w:r>
          </w:p>
          <w:p w:rsidR="00E2010C" w:rsidRDefault="00510F8A">
            <w:pPr>
              <w:spacing w:after="100"/>
            </w:pPr>
            <w:r>
              <w:rPr>
                <w:sz w:val="18"/>
              </w:rPr>
              <w:t xml:space="preserve">Research Project on </w:t>
            </w:r>
          </w:p>
          <w:p w:rsidR="00E2010C" w:rsidRDefault="00510F8A">
            <w:pPr>
              <w:spacing w:after="0"/>
            </w:pPr>
            <w:r>
              <w:rPr>
                <w:sz w:val="18"/>
              </w:rPr>
              <w:t>Artificial Intelligence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</w:pPr>
            <w:r>
              <w:rPr>
                <w:sz w:val="18"/>
              </w:rPr>
              <w:t>Researchers gathered to study whether aspects of human intelligence could be simulated by machines, and the workshop helped establish AI as a distinct research field.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  <w:ind w:left="5"/>
            </w:pPr>
            <w:r>
              <w:rPr>
                <w:sz w:val="18"/>
              </w:rPr>
              <w:t>Source 2</w:t>
            </w:r>
            <w:r>
              <w:rPr>
                <w:sz w:val="24"/>
              </w:rPr>
              <w:t xml:space="preserve"> </w:t>
            </w:r>
          </w:p>
        </w:tc>
      </w:tr>
      <w:tr w:rsidR="00E2010C">
        <w:trPr>
          <w:trHeight w:val="1261"/>
        </w:trPr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  <w:ind w:left="3"/>
            </w:pPr>
            <w:r>
              <w:rPr>
                <w:sz w:val="18"/>
              </w:rPr>
              <w:t>1965–1970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</w:pPr>
            <w:r>
              <w:rPr>
                <w:sz w:val="18"/>
              </w:rPr>
              <w:t>DENDRAL expert system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</w:pPr>
            <w:r>
              <w:rPr>
                <w:sz w:val="18"/>
              </w:rPr>
              <w:t>Researchers developed DENDRAL to use scientific data and specialist knowledge to form hypotheses about molecular structures, demonstrating an early practical use of an expert system.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  <w:ind w:left="5"/>
            </w:pPr>
            <w:r>
              <w:rPr>
                <w:sz w:val="18"/>
              </w:rPr>
              <w:t>Source 3</w:t>
            </w:r>
            <w:r>
              <w:rPr>
                <w:sz w:val="24"/>
              </w:rPr>
              <w:t xml:space="preserve"> </w:t>
            </w:r>
          </w:p>
        </w:tc>
      </w:tr>
      <w:tr w:rsidR="00E2010C">
        <w:trPr>
          <w:trHeight w:val="1265"/>
        </w:trPr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  <w:ind w:left="3"/>
            </w:pPr>
            <w:r>
              <w:rPr>
                <w:sz w:val="18"/>
              </w:rPr>
              <w:t>1974–1980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</w:pPr>
            <w:r>
              <w:rPr>
                <w:sz w:val="18"/>
              </w:rPr>
              <w:t>First AI winter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</w:pPr>
            <w:r>
              <w:rPr>
                <w:sz w:val="18"/>
              </w:rPr>
              <w:t>AI research faced reduced funding and interest after early systems failed to meet high expectations, showing that ambitious claims can outpace the capabilities of available methods and computers.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  <w:ind w:left="5"/>
            </w:pPr>
            <w:r>
              <w:rPr>
                <w:sz w:val="18"/>
              </w:rPr>
              <w:t>Source 4</w:t>
            </w:r>
            <w:r>
              <w:rPr>
                <w:sz w:val="24"/>
              </w:rPr>
              <w:t xml:space="preserve"> </w:t>
            </w:r>
          </w:p>
        </w:tc>
      </w:tr>
      <w:tr w:rsidR="00E2010C">
        <w:trPr>
          <w:trHeight w:val="1010"/>
        </w:trPr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  <w:ind w:left="3"/>
            </w:pPr>
            <w:r>
              <w:rPr>
                <w:sz w:val="18"/>
              </w:rPr>
              <w:t>1997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  <w:jc w:val="both"/>
            </w:pPr>
            <w:r>
              <w:rPr>
                <w:sz w:val="18"/>
              </w:rPr>
              <w:t>IBM Deep Blue defeats Garry Kasparov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</w:pPr>
            <w:r>
              <w:rPr>
                <w:sz w:val="18"/>
              </w:rPr>
              <w:t>Deep Blue defeated the reigning world chess champion in a match, demonstrating the strength of specialized AI algorithms combined with powerful computing.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  <w:ind w:left="5"/>
            </w:pPr>
            <w:r>
              <w:rPr>
                <w:sz w:val="18"/>
              </w:rPr>
              <w:t>Source 3</w:t>
            </w:r>
            <w:r>
              <w:rPr>
                <w:sz w:val="24"/>
              </w:rPr>
              <w:t xml:space="preserve"> </w:t>
            </w:r>
          </w:p>
        </w:tc>
      </w:tr>
      <w:tr w:rsidR="00E2010C">
        <w:trPr>
          <w:trHeight w:val="1266"/>
        </w:trPr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  <w:ind w:left="3"/>
            </w:pPr>
            <w:r>
              <w:rPr>
                <w:sz w:val="18"/>
              </w:rPr>
              <w:t>2012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</w:pPr>
            <w:r>
              <w:rPr>
                <w:sz w:val="18"/>
              </w:rPr>
              <w:t>AlexNet and GPU-powered deep learning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</w:pPr>
            <w:r>
              <w:rPr>
                <w:sz w:val="18"/>
              </w:rPr>
              <w:t>AlexNet achieved a major ImageNet image-</w:t>
            </w:r>
            <w:r>
              <w:rPr>
                <w:sz w:val="18"/>
              </w:rPr>
              <w:t>recognition result using a deep neural network trained on a large image dataset with GPUs, highlighting the impact of data and computing power on modern AI.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2010C" w:rsidRDefault="00510F8A">
            <w:pPr>
              <w:spacing w:after="0"/>
              <w:ind w:left="5"/>
            </w:pPr>
            <w:r>
              <w:rPr>
                <w:sz w:val="18"/>
              </w:rPr>
              <w:t>Source 5</w:t>
            </w:r>
            <w:r>
              <w:rPr>
                <w:sz w:val="24"/>
              </w:rPr>
              <w:t xml:space="preserve"> </w:t>
            </w:r>
          </w:p>
        </w:tc>
      </w:tr>
    </w:tbl>
    <w:p w:rsidR="00E2010C" w:rsidRDefault="00510F8A">
      <w:pPr>
        <w:spacing w:after="191"/>
      </w:pPr>
      <w:r>
        <w:rPr>
          <w:sz w:val="20"/>
        </w:rPr>
        <w:t xml:space="preserve"> </w:t>
      </w:r>
      <w:r>
        <w:rPr>
          <w:sz w:val="24"/>
        </w:rPr>
        <w:t xml:space="preserve"> </w:t>
      </w:r>
    </w:p>
    <w:p w:rsidR="00E2010C" w:rsidRDefault="00510F8A">
      <w:pPr>
        <w:pStyle w:val="Heading1"/>
      </w:pPr>
      <w:r>
        <w:lastRenderedPageBreak/>
        <w:t xml:space="preserve">Short conclusion </w:t>
      </w:r>
    </w:p>
    <w:p w:rsidR="00E2010C" w:rsidRDefault="00510F8A">
      <w:pPr>
        <w:spacing w:after="508" w:line="279" w:lineRule="auto"/>
        <w:ind w:right="98"/>
      </w:pPr>
      <w:r>
        <w:rPr>
          <w:sz w:val="20"/>
        </w:rPr>
        <w:t>These milestones show that AI developed through several approaches, including tests of intelligent behaviour, symbolic and expert systems, and data-driven learning. The AI winter also shows why results should be judged against evidence rather than expectat</w:t>
      </w:r>
      <w:r>
        <w:rPr>
          <w:sz w:val="20"/>
        </w:rPr>
        <w:t>ions. The 2012 deep-learning milestone illustrates how large datasets and faster computing can improve performance, although neither guarantees that every AI system will work reliably.</w:t>
      </w:r>
      <w:r>
        <w:rPr>
          <w:sz w:val="24"/>
        </w:rPr>
        <w:t xml:space="preserve"> </w:t>
      </w:r>
    </w:p>
    <w:p w:rsidR="00E2010C" w:rsidRDefault="00510F8A">
      <w:pPr>
        <w:pStyle w:val="Heading1"/>
        <w:spacing w:after="3"/>
        <w:ind w:left="-5" w:hanging="10"/>
      </w:pPr>
      <w:r>
        <w:rPr>
          <w:sz w:val="28"/>
        </w:rPr>
        <w:t xml:space="preserve">References </w:t>
      </w:r>
    </w:p>
    <w:p w:rsidR="00E2010C" w:rsidRDefault="00510F8A">
      <w:pPr>
        <w:numPr>
          <w:ilvl w:val="0"/>
          <w:numId w:val="1"/>
        </w:numPr>
        <w:spacing w:after="66"/>
        <w:ind w:right="363" w:hanging="361"/>
      </w:pPr>
      <w:r>
        <w:rPr>
          <w:sz w:val="20"/>
        </w:rPr>
        <w:t xml:space="preserve">1. Stanford AI100, “History” (Turing, 1950). </w:t>
      </w:r>
      <w:hyperlink r:id="rId5">
        <w:r>
          <w:rPr>
            <w:color w:val="467886"/>
            <w:sz w:val="24"/>
            <w:u w:val="single" w:color="467886"/>
          </w:rPr>
          <w:t>https://ai100.stanford.edu/about/history</w:t>
        </w:r>
      </w:hyperlink>
      <w:hyperlink r:id="rId6">
        <w:r>
          <w:rPr>
            <w:sz w:val="20"/>
          </w:rPr>
          <w:t xml:space="preserve"> </w:t>
        </w:r>
      </w:hyperlink>
    </w:p>
    <w:p w:rsidR="00E2010C" w:rsidRDefault="00510F8A">
      <w:pPr>
        <w:numPr>
          <w:ilvl w:val="0"/>
          <w:numId w:val="1"/>
        </w:numPr>
        <w:spacing w:after="66"/>
        <w:ind w:right="363" w:hanging="361"/>
      </w:pPr>
      <w:r>
        <w:rPr>
          <w:sz w:val="20"/>
        </w:rPr>
        <w:t xml:space="preserve">2. Dartmouth, “The Founding and Future of AI.” </w:t>
      </w:r>
      <w:hyperlink r:id="rId7">
        <w:r>
          <w:rPr>
            <w:color w:val="467886"/>
            <w:sz w:val="24"/>
            <w:u w:val="single" w:color="467886"/>
          </w:rPr>
          <w:t>https:</w:t>
        </w:r>
        <w:r>
          <w:rPr>
            <w:color w:val="467886"/>
            <w:sz w:val="24"/>
            <w:u w:val="single" w:color="467886"/>
          </w:rPr>
          <w:t>//ai.dartmouth.edu/our</w:t>
        </w:r>
      </w:hyperlink>
      <w:hyperlink r:id="rId8">
        <w:r>
          <w:rPr>
            <w:color w:val="467886"/>
            <w:sz w:val="24"/>
            <w:u w:val="single" w:color="467886"/>
          </w:rPr>
          <w:t>-</w:t>
        </w:r>
      </w:hyperlink>
      <w:hyperlink r:id="rId9">
        <w:r>
          <w:rPr>
            <w:color w:val="467886"/>
            <w:sz w:val="24"/>
            <w:u w:val="single" w:color="467886"/>
          </w:rPr>
          <w:t>story</w:t>
        </w:r>
      </w:hyperlink>
      <w:hyperlink r:id="rId10">
        <w:r>
          <w:rPr>
            <w:sz w:val="20"/>
          </w:rPr>
          <w:t xml:space="preserve"> </w:t>
        </w:r>
      </w:hyperlink>
    </w:p>
    <w:p w:rsidR="00E2010C" w:rsidRDefault="00510F8A">
      <w:pPr>
        <w:numPr>
          <w:ilvl w:val="0"/>
          <w:numId w:val="1"/>
        </w:numPr>
        <w:spacing w:after="39"/>
        <w:ind w:right="363" w:hanging="361"/>
      </w:pPr>
      <w:r>
        <w:rPr>
          <w:sz w:val="20"/>
        </w:rPr>
        <w:t xml:space="preserve">3. Stanford AI100, “History” (DENDRAL and Deep Blue). </w:t>
      </w:r>
      <w:hyperlink r:id="rId11">
        <w:r>
          <w:rPr>
            <w:color w:val="467886"/>
            <w:sz w:val="24"/>
            <w:u w:val="single" w:color="467886"/>
          </w:rPr>
          <w:t>https://ai100.stanford.edu/about/history</w:t>
        </w:r>
      </w:hyperlink>
      <w:hyperlink r:id="rId12">
        <w:r>
          <w:rPr>
            <w:sz w:val="20"/>
          </w:rPr>
          <w:t xml:space="preserve"> </w:t>
        </w:r>
      </w:hyperlink>
      <w:r>
        <w:rPr>
          <w:sz w:val="20"/>
        </w:rPr>
        <w:t>4.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0"/>
        </w:rPr>
        <w:t xml:space="preserve">4. Stanford AI100, “Appendix I: A Short History of AI” (AI winter). </w:t>
      </w:r>
    </w:p>
    <w:p w:rsidR="00E2010C" w:rsidRDefault="00510F8A">
      <w:pPr>
        <w:spacing w:after="0"/>
        <w:ind w:left="356" w:hanging="10"/>
      </w:pPr>
      <w:hyperlink r:id="rId13">
        <w:r>
          <w:rPr>
            <w:color w:val="467886"/>
            <w:sz w:val="24"/>
            <w:u w:val="single" w:color="467886"/>
          </w:rPr>
          <w:t>https://ai100.stanford.edu/reports/2016</w:t>
        </w:r>
      </w:hyperlink>
      <w:hyperlink r:id="rId14">
        <w:r>
          <w:rPr>
            <w:color w:val="467886"/>
            <w:sz w:val="24"/>
            <w:u w:val="single" w:color="467886"/>
          </w:rPr>
          <w:t>-</w:t>
        </w:r>
      </w:hyperlink>
      <w:hyperlink r:id="rId15">
        <w:r>
          <w:rPr>
            <w:color w:val="467886"/>
            <w:sz w:val="24"/>
            <w:u w:val="single" w:color="467886"/>
          </w:rPr>
          <w:t>report/appendix</w:t>
        </w:r>
      </w:hyperlink>
      <w:hyperlink r:id="rId16">
        <w:r>
          <w:rPr>
            <w:color w:val="467886"/>
            <w:sz w:val="24"/>
            <w:u w:val="single" w:color="467886"/>
          </w:rPr>
          <w:t>-</w:t>
        </w:r>
      </w:hyperlink>
      <w:hyperlink r:id="rId17">
        <w:r>
          <w:rPr>
            <w:color w:val="467886"/>
            <w:sz w:val="24"/>
            <w:u w:val="single" w:color="467886"/>
          </w:rPr>
          <w:t>i</w:t>
        </w:r>
      </w:hyperlink>
      <w:hyperlink r:id="rId18">
        <w:r>
          <w:rPr>
            <w:color w:val="467886"/>
            <w:sz w:val="24"/>
            <w:u w:val="single" w:color="467886"/>
          </w:rPr>
          <w:t>-</w:t>
        </w:r>
      </w:hyperlink>
      <w:hyperlink r:id="rId19">
        <w:r>
          <w:rPr>
            <w:color w:val="467886"/>
            <w:sz w:val="24"/>
            <w:u w:val="single" w:color="467886"/>
          </w:rPr>
          <w:t>short</w:t>
        </w:r>
      </w:hyperlink>
      <w:hyperlink r:id="rId20">
        <w:r>
          <w:rPr>
            <w:color w:val="467886"/>
            <w:sz w:val="24"/>
            <w:u w:val="single" w:color="467886"/>
          </w:rPr>
          <w:t>-</w:t>
        </w:r>
      </w:hyperlink>
      <w:hyperlink r:id="rId21">
        <w:r>
          <w:rPr>
            <w:color w:val="467886"/>
            <w:sz w:val="24"/>
            <w:u w:val="single" w:color="467886"/>
          </w:rPr>
          <w:t>history</w:t>
        </w:r>
      </w:hyperlink>
      <w:hyperlink r:id="rId22">
        <w:r>
          <w:rPr>
            <w:color w:val="467886"/>
            <w:sz w:val="24"/>
            <w:u w:val="single" w:color="467886"/>
          </w:rPr>
          <w:t>-</w:t>
        </w:r>
      </w:hyperlink>
      <w:hyperlink r:id="rId23">
        <w:r>
          <w:rPr>
            <w:color w:val="467886"/>
            <w:sz w:val="24"/>
            <w:u w:val="single" w:color="467886"/>
          </w:rPr>
          <w:t>ai</w:t>
        </w:r>
      </w:hyperlink>
      <w:hyperlink r:id="rId24">
        <w:r>
          <w:rPr>
            <w:sz w:val="31"/>
            <w:vertAlign w:val="subscript"/>
          </w:rPr>
          <w:t xml:space="preserve"> </w:t>
        </w:r>
      </w:hyperlink>
    </w:p>
    <w:p w:rsidR="00E2010C" w:rsidRDefault="00510F8A">
      <w:pPr>
        <w:spacing w:after="66"/>
        <w:ind w:left="-5" w:right="363" w:hanging="10"/>
      </w:pPr>
      <w:r>
        <w:rPr>
          <w:sz w:val="20"/>
        </w:rPr>
        <w:t>5.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0"/>
        </w:rPr>
        <w:t xml:space="preserve">5. NVIDIA, “Accelerating AI with GPUs: A New Computing Model” (AlexNet, 2012). </w:t>
      </w:r>
    </w:p>
    <w:p w:rsidR="00E2010C" w:rsidRDefault="00510F8A">
      <w:pPr>
        <w:spacing w:after="0"/>
        <w:ind w:left="356" w:hanging="10"/>
      </w:pPr>
      <w:hyperlink r:id="rId25">
        <w:r>
          <w:rPr>
            <w:color w:val="467886"/>
            <w:sz w:val="24"/>
            <w:u w:val="single" w:color="467886"/>
          </w:rPr>
          <w:t>https://blogs.nvidia.com/blog/accelerating</w:t>
        </w:r>
      </w:hyperlink>
      <w:hyperlink r:id="rId26">
        <w:r>
          <w:rPr>
            <w:color w:val="467886"/>
            <w:sz w:val="24"/>
            <w:u w:val="single" w:color="467886"/>
          </w:rPr>
          <w:t>-</w:t>
        </w:r>
      </w:hyperlink>
      <w:hyperlink r:id="rId27">
        <w:r>
          <w:rPr>
            <w:color w:val="467886"/>
            <w:sz w:val="24"/>
            <w:u w:val="single" w:color="467886"/>
          </w:rPr>
          <w:t>ai</w:t>
        </w:r>
      </w:hyperlink>
      <w:hyperlink r:id="rId28">
        <w:r>
          <w:rPr>
            <w:color w:val="467886"/>
            <w:sz w:val="24"/>
            <w:u w:val="single" w:color="467886"/>
          </w:rPr>
          <w:t>-</w:t>
        </w:r>
      </w:hyperlink>
      <w:hyperlink r:id="rId29">
        <w:r>
          <w:rPr>
            <w:color w:val="467886"/>
            <w:sz w:val="24"/>
            <w:u w:val="single" w:color="467886"/>
          </w:rPr>
          <w:t>artificial</w:t>
        </w:r>
      </w:hyperlink>
      <w:hyperlink r:id="rId30">
        <w:r>
          <w:rPr>
            <w:color w:val="467886"/>
            <w:sz w:val="24"/>
            <w:u w:val="single" w:color="467886"/>
          </w:rPr>
          <w:t>-</w:t>
        </w:r>
      </w:hyperlink>
      <w:hyperlink r:id="rId31">
        <w:r>
          <w:rPr>
            <w:color w:val="467886"/>
            <w:sz w:val="24"/>
            <w:u w:val="single" w:color="467886"/>
          </w:rPr>
          <w:t>intelligence</w:t>
        </w:r>
      </w:hyperlink>
      <w:hyperlink r:id="rId32">
        <w:r>
          <w:rPr>
            <w:color w:val="467886"/>
            <w:sz w:val="24"/>
            <w:u w:val="single" w:color="467886"/>
          </w:rPr>
          <w:t>-</w:t>
        </w:r>
      </w:hyperlink>
      <w:hyperlink r:id="rId33">
        <w:r>
          <w:rPr>
            <w:color w:val="467886"/>
            <w:sz w:val="24"/>
            <w:u w:val="single" w:color="467886"/>
          </w:rPr>
          <w:t>gpus/</w:t>
        </w:r>
      </w:hyperlink>
      <w:hyperlink r:id="rId34">
        <w:r>
          <w:rPr>
            <w:sz w:val="31"/>
            <w:vertAlign w:val="subscript"/>
          </w:rPr>
          <w:t xml:space="preserve"> </w:t>
        </w:r>
      </w:hyperlink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9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9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0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lastRenderedPageBreak/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299"/>
      </w:pPr>
      <w:r>
        <w:rPr>
          <w:sz w:val="24"/>
        </w:rPr>
        <w:t xml:space="preserve"> </w:t>
      </w:r>
    </w:p>
    <w:p w:rsidR="00E2010C" w:rsidRDefault="00510F8A">
      <w:pPr>
        <w:pStyle w:val="Heading1"/>
        <w:spacing w:after="64"/>
        <w:ind w:right="311"/>
        <w:jc w:val="center"/>
      </w:pPr>
      <w:r>
        <w:rPr>
          <w:rFonts w:ascii="Cambria" w:eastAsia="Cambria" w:hAnsi="Cambria" w:cs="Cambria"/>
          <w:sz w:val="36"/>
        </w:rPr>
        <w:t xml:space="preserve"> TASK 2 </w:t>
      </w:r>
    </w:p>
    <w:p w:rsidR="00E2010C" w:rsidRDefault="00510F8A">
      <w:pPr>
        <w:spacing w:after="543"/>
        <w:ind w:right="307"/>
        <w:jc w:val="center"/>
      </w:pPr>
      <w:r>
        <w:rPr>
          <w:rFonts w:ascii="Cambria" w:eastAsia="Cambria" w:hAnsi="Cambria" w:cs="Cambria"/>
          <w:b/>
          <w:sz w:val="26"/>
        </w:rPr>
        <w:t>Rule-Based Scholarship Screening System</w:t>
      </w:r>
      <w:r>
        <w:rPr>
          <w:sz w:val="24"/>
        </w:rPr>
        <w:t xml:space="preserve"> </w:t>
      </w:r>
    </w:p>
    <w:p w:rsidR="00E2010C" w:rsidRDefault="00510F8A">
      <w:pPr>
        <w:pStyle w:val="Heading2"/>
        <w:ind w:left="-5"/>
      </w:pPr>
      <w:r>
        <w:t>Objective</w:t>
      </w:r>
      <w:r>
        <w:rPr>
          <w:b w:val="0"/>
          <w:color w:val="000000"/>
          <w:sz w:val="24"/>
        </w:rPr>
        <w:t xml:space="preserve"> </w:t>
      </w:r>
    </w:p>
    <w:p w:rsidR="00E2010C" w:rsidRDefault="00510F8A">
      <w:pPr>
        <w:spacing w:after="507" w:line="284" w:lineRule="auto"/>
        <w:ind w:right="915"/>
        <w:jc w:val="both"/>
      </w:pPr>
      <w:r>
        <w:rPr>
          <w:rFonts w:ascii="Cambria" w:eastAsia="Cambria" w:hAnsi="Cambria" w:cs="Cambria"/>
        </w:rPr>
        <w:t>Modify the rule-based example by keeping the original conditions (score &gt;= 70 and complete documents) and adding two transparent conditions. Test exactly four core cases and compare expected and actual results.</w:t>
      </w:r>
      <w:r>
        <w:rPr>
          <w:sz w:val="24"/>
        </w:rPr>
        <w:t xml:space="preserve"> </w:t>
      </w:r>
    </w:p>
    <w:p w:rsidR="00E2010C" w:rsidRDefault="00510F8A">
      <w:pPr>
        <w:pStyle w:val="Heading2"/>
        <w:ind w:left="-5"/>
      </w:pPr>
      <w:r>
        <w:t xml:space="preserve">1. Conditions and Assumptions </w:t>
      </w:r>
    </w:p>
    <w:p w:rsidR="00E2010C" w:rsidRDefault="00510F8A">
      <w:pPr>
        <w:spacing w:after="0"/>
        <w:ind w:right="303"/>
      </w:pPr>
      <w:r>
        <w:rPr>
          <w:rFonts w:ascii="Cambria" w:eastAsia="Cambria" w:hAnsi="Cambria" w:cs="Cambria"/>
        </w:rPr>
        <w:t>The system re</w:t>
      </w:r>
      <w:r>
        <w:rPr>
          <w:rFonts w:ascii="Cambria" w:eastAsia="Cambria" w:hAnsi="Cambria" w:cs="Cambria"/>
        </w:rPr>
        <w:t>turns “Review” only when all four conditions are satisfied. Otherwise, it returns “Hold”. “Review” means that a human reviewer should check the application. It does not mean that a scholarship is awarded.</w:t>
      </w:r>
      <w:r>
        <w:rPr>
          <w:sz w:val="24"/>
        </w:rPr>
        <w:t xml:space="preserve"> </w:t>
      </w:r>
    </w:p>
    <w:tbl>
      <w:tblPr>
        <w:tblStyle w:val="TableGrid"/>
        <w:tblW w:w="9384" w:type="dxa"/>
        <w:tblInd w:w="-10" w:type="dxa"/>
        <w:tblCellMar>
          <w:top w:w="3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07"/>
        <w:gridCol w:w="4677"/>
      </w:tblGrid>
      <w:tr w:rsidR="00E2010C">
        <w:trPr>
          <w:trHeight w:val="308"/>
        </w:trPr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E2010C" w:rsidRDefault="00510F8A">
            <w:pPr>
              <w:spacing w:after="0"/>
              <w:ind w:left="115"/>
            </w:pPr>
            <w:r>
              <w:rPr>
                <w:rFonts w:ascii="Cambria" w:eastAsia="Cambria" w:hAnsi="Cambria" w:cs="Cambria"/>
                <w:b/>
                <w:color w:val="FFFFFF"/>
              </w:rPr>
              <w:t>Condition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E2010C" w:rsidRDefault="00510F8A">
            <w:pPr>
              <w:spacing w:after="0"/>
              <w:ind w:left="95"/>
            </w:pPr>
            <w:r>
              <w:rPr>
                <w:rFonts w:ascii="Cambria" w:eastAsia="Cambria" w:hAnsi="Cambria" w:cs="Cambria"/>
                <w:b/>
                <w:color w:val="FFFFFF"/>
              </w:rPr>
              <w:t>Rule</w:t>
            </w:r>
            <w:r>
              <w:rPr>
                <w:sz w:val="24"/>
              </w:rPr>
              <w:t xml:space="preserve"> </w:t>
            </w:r>
          </w:p>
        </w:tc>
      </w:tr>
      <w:tr w:rsidR="00E2010C">
        <w:trPr>
          <w:trHeight w:val="312"/>
        </w:trPr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10C" w:rsidRDefault="00510F8A">
            <w:pPr>
              <w:spacing w:after="0"/>
              <w:ind w:left="115"/>
            </w:pPr>
            <w:r>
              <w:rPr>
                <w:rFonts w:ascii="Cambria" w:eastAsia="Cambria" w:hAnsi="Cambria" w:cs="Cambria"/>
              </w:rPr>
              <w:t>Condition 1: Score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10C" w:rsidRDefault="00510F8A">
            <w:pPr>
              <w:spacing w:after="0"/>
              <w:ind w:left="95"/>
            </w:pPr>
            <w:r>
              <w:rPr>
                <w:rFonts w:ascii="Cambria" w:eastAsia="Cambria" w:hAnsi="Cambria" w:cs="Cambria"/>
              </w:rPr>
              <w:t>The applicant's score must be at least 70.</w:t>
            </w:r>
            <w:r>
              <w:rPr>
                <w:sz w:val="24"/>
              </w:rPr>
              <w:t xml:space="preserve"> </w:t>
            </w:r>
          </w:p>
        </w:tc>
      </w:tr>
      <w:tr w:rsidR="00E2010C">
        <w:trPr>
          <w:trHeight w:val="310"/>
        </w:trPr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10C" w:rsidRDefault="00510F8A">
            <w:pPr>
              <w:spacing w:after="0"/>
              <w:ind w:left="115"/>
            </w:pPr>
            <w:r>
              <w:rPr>
                <w:rFonts w:ascii="Cambria" w:eastAsia="Cambria" w:hAnsi="Cambria" w:cs="Cambria"/>
              </w:rPr>
              <w:t>Condition 2: Document completeness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10C" w:rsidRDefault="00510F8A">
            <w:pPr>
              <w:spacing w:after="0"/>
              <w:ind w:left="95"/>
            </w:pPr>
            <w:r>
              <w:rPr>
                <w:rFonts w:ascii="Cambria" w:eastAsia="Cambria" w:hAnsi="Cambria" w:cs="Cambria"/>
              </w:rPr>
              <w:t>All required documents must be submitted.</w:t>
            </w:r>
            <w:r>
              <w:rPr>
                <w:sz w:val="24"/>
              </w:rPr>
              <w:t xml:space="preserve"> </w:t>
            </w:r>
          </w:p>
        </w:tc>
      </w:tr>
      <w:tr w:rsidR="00E2010C">
        <w:trPr>
          <w:trHeight w:val="610"/>
        </w:trPr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010C" w:rsidRDefault="00510F8A">
            <w:pPr>
              <w:spacing w:after="0"/>
              <w:ind w:left="115"/>
            </w:pPr>
            <w:r>
              <w:rPr>
                <w:rFonts w:ascii="Cambria" w:eastAsia="Cambria" w:hAnsi="Cambria" w:cs="Cambria"/>
              </w:rPr>
              <w:t>Condition 3: Attendance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10C" w:rsidRDefault="00510F8A">
            <w:pPr>
              <w:spacing w:after="0"/>
              <w:ind w:left="95"/>
            </w:pPr>
            <w:r>
              <w:rPr>
                <w:rFonts w:ascii="Cambria" w:eastAsia="Cambria" w:hAnsi="Cambria" w:cs="Cambria"/>
              </w:rPr>
              <w:t>The applicant's attendance must be at least 75%.</w:t>
            </w:r>
            <w:r>
              <w:rPr>
                <w:sz w:val="24"/>
              </w:rPr>
              <w:t xml:space="preserve"> </w:t>
            </w:r>
          </w:p>
        </w:tc>
      </w:tr>
      <w:tr w:rsidR="00E2010C">
        <w:trPr>
          <w:trHeight w:val="611"/>
        </w:trPr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010C" w:rsidRDefault="00510F8A">
            <w:pPr>
              <w:spacing w:after="0"/>
              <w:ind w:left="115"/>
            </w:pPr>
            <w:r>
              <w:rPr>
                <w:rFonts w:ascii="Cambria" w:eastAsia="Cambria" w:hAnsi="Cambria" w:cs="Cambria"/>
              </w:rPr>
              <w:t>Condition 4: Fee status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10C" w:rsidRDefault="00510F8A">
            <w:pPr>
              <w:spacing w:after="0"/>
              <w:ind w:left="95"/>
            </w:pPr>
            <w:r>
              <w:rPr>
                <w:rFonts w:ascii="Cambria" w:eastAsia="Cambria" w:hAnsi="Cambria" w:cs="Cambria"/>
              </w:rPr>
              <w:t>The applicant's fee status must be clear (no pending dues).</w:t>
            </w:r>
            <w:r>
              <w:rPr>
                <w:sz w:val="24"/>
              </w:rPr>
              <w:t xml:space="preserve"> </w:t>
            </w:r>
          </w:p>
        </w:tc>
      </w:tr>
      <w:tr w:rsidR="00E2010C">
        <w:trPr>
          <w:trHeight w:val="404"/>
        </w:trPr>
        <w:tc>
          <w:tcPr>
            <w:tcW w:w="47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E2010C" w:rsidRDefault="00510F8A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E2010C" w:rsidRDefault="00E2010C"/>
        </w:tc>
      </w:tr>
    </w:tbl>
    <w:p w:rsidR="00E2010C" w:rsidRDefault="00510F8A">
      <w:pPr>
        <w:pStyle w:val="Heading2"/>
        <w:ind w:left="-5"/>
      </w:pPr>
      <w:r>
        <w:lastRenderedPageBreak/>
        <w:t xml:space="preserve">2. Python Code (lab1_rules.py) </w:t>
      </w:r>
    </w:p>
    <w:p w:rsidR="00E2010C" w:rsidRDefault="00510F8A">
      <w:pPr>
        <w:spacing w:after="0"/>
        <w:ind w:left="216"/>
      </w:pPr>
      <w:r>
        <w:rPr>
          <w:noProof/>
        </w:rPr>
        <w:drawing>
          <wp:inline distT="0" distB="0" distL="0" distR="0">
            <wp:extent cx="5943600" cy="3133725"/>
            <wp:effectExtent l="0" t="0" r="0" b="0"/>
            <wp:docPr id="541" name="Picture 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Picture 54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10C" w:rsidRDefault="00510F8A">
      <w:pPr>
        <w:spacing w:after="519"/>
        <w:ind w:left="216"/>
        <w:jc w:val="right"/>
      </w:pPr>
      <w:r>
        <w:rPr>
          <w:rFonts w:ascii="Consolas" w:eastAsia="Consolas" w:hAnsi="Consolas" w:cs="Consolas"/>
          <w:sz w:val="17"/>
        </w:rPr>
        <w:t xml:space="preserve"> </w:t>
      </w:r>
    </w:p>
    <w:p w:rsidR="00E2010C" w:rsidRDefault="00510F8A">
      <w:pPr>
        <w:spacing w:after="421"/>
        <w:ind w:left="-1" w:right="245"/>
        <w:jc w:val="right"/>
      </w:pPr>
      <w:r>
        <w:rPr>
          <w:noProof/>
        </w:rPr>
        <w:drawing>
          <wp:inline distT="0" distB="0" distL="0" distR="0">
            <wp:extent cx="5943600" cy="3076575"/>
            <wp:effectExtent l="0" t="0" r="0" b="0"/>
            <wp:docPr id="543" name="Picture 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Picture 54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365F91"/>
          <w:sz w:val="28"/>
        </w:rPr>
        <w:t xml:space="preserve"> </w:t>
      </w:r>
    </w:p>
    <w:p w:rsidR="00E2010C" w:rsidRDefault="00510F8A">
      <w:pPr>
        <w:spacing w:after="3"/>
        <w:ind w:left="-5" w:hanging="10"/>
      </w:pPr>
      <w:r>
        <w:rPr>
          <w:b/>
          <w:color w:val="FF0000"/>
          <w:sz w:val="28"/>
        </w:rPr>
        <w:t xml:space="preserve">Output: </w:t>
      </w:r>
    </w:p>
    <w:p w:rsidR="00E2010C" w:rsidRDefault="00510F8A">
      <w:pPr>
        <w:spacing w:after="426"/>
        <w:ind w:left="-1" w:right="245"/>
        <w:jc w:val="right"/>
      </w:pPr>
      <w:r>
        <w:rPr>
          <w:noProof/>
        </w:rPr>
        <w:lastRenderedPageBreak/>
        <w:drawing>
          <wp:inline distT="0" distB="0" distL="0" distR="0">
            <wp:extent cx="5943600" cy="2962275"/>
            <wp:effectExtent l="0" t="0" r="0" b="0"/>
            <wp:docPr id="804" name="Picture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Picture 80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365F91"/>
          <w:sz w:val="28"/>
        </w:rPr>
        <w:t xml:space="preserve"> </w:t>
      </w:r>
    </w:p>
    <w:p w:rsidR="00E2010C" w:rsidRDefault="00510F8A">
      <w:pPr>
        <w:spacing w:after="506"/>
      </w:pPr>
      <w:r>
        <w:rPr>
          <w:b/>
          <w:color w:val="365F91"/>
          <w:sz w:val="28"/>
        </w:rPr>
        <w:t xml:space="preserve"> </w:t>
      </w:r>
    </w:p>
    <w:p w:rsidR="00E2010C" w:rsidRDefault="00510F8A">
      <w:pPr>
        <w:pStyle w:val="Heading2"/>
        <w:ind w:left="-5"/>
      </w:pPr>
      <w:r>
        <w:t xml:space="preserve">3. Test Cases and Results </w:t>
      </w:r>
    </w:p>
    <w:tbl>
      <w:tblPr>
        <w:tblStyle w:val="TableGrid"/>
        <w:tblW w:w="9352" w:type="dxa"/>
        <w:tblInd w:w="6" w:type="dxa"/>
        <w:tblCellMar>
          <w:top w:w="36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60"/>
        <w:gridCol w:w="1910"/>
        <w:gridCol w:w="1886"/>
        <w:gridCol w:w="1836"/>
        <w:gridCol w:w="1860"/>
      </w:tblGrid>
      <w:tr w:rsidR="00E2010C">
        <w:trPr>
          <w:trHeight w:val="308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E2010C" w:rsidRDefault="00510F8A">
            <w:pPr>
              <w:spacing w:after="0"/>
              <w:ind w:left="4"/>
            </w:pPr>
            <w:r>
              <w:rPr>
                <w:rFonts w:ascii="Cambria" w:eastAsia="Cambria" w:hAnsi="Cambria" w:cs="Cambria"/>
                <w:b/>
                <w:color w:val="FFFFFF"/>
              </w:rPr>
              <w:t>Case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E2010C" w:rsidRDefault="00510F8A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  <w:color w:val="FFFFFF"/>
              </w:rPr>
              <w:t>Input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E2010C" w:rsidRDefault="00510F8A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  <w:color w:val="FFFFFF"/>
              </w:rPr>
              <w:t>Expected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E2010C" w:rsidRDefault="00510F8A">
            <w:pPr>
              <w:spacing w:after="0"/>
            </w:pPr>
            <w:r>
              <w:rPr>
                <w:rFonts w:ascii="Cambria" w:eastAsia="Cambria" w:hAnsi="Cambria" w:cs="Cambria"/>
                <w:b/>
                <w:color w:val="FFFFFF"/>
              </w:rPr>
              <w:t>Actual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E2010C" w:rsidRDefault="00510F8A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  <w:color w:val="FFFFFF"/>
              </w:rPr>
              <w:t>Reason</w:t>
            </w:r>
            <w:r>
              <w:rPr>
                <w:sz w:val="24"/>
              </w:rPr>
              <w:t xml:space="preserve"> </w:t>
            </w:r>
          </w:p>
        </w:tc>
      </w:tr>
      <w:tr w:rsidR="00E2010C">
        <w:trPr>
          <w:trHeight w:val="707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010C" w:rsidRDefault="00510F8A">
            <w:pPr>
              <w:spacing w:after="0"/>
              <w:ind w:left="4"/>
            </w:pPr>
            <w:r>
              <w:rPr>
                <w:rFonts w:ascii="Cambria" w:eastAsia="Cambria" w:hAnsi="Cambria" w:cs="Cambria"/>
                <w:sz w:val="16"/>
              </w:rPr>
              <w:t>Pass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10C" w:rsidRDefault="00510F8A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16"/>
              </w:rPr>
              <w:t>score=80; docs=True; attendance=85; fee_clear=True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010C" w:rsidRDefault="00510F8A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16"/>
              </w:rPr>
              <w:t>Review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010C" w:rsidRDefault="00510F8A">
            <w:pPr>
              <w:spacing w:after="0"/>
            </w:pPr>
            <w:r>
              <w:rPr>
                <w:rFonts w:ascii="Cambria" w:eastAsia="Cambria" w:hAnsi="Cambria" w:cs="Cambria"/>
                <w:sz w:val="16"/>
              </w:rPr>
              <w:t>Review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010C" w:rsidRDefault="00510F8A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16"/>
              </w:rPr>
              <w:t>All four conditions are satisfied.</w:t>
            </w:r>
            <w:r>
              <w:rPr>
                <w:sz w:val="24"/>
              </w:rPr>
              <w:t xml:space="preserve"> </w:t>
            </w:r>
          </w:p>
        </w:tc>
      </w:tr>
      <w:tr w:rsidR="00E2010C">
        <w:trPr>
          <w:trHeight w:val="705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010C" w:rsidRDefault="00510F8A">
            <w:pPr>
              <w:spacing w:after="0"/>
              <w:ind w:left="4"/>
            </w:pPr>
            <w:r>
              <w:rPr>
                <w:rFonts w:ascii="Cambria" w:eastAsia="Cambria" w:hAnsi="Cambria" w:cs="Cambria"/>
                <w:sz w:val="16"/>
              </w:rPr>
              <w:t>Attendance failure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10C" w:rsidRDefault="00510F8A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16"/>
              </w:rPr>
              <w:t>score=80; docs=True; attendance=70; fee_clear=True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010C" w:rsidRDefault="00510F8A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16"/>
              </w:rPr>
              <w:t>Hold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010C" w:rsidRDefault="00510F8A">
            <w:pPr>
              <w:spacing w:after="0"/>
            </w:pPr>
            <w:r>
              <w:rPr>
                <w:rFonts w:ascii="Cambria" w:eastAsia="Cambria" w:hAnsi="Cambria" w:cs="Cambria"/>
                <w:sz w:val="16"/>
              </w:rPr>
              <w:t>Hold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010C" w:rsidRDefault="00510F8A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16"/>
              </w:rPr>
              <w:t>Attendance is below 75%.</w:t>
            </w:r>
            <w:r>
              <w:rPr>
                <w:sz w:val="24"/>
              </w:rPr>
              <w:t xml:space="preserve"> </w:t>
            </w:r>
          </w:p>
        </w:tc>
      </w:tr>
      <w:tr w:rsidR="00E2010C">
        <w:trPr>
          <w:trHeight w:val="705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010C" w:rsidRDefault="00510F8A">
            <w:pPr>
              <w:spacing w:after="0"/>
              <w:ind w:left="4"/>
            </w:pPr>
            <w:r>
              <w:rPr>
                <w:rFonts w:ascii="Cambria" w:eastAsia="Cambria" w:hAnsi="Cambria" w:cs="Cambria"/>
                <w:sz w:val="16"/>
              </w:rPr>
              <w:t>Fee condition failure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10C" w:rsidRDefault="00510F8A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16"/>
              </w:rPr>
              <w:t>score=85; docs=True; attendance=90; fee_clear=False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010C" w:rsidRDefault="00510F8A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16"/>
              </w:rPr>
              <w:t>Hold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010C" w:rsidRDefault="00510F8A">
            <w:pPr>
              <w:spacing w:after="0"/>
            </w:pPr>
            <w:r>
              <w:rPr>
                <w:rFonts w:ascii="Cambria" w:eastAsia="Cambria" w:hAnsi="Cambria" w:cs="Cambria"/>
                <w:sz w:val="16"/>
              </w:rPr>
              <w:t>Hold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010C" w:rsidRDefault="00510F8A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16"/>
              </w:rPr>
              <w:t>Fee status is not clear.</w:t>
            </w:r>
            <w:r>
              <w:rPr>
                <w:sz w:val="24"/>
              </w:rPr>
              <w:t xml:space="preserve"> </w:t>
            </w:r>
          </w:p>
        </w:tc>
      </w:tr>
      <w:tr w:rsidR="00E2010C">
        <w:trPr>
          <w:trHeight w:val="705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010C" w:rsidRDefault="00510F8A">
            <w:pPr>
              <w:spacing w:after="0"/>
              <w:ind w:left="4"/>
            </w:pPr>
            <w:r>
              <w:rPr>
                <w:rFonts w:ascii="Cambria" w:eastAsia="Cambria" w:hAnsi="Cambria" w:cs="Cambria"/>
                <w:sz w:val="16"/>
              </w:rPr>
              <w:t>Threshold boundary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10C" w:rsidRDefault="00510F8A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16"/>
              </w:rPr>
              <w:t>score=70; docs=True; attendance=75; fee_clear=True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010C" w:rsidRDefault="00510F8A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16"/>
              </w:rPr>
              <w:t>Review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010C" w:rsidRDefault="00510F8A">
            <w:pPr>
              <w:spacing w:after="0"/>
            </w:pPr>
            <w:r>
              <w:rPr>
                <w:rFonts w:ascii="Cambria" w:eastAsia="Cambria" w:hAnsi="Cambria" w:cs="Cambria"/>
                <w:sz w:val="16"/>
              </w:rPr>
              <w:t>Review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10C" w:rsidRDefault="00510F8A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16"/>
              </w:rPr>
              <w:t>Score and attendance are exactly at the minimum thresholds.</w:t>
            </w:r>
            <w:r>
              <w:rPr>
                <w:sz w:val="24"/>
              </w:rPr>
              <w:t xml:space="preserve"> </w:t>
            </w:r>
          </w:p>
        </w:tc>
      </w:tr>
    </w:tbl>
    <w:p w:rsidR="00E2010C" w:rsidRDefault="00510F8A">
      <w:pPr>
        <w:pStyle w:val="Heading2"/>
        <w:ind w:left="-5"/>
      </w:pPr>
      <w:r>
        <w:t xml:space="preserve">4. How the Test Cases Were Selected </w:t>
      </w:r>
    </w:p>
    <w:p w:rsidR="00E2010C" w:rsidRDefault="00510F8A">
      <w:pPr>
        <w:spacing w:after="511" w:line="280" w:lineRule="auto"/>
        <w:ind w:left="-5" w:right="309" w:hanging="10"/>
      </w:pPr>
      <w:r>
        <w:rPr>
          <w:rFonts w:ascii="Cambria" w:eastAsia="Cambria" w:hAnsi="Cambria" w:cs="Cambria"/>
        </w:rPr>
        <w:t xml:space="preserve">The first case is a passing case where all conditions are true. The second changes only attendance to a value below its threshold, so it tests the new attendance rule. The third keeps the other conditions valid but sets fee_clear to False, so it tests the </w:t>
      </w:r>
      <w:r>
        <w:rPr>
          <w:rFonts w:ascii="Cambria" w:eastAsia="Cambria" w:hAnsi="Cambria" w:cs="Cambria"/>
        </w:rPr>
        <w:t>fee-status rule. The fourth uses score=70 and attendance=75 to check that the boundary values are accepted because the code uses &gt;= rather than &gt;.</w:t>
      </w:r>
      <w:r>
        <w:rPr>
          <w:sz w:val="24"/>
        </w:rPr>
        <w:t xml:space="preserve"> </w:t>
      </w:r>
    </w:p>
    <w:p w:rsidR="00E2010C" w:rsidRDefault="00510F8A">
      <w:pPr>
        <w:pStyle w:val="Heading2"/>
        <w:ind w:left="-5"/>
      </w:pPr>
      <w:r>
        <w:lastRenderedPageBreak/>
        <w:t xml:space="preserve">5. Result and Limitation </w:t>
      </w:r>
    </w:p>
    <w:p w:rsidR="00E2010C" w:rsidRDefault="00510F8A">
      <w:pPr>
        <w:spacing w:after="91" w:line="280" w:lineRule="auto"/>
        <w:ind w:left="-5" w:right="309" w:hanging="10"/>
      </w:pPr>
      <w:r>
        <w:rPr>
          <w:rFonts w:ascii="Cambria" w:eastAsia="Cambria" w:hAnsi="Cambria" w:cs="Cambria"/>
        </w:rPr>
        <w:t>The expected and actual results match for all four tests. The system is transparen</w:t>
      </w:r>
      <w:r>
        <w:rPr>
          <w:rFonts w:ascii="Cambria" w:eastAsia="Cambria" w:hAnsi="Cambria" w:cs="Cambria"/>
        </w:rPr>
        <w:t>t because each decision is based on visible conditions in the code. However, the thresholds and fee-status condition are assumed for this lab exercise and are not verified scholarship policy. The system only flags an application for human review; it does n</w:t>
      </w:r>
      <w:r>
        <w:rPr>
          <w:rFonts w:ascii="Cambria" w:eastAsia="Cambria" w:hAnsi="Cambria" w:cs="Cambria"/>
        </w:rPr>
        <w:t>ot decide whether the student receives a scholarship.</w:t>
      </w: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9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184"/>
      </w:pPr>
      <w:r>
        <w:rPr>
          <w:sz w:val="24"/>
        </w:rPr>
        <w:t xml:space="preserve"> </w:t>
      </w:r>
    </w:p>
    <w:p w:rsidR="00E2010C" w:rsidRDefault="00510F8A">
      <w:pPr>
        <w:spacing w:after="439"/>
      </w:pPr>
      <w:r>
        <w:rPr>
          <w:sz w:val="24"/>
        </w:rPr>
        <w:t xml:space="preserve"> </w:t>
      </w:r>
    </w:p>
    <w:p w:rsidR="00E2010C" w:rsidRDefault="00510F8A">
      <w:pPr>
        <w:pStyle w:val="Heading1"/>
        <w:spacing w:after="524"/>
      </w:pPr>
      <w:r>
        <w:rPr>
          <w:sz w:val="44"/>
        </w:rPr>
        <w:t xml:space="preserve"> Task 3  </w:t>
      </w:r>
    </w:p>
    <w:p w:rsidR="00E2010C" w:rsidRDefault="00510F8A">
      <w:pPr>
        <w:pStyle w:val="Heading2"/>
        <w:spacing w:after="65"/>
        <w:ind w:left="-5"/>
      </w:pPr>
      <w:r>
        <w:t>1. What the Conversational Test Observes</w:t>
      </w:r>
      <w:r>
        <w:rPr>
          <w:b w:val="0"/>
          <w:color w:val="0F4761"/>
          <w:sz w:val="40"/>
        </w:rPr>
        <w:t xml:space="preserve"> </w:t>
      </w:r>
    </w:p>
    <w:p w:rsidR="00E2010C" w:rsidRDefault="00510F8A">
      <w:pPr>
        <w:spacing w:after="124" w:line="271" w:lineRule="auto"/>
        <w:ind w:left="-5" w:right="190" w:hanging="10"/>
      </w:pPr>
      <w:r>
        <w:rPr>
          <w:color w:val="333333"/>
        </w:rPr>
        <w:t xml:space="preserve">The Turing Test (originally proposed by Alan Turing in 1950 as the 'Imitation Game') evaluates whether a computer can emulate human conversational behavior convincingly enough to deceive a human judge [cite: 1, 2]. When applied to modern conversational AI </w:t>
      </w:r>
      <w:r>
        <w:rPr>
          <w:color w:val="333333"/>
        </w:rPr>
        <w:t>assistants (such as Large Language Models), conversational testing observes specific superficial and behavioral surface traits [cite: 2, 4]:</w:t>
      </w:r>
      <w:r>
        <w:rPr>
          <w:sz w:val="24"/>
        </w:rPr>
        <w:t xml:space="preserve"> </w:t>
      </w:r>
    </w:p>
    <w:p w:rsidR="00E2010C" w:rsidRDefault="00510F8A">
      <w:pPr>
        <w:numPr>
          <w:ilvl w:val="0"/>
          <w:numId w:val="2"/>
        </w:numPr>
        <w:spacing w:after="31" w:line="271" w:lineRule="auto"/>
        <w:ind w:right="190" w:hanging="361"/>
      </w:pPr>
      <w:r>
        <w:rPr>
          <w:color w:val="333333"/>
        </w:rPr>
        <w:t>Linguistic Fluency &amp; Syntax: The ability to generate grammatical, stylistically polished, and coherent natural lan</w:t>
      </w:r>
      <w:r>
        <w:rPr>
          <w:color w:val="333333"/>
        </w:rPr>
        <w:t xml:space="preserve">guage responses across diverse topics [cite: 3, 4]. </w:t>
      </w:r>
    </w:p>
    <w:p w:rsidR="00E2010C" w:rsidRDefault="00510F8A">
      <w:pPr>
        <w:numPr>
          <w:ilvl w:val="0"/>
          <w:numId w:val="2"/>
        </w:numPr>
        <w:spacing w:after="31" w:line="271" w:lineRule="auto"/>
        <w:ind w:right="190" w:hanging="361"/>
      </w:pPr>
      <w:r>
        <w:rPr>
          <w:color w:val="333333"/>
        </w:rPr>
        <w:t xml:space="preserve">Contextual Pragmatics: Maintaining tone, conversational pacing, and topical relevance within a dialogue window based on statistical token prediction [cite: 2, 4]. </w:t>
      </w:r>
    </w:p>
    <w:p w:rsidR="00E2010C" w:rsidRDefault="00510F8A">
      <w:pPr>
        <w:numPr>
          <w:ilvl w:val="0"/>
          <w:numId w:val="2"/>
        </w:numPr>
        <w:spacing w:after="705" w:line="271" w:lineRule="auto"/>
        <w:ind w:right="190" w:hanging="361"/>
      </w:pPr>
      <w:r>
        <w:rPr>
          <w:color w:val="333333"/>
        </w:rPr>
        <w:t>Surface Plausibility &amp; Rhetoric: The ca</w:t>
      </w:r>
      <w:r>
        <w:rPr>
          <w:color w:val="333333"/>
        </w:rPr>
        <w:t xml:space="preserve">pacity to present explanations persuasively, adopt distinct personas, and construct structured argumentations [cite: 2, 4]. </w:t>
      </w:r>
    </w:p>
    <w:p w:rsidR="00E2010C" w:rsidRDefault="00510F8A">
      <w:pPr>
        <w:pStyle w:val="Heading2"/>
        <w:spacing w:after="65"/>
        <w:ind w:left="-5"/>
      </w:pPr>
      <w:r>
        <w:t>2. What the Conversational Test Fails to Establish</w:t>
      </w:r>
      <w:r>
        <w:rPr>
          <w:b w:val="0"/>
          <w:color w:val="0F4761"/>
          <w:sz w:val="40"/>
        </w:rPr>
        <w:t xml:space="preserve"> </w:t>
      </w:r>
    </w:p>
    <w:p w:rsidR="00E2010C" w:rsidRDefault="00510F8A">
      <w:pPr>
        <w:spacing w:after="2" w:line="271" w:lineRule="auto"/>
        <w:ind w:left="-5" w:right="190" w:hanging="10"/>
      </w:pPr>
      <w:r>
        <w:rPr>
          <w:color w:val="333333"/>
        </w:rPr>
        <w:t>Passing a conversational test evaluates communicative imitation rather than cog</w:t>
      </w:r>
      <w:r>
        <w:rPr>
          <w:color w:val="333333"/>
        </w:rPr>
        <w:t xml:space="preserve">nitive understanding or </w:t>
      </w:r>
    </w:p>
    <w:p w:rsidR="00E2010C" w:rsidRDefault="00510F8A">
      <w:pPr>
        <w:spacing w:after="2" w:line="271" w:lineRule="auto"/>
        <w:ind w:left="-5" w:right="190" w:hanging="10"/>
      </w:pPr>
      <w:r>
        <w:rPr>
          <w:color w:val="333333"/>
        </w:rPr>
        <w:lastRenderedPageBreak/>
        <w:t>Artificial General Intelligence (AGI) [cite: 2, 4]. As highlighted by John Searle's Chinese Room thought experiment (1980), syntactic manipulation of symbols does not equal semantic comprehension or intentionality [cite: 1, 2]. Spe</w:t>
      </w:r>
      <w:r>
        <w:rPr>
          <w:color w:val="333333"/>
        </w:rPr>
        <w:t>cifically, a conversational test fails to observe or establish:</w:t>
      </w:r>
      <w:r>
        <w:rPr>
          <w:sz w:val="24"/>
        </w:rPr>
        <w:t xml:space="preserve"> </w:t>
      </w:r>
    </w:p>
    <w:tbl>
      <w:tblPr>
        <w:tblStyle w:val="TableGrid"/>
        <w:tblW w:w="9364" w:type="dxa"/>
        <w:tblInd w:w="0" w:type="dxa"/>
        <w:tblCellMar>
          <w:top w:w="264" w:type="dxa"/>
          <w:left w:w="0" w:type="dxa"/>
          <w:bottom w:w="156" w:type="dxa"/>
          <w:right w:w="115" w:type="dxa"/>
        </w:tblCellMar>
        <w:tblLook w:val="04A0" w:firstRow="1" w:lastRow="0" w:firstColumn="1" w:lastColumn="0" w:noHBand="0" w:noVBand="1"/>
      </w:tblPr>
      <w:tblGrid>
        <w:gridCol w:w="4792"/>
        <w:gridCol w:w="4572"/>
      </w:tblGrid>
      <w:tr w:rsidR="00E2010C">
        <w:trPr>
          <w:trHeight w:val="646"/>
        </w:trPr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bottom"/>
          </w:tcPr>
          <w:p w:rsidR="00E2010C" w:rsidRDefault="00510F8A">
            <w:pPr>
              <w:spacing w:after="0"/>
              <w:ind w:left="110"/>
            </w:pPr>
            <w:r>
              <w:rPr>
                <w:b/>
                <w:color w:val="FFFFFF"/>
              </w:rPr>
              <w:t>Observed Behavior (Conversational Test)</w:t>
            </w:r>
            <w:r>
              <w:rPr>
                <w:color w:val="FFFFFF"/>
                <w:sz w:val="24"/>
              </w:rPr>
              <w:t xml:space="preserve"> 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bottom"/>
          </w:tcPr>
          <w:p w:rsidR="00E2010C" w:rsidRDefault="00510F8A">
            <w:pPr>
              <w:spacing w:after="0"/>
            </w:pPr>
            <w:r>
              <w:rPr>
                <w:b/>
                <w:color w:val="FFFFFF"/>
              </w:rPr>
              <w:t>Unobserved Requirement (General Intelligence)</w:t>
            </w:r>
            <w:r>
              <w:rPr>
                <w:color w:val="FFFFFF"/>
                <w:sz w:val="24"/>
              </w:rPr>
              <w:t xml:space="preserve"> </w:t>
            </w:r>
          </w:p>
        </w:tc>
      </w:tr>
      <w:tr w:rsidR="00E2010C">
        <w:trPr>
          <w:trHeight w:val="955"/>
        </w:trPr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</w:tcPr>
          <w:p w:rsidR="00E2010C" w:rsidRDefault="00510F8A">
            <w:pPr>
              <w:spacing w:after="0"/>
              <w:ind w:left="110"/>
            </w:pPr>
            <w:r>
              <w:rPr>
                <w:color w:val="333333"/>
              </w:rPr>
              <w:t>Fluency in explanation and phrasing [cite: 3, 4]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vAlign w:val="bottom"/>
          </w:tcPr>
          <w:p w:rsidR="00E2010C" w:rsidRDefault="00510F8A">
            <w:pPr>
              <w:spacing w:after="0"/>
            </w:pPr>
            <w:r>
              <w:rPr>
                <w:color w:val="333333"/>
              </w:rPr>
              <w:t>Verifiable adherence to deterministic domain logic/policy [cite: 2, 4]</w:t>
            </w:r>
            <w:r>
              <w:rPr>
                <w:sz w:val="24"/>
              </w:rPr>
              <w:t xml:space="preserve"> </w:t>
            </w:r>
          </w:p>
        </w:tc>
      </w:tr>
      <w:tr w:rsidR="00E2010C">
        <w:trPr>
          <w:trHeight w:val="951"/>
        </w:trPr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2010C" w:rsidRDefault="00510F8A">
            <w:pPr>
              <w:spacing w:after="0"/>
              <w:ind w:left="110"/>
            </w:pPr>
            <w:r>
              <w:rPr>
                <w:color w:val="333333"/>
              </w:rPr>
              <w:t>Plausible justification of screening flags [cite: 2, 3]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E2010C" w:rsidRDefault="00510F8A">
            <w:pPr>
              <w:spacing w:after="0"/>
            </w:pPr>
            <w:r>
              <w:rPr>
                <w:color w:val="333333"/>
              </w:rPr>
              <w:t>True semantic grounding and awareness of missing inputs [cite: 2, 3]</w:t>
            </w:r>
            <w:r>
              <w:rPr>
                <w:sz w:val="24"/>
              </w:rPr>
              <w:t xml:space="preserve"> </w:t>
            </w:r>
          </w:p>
        </w:tc>
      </w:tr>
      <w:tr w:rsidR="00E2010C">
        <w:trPr>
          <w:trHeight w:val="956"/>
        </w:trPr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</w:tcPr>
          <w:p w:rsidR="00E2010C" w:rsidRDefault="00510F8A">
            <w:pPr>
              <w:spacing w:after="0"/>
              <w:ind w:left="110"/>
            </w:pPr>
            <w:r>
              <w:rPr>
                <w:color w:val="333333"/>
              </w:rPr>
              <w:t>High statistical probability of responses [cite: 2]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vAlign w:val="bottom"/>
          </w:tcPr>
          <w:p w:rsidR="00E2010C" w:rsidRDefault="00510F8A">
            <w:pPr>
              <w:spacing w:after="0"/>
            </w:pPr>
            <w:r>
              <w:rPr>
                <w:color w:val="333333"/>
              </w:rPr>
              <w:t>Guaranteed execution of safety and completeness rules [cite: 2, 4]</w:t>
            </w:r>
            <w:r>
              <w:rPr>
                <w:sz w:val="24"/>
              </w:rPr>
              <w:t xml:space="preserve"> </w:t>
            </w:r>
          </w:p>
        </w:tc>
      </w:tr>
    </w:tbl>
    <w:p w:rsidR="00E2010C" w:rsidRDefault="00510F8A">
      <w:pPr>
        <w:pStyle w:val="Heading2"/>
        <w:spacing w:after="186"/>
        <w:ind w:left="-5"/>
      </w:pPr>
      <w:r>
        <w:t xml:space="preserve">3. Focused Failure Analysis: The Scholarship Screening Case </w:t>
      </w:r>
    </w:p>
    <w:p w:rsidR="00E2010C" w:rsidRDefault="00510F8A">
      <w:pPr>
        <w:spacing w:after="199" w:line="271" w:lineRule="auto"/>
        <w:ind w:left="-5" w:right="190" w:hanging="10"/>
      </w:pPr>
      <w:r>
        <w:rPr>
          <w:color w:val="333333"/>
        </w:rPr>
        <w:t xml:space="preserve">In the context of the scholarship screening prototype (Section </w:t>
      </w:r>
      <w:proofErr w:type="gramStart"/>
      <w:r>
        <w:rPr>
          <w:color w:val="333333"/>
        </w:rPr>
        <w:t xml:space="preserve">1.4  </w:t>
      </w:r>
      <w:r>
        <w:rPr>
          <w:color w:val="333333"/>
        </w:rPr>
        <w:t>1.6</w:t>
      </w:r>
      <w:proofErr w:type="gramEnd"/>
      <w:r>
        <w:rPr>
          <w:color w:val="333333"/>
        </w:rPr>
        <w:t>), the system must evaluate applicant profiles based on explicit policy rules: score &gt;= 70 and complete == True [cite: 2, 3]. A conversational AI assistant integrated into this helpdesk/screening pipeline presents a distinct failure mode where fluency m</w:t>
      </w:r>
      <w:r>
        <w:rPr>
          <w:color w:val="333333"/>
        </w:rPr>
        <w:t>asks policy violation [cite: 1, 2].</w:t>
      </w:r>
      <w:r>
        <w:rPr>
          <w:sz w:val="24"/>
        </w:rPr>
        <w:t xml:space="preserve"> </w:t>
      </w:r>
    </w:p>
    <w:p w:rsidR="00E2010C" w:rsidRDefault="00510F8A">
      <w:pPr>
        <w:spacing w:after="58" w:line="271" w:lineRule="auto"/>
        <w:ind w:left="-5" w:right="190" w:hanging="10"/>
      </w:pPr>
      <w:r>
        <w:rPr>
          <w:color w:val="333333"/>
        </w:rPr>
        <w:t>Analysis of Failure: In this scenario, the conversational assistant produces fluent, articulate, and highly polite text [cite: 2, 3]. To an uncritical human user, the response sounds completely authoritative and intelli</w:t>
      </w:r>
      <w:r>
        <w:rPr>
          <w:color w:val="333333"/>
        </w:rPr>
        <w:t xml:space="preserve">gent [cite: 1, 2]. However, the model suffered a fundamental policy reasoning failure [cite: 2]: it focused entirely on the high academic score (91) while completely overlooking the missing required documentation (documents_complete = False) [cite: 2, 3]. </w:t>
      </w:r>
      <w:r>
        <w:rPr>
          <w:color w:val="333333"/>
        </w:rPr>
        <w:t xml:space="preserve">In contrast to the rule-based system (symbolic), which transparently exposes its logical prerequisites, the conversational assistant prioritizes smooth text generation over strict rule compliance, leading to an unwarranted and erroneous action </w:t>
      </w:r>
    </w:p>
    <w:p w:rsidR="00E2010C" w:rsidRDefault="00510F8A">
      <w:pPr>
        <w:spacing w:after="271" w:line="271" w:lineRule="auto"/>
        <w:ind w:left="-5" w:right="190" w:hanging="10"/>
      </w:pPr>
      <w:r>
        <w:rPr>
          <w:color w:val="333333"/>
        </w:rPr>
        <w:t>[</w:t>
      </w:r>
      <w:proofErr w:type="gramStart"/>
      <w:r>
        <w:rPr>
          <w:color w:val="333333"/>
        </w:rPr>
        <w:t>cite</w:t>
      </w:r>
      <w:proofErr w:type="gramEnd"/>
      <w:r>
        <w:rPr>
          <w:color w:val="333333"/>
        </w:rPr>
        <w:t>: 2, 3</w:t>
      </w:r>
      <w:r>
        <w:rPr>
          <w:color w:val="333333"/>
        </w:rPr>
        <w:t>].</w:t>
      </w:r>
      <w:r>
        <w:rPr>
          <w:sz w:val="24"/>
        </w:rPr>
        <w:t xml:space="preserve"> </w:t>
      </w:r>
    </w:p>
    <w:p w:rsidR="00E2010C" w:rsidRDefault="00510F8A">
      <w:pPr>
        <w:spacing w:after="0"/>
      </w:pPr>
      <w:r>
        <w:rPr>
          <w:b/>
          <w:color w:val="333333"/>
        </w:rPr>
        <w:t>Python Demonstration Code (Simulating Disagreement &amp; Failure Analysis):</w:t>
      </w:r>
      <w:r>
        <w:rPr>
          <w:sz w:val="24"/>
        </w:rPr>
        <w:t xml:space="preserve"> </w:t>
      </w:r>
    </w:p>
    <w:tbl>
      <w:tblPr>
        <w:tblStyle w:val="TableGrid"/>
        <w:tblW w:w="9364" w:type="dxa"/>
        <w:tblInd w:w="0" w:type="dxa"/>
        <w:tblCellMar>
          <w:top w:w="0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4"/>
      </w:tblGrid>
      <w:tr w:rsidR="00E2010C">
        <w:trPr>
          <w:trHeight w:val="2906"/>
        </w:trPr>
        <w:tc>
          <w:tcPr>
            <w:tcW w:w="9364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vAlign w:val="bottom"/>
          </w:tcPr>
          <w:p w:rsidR="00E2010C" w:rsidRDefault="00510F8A">
            <w:pPr>
              <w:spacing w:after="0" w:line="293" w:lineRule="auto"/>
              <w:ind w:right="2928"/>
            </w:pPr>
            <w:r>
              <w:rPr>
                <w:rFonts w:ascii="Consolas" w:eastAsia="Consolas" w:hAnsi="Consolas" w:cs="Consolas"/>
                <w:color w:val="FFFFFF"/>
                <w:sz w:val="19"/>
              </w:rPr>
              <w:lastRenderedPageBreak/>
              <w:t>def symbolic_checker(score, complete):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  <w:sz w:val="19"/>
              </w:rPr>
              <w:t xml:space="preserve">    return 'Review' if complete and score &gt;= 70 else 'Hold'</w:t>
            </w:r>
            <w:r>
              <w:rPr>
                <w:color w:val="FFFFFF"/>
                <w:sz w:val="24"/>
              </w:rPr>
              <w:t xml:space="preserve"> </w:t>
            </w:r>
          </w:p>
          <w:p w:rsidR="00E2010C" w:rsidRDefault="00510F8A">
            <w:pPr>
              <w:spacing w:after="52"/>
            </w:pPr>
            <w:r>
              <w:rPr>
                <w:color w:val="FFFFFF"/>
                <w:sz w:val="24"/>
              </w:rPr>
              <w:t xml:space="preserve"> </w:t>
            </w:r>
          </w:p>
          <w:p w:rsidR="00E2010C" w:rsidRDefault="00510F8A">
            <w:pPr>
              <w:spacing w:after="37"/>
            </w:pPr>
            <w:r>
              <w:rPr>
                <w:rFonts w:ascii="Consolas" w:eastAsia="Consolas" w:hAnsi="Consolas" w:cs="Consolas"/>
                <w:color w:val="FFFFFF"/>
                <w:sz w:val="19"/>
              </w:rPr>
              <w:t>def simulated_llm_assistant(score, complete):</w:t>
            </w:r>
            <w:r>
              <w:rPr>
                <w:color w:val="FFFFFF"/>
                <w:sz w:val="24"/>
              </w:rPr>
              <w:t xml:space="preserve"> </w:t>
            </w:r>
          </w:p>
          <w:p w:rsidR="00E2010C" w:rsidRDefault="00510F8A">
            <w:pPr>
              <w:spacing w:after="2" w:line="292" w:lineRule="auto"/>
              <w:ind w:right="792"/>
            </w:pPr>
            <w:r>
              <w:rPr>
                <w:rFonts w:ascii="Consolas" w:eastAsia="Consolas" w:hAnsi="Consolas" w:cs="Consolas"/>
                <w:color w:val="FFFFFF"/>
                <w:sz w:val="19"/>
              </w:rPr>
              <w:t xml:space="preserve">    # LLM fluently focuses on </w:t>
            </w:r>
            <w:r>
              <w:rPr>
                <w:rFonts w:ascii="Consolas" w:eastAsia="Consolas" w:hAnsi="Consolas" w:cs="Consolas"/>
                <w:color w:val="FFFFFF"/>
                <w:sz w:val="19"/>
              </w:rPr>
              <w:t>high academic performance, failing policy check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  <w:sz w:val="19"/>
              </w:rPr>
              <w:t xml:space="preserve">    if score &gt;= 70:</w:t>
            </w:r>
            <w:r>
              <w:rPr>
                <w:color w:val="FFFFFF"/>
                <w:sz w:val="24"/>
              </w:rPr>
              <w:t xml:space="preserve"> </w:t>
            </w:r>
          </w:p>
          <w:p w:rsidR="00E2010C" w:rsidRDefault="00510F8A">
            <w:pPr>
              <w:spacing w:after="0" w:line="293" w:lineRule="auto"/>
              <w:ind w:right="267"/>
            </w:pPr>
            <w:r>
              <w:rPr>
                <w:rFonts w:ascii="Consolas" w:eastAsia="Consolas" w:hAnsi="Consolas" w:cs="Consolas"/>
                <w:color w:val="FFFFFF"/>
                <w:sz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19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19"/>
              </w:rPr>
              <w:t xml:space="preserve"> f'Approved: High score of {score} achieves priority benchmark.'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  <w:sz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19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19"/>
              </w:rPr>
              <w:t xml:space="preserve"> 'Hold: Low score.'</w:t>
            </w:r>
            <w:r>
              <w:rPr>
                <w:color w:val="FFFFFF"/>
                <w:sz w:val="24"/>
              </w:rPr>
              <w:t xml:space="preserve"> </w:t>
            </w:r>
          </w:p>
          <w:p w:rsidR="00E2010C" w:rsidRDefault="00510F8A">
            <w:pPr>
              <w:spacing w:after="0"/>
            </w:pPr>
            <w:r>
              <w:rPr>
                <w:color w:val="FFFFFF"/>
                <w:sz w:val="24"/>
              </w:rPr>
              <w:t xml:space="preserve"> </w:t>
            </w:r>
          </w:p>
        </w:tc>
      </w:tr>
      <w:tr w:rsidR="00E2010C">
        <w:trPr>
          <w:trHeight w:val="2981"/>
        </w:trPr>
        <w:tc>
          <w:tcPr>
            <w:tcW w:w="9364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E2010C" w:rsidRDefault="00510F8A">
            <w:pPr>
              <w:spacing w:after="1" w:line="293" w:lineRule="auto"/>
              <w:ind w:right="6119"/>
            </w:pPr>
            <w:r>
              <w:rPr>
                <w:rFonts w:ascii="Consolas" w:eastAsia="Consolas" w:hAnsi="Consolas" w:cs="Consolas"/>
                <w:color w:val="FFFFFF"/>
                <w:sz w:val="19"/>
              </w:rPr>
              <w:t># Edge Case Evaluation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  <w:sz w:val="19"/>
              </w:rPr>
              <w:t>score, complete = 91, False</w:t>
            </w:r>
            <w:r>
              <w:rPr>
                <w:color w:val="FFFFFF"/>
                <w:sz w:val="24"/>
              </w:rPr>
              <w:t xml:space="preserve"> </w:t>
            </w:r>
          </w:p>
          <w:p w:rsidR="00E2010C" w:rsidRDefault="00510F8A">
            <w:pPr>
              <w:spacing w:after="0" w:line="290" w:lineRule="auto"/>
              <w:ind w:right="2668"/>
            </w:pPr>
            <w:r>
              <w:rPr>
                <w:rFonts w:ascii="Consolas" w:eastAsia="Consolas" w:hAnsi="Consolas" w:cs="Consolas"/>
                <w:color w:val="FFFFFF"/>
                <w:sz w:val="19"/>
              </w:rPr>
              <w:t>rule_decision = symbolic_checker(score, complete)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  <w:sz w:val="19"/>
              </w:rPr>
              <w:t>llm_response = simulated_llm_assistant(score, complete)</w:t>
            </w:r>
            <w:r>
              <w:rPr>
                <w:color w:val="FFFFFF"/>
                <w:sz w:val="24"/>
              </w:rPr>
              <w:t xml:space="preserve"> </w:t>
            </w:r>
          </w:p>
          <w:p w:rsidR="00E2010C" w:rsidRDefault="00510F8A">
            <w:pPr>
              <w:spacing w:after="52"/>
            </w:pPr>
            <w:r>
              <w:rPr>
                <w:color w:val="FFFFFF"/>
                <w:sz w:val="24"/>
              </w:rPr>
              <w:t xml:space="preserve"> </w:t>
            </w:r>
          </w:p>
          <w:p w:rsidR="00E2010C" w:rsidRDefault="00510F8A">
            <w:pPr>
              <w:spacing w:after="0" w:line="287" w:lineRule="auto"/>
            </w:pPr>
            <w:r>
              <w:rPr>
                <w:rFonts w:ascii="Consolas" w:eastAsia="Consolas" w:hAnsi="Consolas" w:cs="Consolas"/>
                <w:color w:val="FFFFFF"/>
                <w:sz w:val="19"/>
              </w:rPr>
              <w:t>print(f'Symbolic Rule Decision : {rule_decision}')      # Output: Hold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  <w:sz w:val="19"/>
              </w:rPr>
              <w:t>print(f'Conversational Output  : {llm_response}')    # Output: Approved...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  <w:sz w:val="19"/>
              </w:rPr>
              <w:t>p</w:t>
            </w:r>
            <w:r>
              <w:rPr>
                <w:rFonts w:ascii="Consolas" w:eastAsia="Consolas" w:hAnsi="Consolas" w:cs="Consolas"/>
                <w:color w:val="FFFFFF"/>
                <w:sz w:val="19"/>
              </w:rPr>
              <w:t>rint(f'Policy Violation Flag  : {rule_decision != "Review" and "Approved" in llm_response}') # Output: True</w:t>
            </w:r>
            <w:r>
              <w:rPr>
                <w:color w:val="FFFFFF"/>
                <w:sz w:val="24"/>
              </w:rPr>
              <w:t xml:space="preserve"> </w:t>
            </w:r>
          </w:p>
          <w:p w:rsidR="00E2010C" w:rsidRDefault="00510F8A">
            <w:pPr>
              <w:spacing w:after="0"/>
            </w:pPr>
            <w:r>
              <w:rPr>
                <w:rFonts w:ascii="Consolas" w:eastAsia="Consolas" w:hAnsi="Consolas" w:cs="Consolas"/>
                <w:color w:val="FFFFFF"/>
                <w:sz w:val="19"/>
              </w:rPr>
              <w:t xml:space="preserve"> </w:t>
            </w:r>
          </w:p>
        </w:tc>
      </w:tr>
    </w:tbl>
    <w:p w:rsidR="00E2010C" w:rsidRDefault="00510F8A">
      <w:pPr>
        <w:spacing w:after="0"/>
        <w:jc w:val="both"/>
      </w:pPr>
      <w:r>
        <w:rPr>
          <w:b/>
          <w:color w:val="366091"/>
          <w:sz w:val="28"/>
        </w:rPr>
        <w:t xml:space="preserve"> </w:t>
      </w:r>
    </w:p>
    <w:p w:rsidR="00E2010C" w:rsidRDefault="00510F8A">
      <w:pPr>
        <w:spacing w:after="0"/>
        <w:jc w:val="both"/>
      </w:pPr>
      <w:r>
        <w:rPr>
          <w:sz w:val="24"/>
        </w:rPr>
        <w:t xml:space="preserve"> </w:t>
      </w:r>
    </w:p>
    <w:sectPr w:rsidR="00E2010C">
      <w:pgSz w:w="12240" w:h="15840"/>
      <w:pgMar w:top="1440" w:right="1127" w:bottom="159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152E82"/>
    <w:multiLevelType w:val="hybridMultilevel"/>
    <w:tmpl w:val="F3FC9D9C"/>
    <w:lvl w:ilvl="0" w:tplc="DEF038DA">
      <w:start w:val="1"/>
      <w:numFmt w:val="decimal"/>
      <w:lvlText w:val="%1.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CCD9C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5AE17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4883C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4E39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90921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CEB0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42685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241E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C3659D"/>
    <w:multiLevelType w:val="hybridMultilevel"/>
    <w:tmpl w:val="0C604364"/>
    <w:lvl w:ilvl="0" w:tplc="B00666C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74AAF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B6E8B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24FB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92E99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A24A2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9EBF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7019A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78313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10C"/>
    <w:rsid w:val="00510F8A"/>
    <w:rsid w:val="00E2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07273B-B235-4162-8C41-CCE0552D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outlineLvl w:val="0"/>
    </w:pPr>
    <w:rPr>
      <w:rFonts w:ascii="Calibri" w:eastAsia="Calibri" w:hAnsi="Calibri" w:cs="Calibri"/>
      <w:b/>
      <w:color w:val="FF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10" w:hanging="10"/>
      <w:outlineLvl w:val="1"/>
    </w:pPr>
    <w:rPr>
      <w:rFonts w:ascii="Calibri" w:eastAsia="Calibri" w:hAnsi="Calibri" w:cs="Calibri"/>
      <w:b/>
      <w:color w:val="FF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0000"/>
      <w:sz w:val="2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FF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i100.stanford.edu/reports/2016-report/appendix-i-short-history-ai" TargetMode="External"/><Relationship Id="rId18" Type="http://schemas.openxmlformats.org/officeDocument/2006/relationships/hyperlink" Target="https://ai100.stanford.edu/reports/2016-report/appendix-i-short-history-ai" TargetMode="External"/><Relationship Id="rId26" Type="http://schemas.openxmlformats.org/officeDocument/2006/relationships/hyperlink" Target="https://blogs.nvidia.com/blog/accelerating-ai-artificial-intelligence-gpu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i100.stanford.edu/reports/2016-report/appendix-i-short-history-ai" TargetMode="External"/><Relationship Id="rId34" Type="http://schemas.openxmlformats.org/officeDocument/2006/relationships/hyperlink" Target="https://blogs.nvidia.com/blog/accelerating-ai-artificial-intelligence-gpus/" TargetMode="External"/><Relationship Id="rId7" Type="http://schemas.openxmlformats.org/officeDocument/2006/relationships/hyperlink" Target="https://ai.dartmouth.edu/our-story" TargetMode="External"/><Relationship Id="rId12" Type="http://schemas.openxmlformats.org/officeDocument/2006/relationships/hyperlink" Target="https://ai100.stanford.edu/about/history" TargetMode="External"/><Relationship Id="rId17" Type="http://schemas.openxmlformats.org/officeDocument/2006/relationships/hyperlink" Target="https://ai100.stanford.edu/reports/2016-report/appendix-i-short-history-ai" TargetMode="External"/><Relationship Id="rId25" Type="http://schemas.openxmlformats.org/officeDocument/2006/relationships/hyperlink" Target="https://blogs.nvidia.com/blog/accelerating-ai-artificial-intelligence-gpus/" TargetMode="External"/><Relationship Id="rId33" Type="http://schemas.openxmlformats.org/officeDocument/2006/relationships/hyperlink" Target="https://blogs.nvidia.com/blog/accelerating-ai-artificial-intelligence-gpu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i100.stanford.edu/reports/2016-report/appendix-i-short-history-ai" TargetMode="External"/><Relationship Id="rId20" Type="http://schemas.openxmlformats.org/officeDocument/2006/relationships/hyperlink" Target="https://ai100.stanford.edu/reports/2016-report/appendix-i-short-history-ai" TargetMode="External"/><Relationship Id="rId29" Type="http://schemas.openxmlformats.org/officeDocument/2006/relationships/hyperlink" Target="https://blogs.nvidia.com/blog/accelerating-ai-artificial-intelligence-gpu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i100.stanford.edu/about/history" TargetMode="External"/><Relationship Id="rId11" Type="http://schemas.openxmlformats.org/officeDocument/2006/relationships/hyperlink" Target="https://ai100.stanford.edu/about/history" TargetMode="External"/><Relationship Id="rId24" Type="http://schemas.openxmlformats.org/officeDocument/2006/relationships/hyperlink" Target="https://ai100.stanford.edu/reports/2016-report/appendix-i-short-history-ai" TargetMode="External"/><Relationship Id="rId32" Type="http://schemas.openxmlformats.org/officeDocument/2006/relationships/hyperlink" Target="https://blogs.nvidia.com/blog/accelerating-ai-artificial-intelligence-gpus/" TargetMode="External"/><Relationship Id="rId37" Type="http://schemas.openxmlformats.org/officeDocument/2006/relationships/image" Target="media/image3.jpg"/><Relationship Id="rId5" Type="http://schemas.openxmlformats.org/officeDocument/2006/relationships/hyperlink" Target="https://ai100.stanford.edu/about/history" TargetMode="External"/><Relationship Id="rId15" Type="http://schemas.openxmlformats.org/officeDocument/2006/relationships/hyperlink" Target="https://ai100.stanford.edu/reports/2016-report/appendix-i-short-history-ai" TargetMode="External"/><Relationship Id="rId23" Type="http://schemas.openxmlformats.org/officeDocument/2006/relationships/hyperlink" Target="https://ai100.stanford.edu/reports/2016-report/appendix-i-short-history-ai" TargetMode="External"/><Relationship Id="rId28" Type="http://schemas.openxmlformats.org/officeDocument/2006/relationships/hyperlink" Target="https://blogs.nvidia.com/blog/accelerating-ai-artificial-intelligence-gpus/" TargetMode="External"/><Relationship Id="rId36" Type="http://schemas.openxmlformats.org/officeDocument/2006/relationships/image" Target="media/image2.jpg"/><Relationship Id="rId10" Type="http://schemas.openxmlformats.org/officeDocument/2006/relationships/hyperlink" Target="https://ai.dartmouth.edu/our-story" TargetMode="External"/><Relationship Id="rId19" Type="http://schemas.openxmlformats.org/officeDocument/2006/relationships/hyperlink" Target="https://ai100.stanford.edu/reports/2016-report/appendix-i-short-history-ai" TargetMode="External"/><Relationship Id="rId31" Type="http://schemas.openxmlformats.org/officeDocument/2006/relationships/hyperlink" Target="https://blogs.nvidia.com/blog/accelerating-ai-artificial-intelligence-gpu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.dartmouth.edu/our-story" TargetMode="External"/><Relationship Id="rId14" Type="http://schemas.openxmlformats.org/officeDocument/2006/relationships/hyperlink" Target="https://ai100.stanford.edu/reports/2016-report/appendix-i-short-history-ai" TargetMode="External"/><Relationship Id="rId22" Type="http://schemas.openxmlformats.org/officeDocument/2006/relationships/hyperlink" Target="https://ai100.stanford.edu/reports/2016-report/appendix-i-short-history-ai" TargetMode="External"/><Relationship Id="rId27" Type="http://schemas.openxmlformats.org/officeDocument/2006/relationships/hyperlink" Target="https://blogs.nvidia.com/blog/accelerating-ai-artificial-intelligence-gpus/" TargetMode="External"/><Relationship Id="rId30" Type="http://schemas.openxmlformats.org/officeDocument/2006/relationships/hyperlink" Target="https://blogs.nvidia.com/blog/accelerating-ai-artificial-intelligence-gpus/" TargetMode="External"/><Relationship Id="rId35" Type="http://schemas.openxmlformats.org/officeDocument/2006/relationships/image" Target="media/image1.jpg"/><Relationship Id="rId8" Type="http://schemas.openxmlformats.org/officeDocument/2006/relationships/hyperlink" Target="https://ai.dartmouth.edu/our-story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1707</Words>
  <Characters>9735</Characters>
  <Application>Microsoft Office Word</Application>
  <DocSecurity>0</DocSecurity>
  <Lines>81</Lines>
  <Paragraphs>22</Paragraphs>
  <ScaleCrop>false</ScaleCrop>
  <Company/>
  <LinksUpToDate>false</LinksUpToDate>
  <CharactersWithSpaces>11420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Nomi Nasaz</dc:creator>
  <cp:keywords/>
  <cp:lastModifiedBy>Administrator</cp:lastModifiedBy>
  <cp:revision>2</cp:revision>
  <dcterms:created xsi:type="dcterms:W3CDTF">2026-10-29T16:44:00Z</dcterms:created>
  <dcterms:modified xsi:type="dcterms:W3CDTF">2026-10-29T16:44:00Z</dcterms:modified>
</cp:coreProperties>
</file>