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80" w:before="0" w:after="0"/>
        <w:ind w:firstLine="0"/>
      </w:pPr>
      <w:r>
        <w:rPr>
          <w:rFonts w:ascii="Times New Roman" w:hAnsi="Times New Roman" w:cs="Times New Roman" w:eastAsia="Times New Roman"/>
          <w:b w:val="0"/>
          <w:i w:val="0"/>
          <w:sz w:val="24"/>
        </w:rPr>
        <w:t>Margaret E. Calderón, Esq. (SBN 248391)</w:t>
      </w:r>
    </w:p>
    <w:p>
      <w:pPr>
        <w:spacing w:lineRule="exact" w:line="480" w:before="0" w:after="0"/>
        <w:ind w:firstLine="0"/>
      </w:pPr>
      <w:r>
        <w:rPr>
          <w:rFonts w:ascii="Times New Roman" w:hAnsi="Times New Roman" w:cs="Times New Roman" w:eastAsia="Times New Roman"/>
          <w:b w:val="0"/>
          <w:i w:val="0"/>
          <w:sz w:val="24"/>
        </w:rPr>
        <w:t>Julian T. Rhee, Esq. (SBN 312047)</w:t>
      </w:r>
    </w:p>
    <w:p>
      <w:pPr>
        <w:spacing w:lineRule="exact" w:line="480" w:before="0" w:after="0"/>
        <w:ind w:firstLine="0"/>
      </w:pPr>
      <w:r>
        <w:rPr>
          <w:rFonts w:ascii="Times New Roman" w:hAnsi="Times New Roman" w:cs="Times New Roman" w:eastAsia="Times New Roman"/>
          <w:b w:val="0"/>
          <w:i w:val="0"/>
          <w:sz w:val="24"/>
        </w:rPr>
        <w:t>LOZANO SMITH</w:t>
      </w:r>
    </w:p>
    <w:p>
      <w:pPr>
        <w:spacing w:lineRule="exact" w:line="480" w:before="0" w:after="0"/>
        <w:ind w:firstLine="0"/>
      </w:pPr>
      <w:r>
        <w:rPr>
          <w:rFonts w:ascii="Times New Roman" w:hAnsi="Times New Roman" w:cs="Times New Roman" w:eastAsia="Times New Roman"/>
          <w:b w:val="0"/>
          <w:i w:val="0"/>
          <w:sz w:val="24"/>
        </w:rPr>
        <w:t>2000 Crow Canyon Place, Suite 200</w:t>
      </w:r>
    </w:p>
    <w:p>
      <w:pPr>
        <w:spacing w:lineRule="exact" w:line="480" w:before="0" w:after="0"/>
        <w:ind w:firstLine="0"/>
      </w:pPr>
      <w:r>
        <w:rPr>
          <w:rFonts w:ascii="Times New Roman" w:hAnsi="Times New Roman" w:cs="Times New Roman" w:eastAsia="Times New Roman"/>
          <w:b w:val="0"/>
          <w:i w:val="0"/>
          <w:sz w:val="24"/>
        </w:rPr>
        <w:t>San Ramon, CA 94583</w:t>
      </w:r>
    </w:p>
    <w:p>
      <w:pPr>
        <w:spacing w:lineRule="exact" w:line="480" w:before="0" w:after="0"/>
        <w:ind w:firstLine="0"/>
      </w:pPr>
      <w:r>
        <w:rPr>
          <w:rFonts w:ascii="Times New Roman" w:hAnsi="Times New Roman" w:cs="Times New Roman" w:eastAsia="Times New Roman"/>
          <w:b w:val="0"/>
          <w:i w:val="0"/>
          <w:sz w:val="24"/>
        </w:rPr>
        <w:t>Telephone: (925) 302-2000</w:t>
      </w:r>
    </w:p>
    <w:p>
      <w:pPr>
        <w:spacing w:lineRule="exact" w:line="480" w:before="0" w:after="0"/>
        <w:ind w:firstLine="0"/>
      </w:pPr>
      <w:r>
        <w:rPr>
          <w:rFonts w:ascii="Times New Roman" w:hAnsi="Times New Roman" w:cs="Times New Roman" w:eastAsia="Times New Roman"/>
          <w:b w:val="0"/>
          <w:i w:val="0"/>
          <w:sz w:val="24"/>
        </w:rPr>
        <w:t>Facsimile: (925) 302-2010</w:t>
      </w:r>
    </w:p>
    <w:p>
      <w:pPr>
        <w:spacing w:lineRule="exact" w:line="480" w:before="0" w:after="0"/>
        <w:ind w:firstLine="0"/>
      </w:pPr>
      <w:r>
        <w:rPr>
          <w:rFonts w:ascii="Times New Roman" w:hAnsi="Times New Roman" w:cs="Times New Roman" w:eastAsia="Times New Roman"/>
          <w:b w:val="0"/>
          <w:i w:val="0"/>
          <w:sz w:val="24"/>
        </w:rPr>
        <w:t>Email: mcalderon@lozanosmith.com</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Attorneys for Defendant</w:t>
      </w:r>
    </w:p>
    <w:p>
      <w:pPr>
        <w:spacing w:lineRule="exact" w:line="480" w:before="0" w:after="0"/>
        <w:ind w:firstLine="0"/>
      </w:pPr>
      <w:r>
        <w:rPr>
          <w:rFonts w:ascii="Times New Roman" w:hAnsi="Times New Roman" w:cs="Times New Roman" w:eastAsia="Times New Roman"/>
          <w:b w:val="0"/>
          <w:i w:val="0"/>
          <w:sz w:val="24"/>
        </w:rPr>
        <w:t>WESTLAKE UNIFIED SCHOOL DISTRICT</w:t>
      </w:r>
    </w:p>
    <w:p>
      <w:pPr>
        <w:spacing w:lineRule="exact" w:line="480" w:before="0" w:after="0"/>
      </w:pPr>
      <w:r>
        <w:rPr>
          <w:rFonts w:ascii="Times New Roman" w:hAnsi="Times New Roman" w:cs="Times New Roman" w:eastAsia="Times New Roman"/>
          <w:b w:val="0"/>
          <w:i w:val="0"/>
          <w:sz w:val="24"/>
        </w:rPr>
      </w:r>
    </w:p>
    <w:p>
      <w:pPr>
        <w:spacing w:lineRule="exact" w:line="480"/>
        <w:ind w:firstLine="0"/>
        <w:jc w:val="center"/>
      </w:pPr>
      <w:r>
        <w:rPr>
          <w:rFonts w:ascii="Times New Roman" w:hAnsi="Times New Roman" w:cs="Times New Roman" w:eastAsia="Times New Roman"/>
          <w:b/>
          <w:i w:val="0"/>
          <w:sz w:val="24"/>
        </w:rPr>
        <w:t>SUPERIOR COURT OF THE STATE OF CALIFORNIA</w:t>
      </w:r>
    </w:p>
    <w:p>
      <w:pPr>
        <w:spacing w:lineRule="exact" w:line="480"/>
        <w:ind w:firstLine="0"/>
        <w:jc w:val="center"/>
      </w:pPr>
      <w:r>
        <w:rPr>
          <w:rFonts w:ascii="Times New Roman" w:hAnsi="Times New Roman" w:cs="Times New Roman" w:eastAsia="Times New Roman"/>
          <w:b/>
          <w:i w:val="0"/>
          <w:sz w:val="24"/>
        </w:rPr>
        <w:t>FOR THE COUNTY OF ORANGE</w:t>
      </w:r>
    </w:p>
    <w:p>
      <w:pPr>
        <w:spacing w:lineRule="exact" w:line="480" w:before="0" w:after="0"/>
      </w:pPr>
      <w:r>
        <w:rPr>
          <w:rFonts w:ascii="Times New Roman" w:hAnsi="Times New Roman" w:cs="Times New Roman" w:eastAsia="Times New Roman"/>
          <w:b w:val="0"/>
          <w:i w:val="0"/>
          <w:sz w:val="24"/>
        </w:rPr>
      </w:r>
    </w:p>
    <w:tbl>
      <w:tblPr>
        <w:tblW w:type="auto" w:w="0"/>
        <w:tblLayout w:type="fixed"/>
        <w:tblLook w:firstColumn="1" w:firstRow="1" w:lastColumn="0" w:lastRow="0" w:noHBand="0" w:noVBand="1" w:val="04A0"/>
      </w:tblPr>
      <w:tblGrid>
        <w:gridCol w:w="4680"/>
        <w:gridCol w:w="4680"/>
      </w:tblGrid>
      <w:tr>
        <w:tc>
          <w:tcPr>
            <w:tcW w:type="dxa" w:w="5040"/>
          </w:tcPr>
          <w:p>
            <w:pPr>
              <w:spacing w:lineRule="exact" w:line="480" w:before="0" w:after="0"/>
              <w:ind w:firstLine="0"/>
            </w:pPr>
            <w:r>
              <w:rPr>
                <w:rFonts w:ascii="Times New Roman" w:hAnsi="Times New Roman" w:cs="Times New Roman" w:eastAsia="Times New Roman"/>
                <w:b w:val="0"/>
                <w:i w:val="0"/>
                <w:sz w:val="24"/>
              </w:rPr>
              <w:t>APEX CONSTRUCTION, INC., a California</w:t>
            </w:r>
          </w:p>
          <w:p>
            <w:pPr>
              <w:spacing w:lineRule="exact" w:line="480" w:before="0" w:after="0"/>
              <w:ind w:firstLine="0"/>
            </w:pPr>
            <w:r>
              <w:rPr>
                <w:rFonts w:ascii="Times New Roman" w:hAnsi="Times New Roman" w:cs="Times New Roman" w:eastAsia="Times New Roman"/>
                <w:b w:val="0"/>
                <w:i w:val="0"/>
                <w:sz w:val="24"/>
              </w:rPr>
              <w:t>corporation,</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 xml:space="preserve">                    Plaintiff,</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v.</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WESTLAKE UNIFIED SCHOOL DISTRICT;</w:t>
            </w:r>
          </w:p>
          <w:p>
            <w:pPr>
              <w:spacing w:lineRule="exact" w:line="480" w:before="0" w:after="0"/>
              <w:ind w:firstLine="0"/>
            </w:pPr>
            <w:r>
              <w:rPr>
                <w:rFonts w:ascii="Times New Roman" w:hAnsi="Times New Roman" w:cs="Times New Roman" w:eastAsia="Times New Roman"/>
                <w:b w:val="0"/>
                <w:i w:val="0"/>
                <w:sz w:val="24"/>
              </w:rPr>
              <w:t>and DOES 1 through 25, inclusive,</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 xml:space="preserve">                    Defendants.</w:t>
            </w:r>
          </w:p>
        </w:tc>
        <w:tc>
          <w:tcPr>
            <w:tcW w:type="dxa" w:w="4320"/>
          </w:tcPr>
          <w:p>
            <w:pPr>
              <w:spacing w:lineRule="exact" w:line="480" w:before="0" w:after="0"/>
              <w:ind w:firstLine="0"/>
            </w:pPr>
            <w:r>
              <w:rPr>
                <w:rFonts w:ascii="Times New Roman" w:hAnsi="Times New Roman" w:cs="Times New Roman" w:eastAsia="Times New Roman"/>
                <w:b/>
                <w:i w:val="0"/>
                <w:sz w:val="24"/>
              </w:rPr>
              <w:t>Case No. 30-2025-01318742-CU-BC-CJC</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i w:val="0"/>
                <w:sz w:val="24"/>
              </w:rPr>
              <w:t>DEMURRER TO PLAINTIFF'S COMPLAINT;</w:t>
            </w:r>
          </w:p>
          <w:p>
            <w:pPr>
              <w:spacing w:lineRule="exact" w:line="480" w:before="0" w:after="0"/>
              <w:ind w:firstLine="0"/>
            </w:pPr>
            <w:r>
              <w:rPr>
                <w:rFonts w:ascii="Times New Roman" w:hAnsi="Times New Roman" w:cs="Times New Roman" w:eastAsia="Times New Roman"/>
                <w:b/>
                <w:i w:val="0"/>
                <w:sz w:val="24"/>
              </w:rPr>
              <w:t>MEMORANDUM OF POINTS AND</w:t>
            </w:r>
          </w:p>
          <w:p>
            <w:pPr>
              <w:spacing w:lineRule="exact" w:line="480" w:before="0" w:after="0"/>
              <w:ind w:firstLine="0"/>
            </w:pPr>
            <w:r>
              <w:rPr>
                <w:rFonts w:ascii="Times New Roman" w:hAnsi="Times New Roman" w:cs="Times New Roman" w:eastAsia="Times New Roman"/>
                <w:b/>
                <w:i w:val="0"/>
                <w:sz w:val="24"/>
              </w:rPr>
              <w:t>AUTHORITIES IN SUPPORT THEREOF</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Date:          June 18, 2026</w:t>
            </w:r>
          </w:p>
          <w:p>
            <w:pPr>
              <w:spacing w:lineRule="exact" w:line="480" w:before="0" w:after="0"/>
              <w:ind w:firstLine="0"/>
            </w:pPr>
            <w:r>
              <w:rPr>
                <w:rFonts w:ascii="Times New Roman" w:hAnsi="Times New Roman" w:cs="Times New Roman" w:eastAsia="Times New Roman"/>
                <w:b w:val="0"/>
                <w:i w:val="0"/>
                <w:sz w:val="24"/>
              </w:rPr>
              <w:t>Time:          9:00 a.m.</w:t>
            </w:r>
          </w:p>
          <w:p>
            <w:pPr>
              <w:spacing w:lineRule="exact" w:line="480" w:before="0" w:after="0"/>
              <w:ind w:firstLine="0"/>
            </w:pPr>
            <w:r>
              <w:rPr>
                <w:rFonts w:ascii="Times New Roman" w:hAnsi="Times New Roman" w:cs="Times New Roman" w:eastAsia="Times New Roman"/>
                <w:b w:val="0"/>
                <w:i w:val="0"/>
                <w:sz w:val="24"/>
              </w:rPr>
              <w:t>Dept.:         C-14</w:t>
            </w:r>
          </w:p>
          <w:p>
            <w:pPr>
              <w:spacing w:lineRule="exact" w:line="480" w:before="0" w:after="0"/>
              <w:ind w:firstLine="0"/>
            </w:pPr>
            <w:r>
              <w:rPr>
                <w:rFonts w:ascii="Times New Roman" w:hAnsi="Times New Roman" w:cs="Times New Roman" w:eastAsia="Times New Roman"/>
                <w:b w:val="0"/>
                <w:i w:val="0"/>
                <w:sz w:val="24"/>
              </w:rPr>
              <w:t>Judge:         Hon. Teresa R. Halvorsen</w:t>
            </w:r>
          </w:p>
          <w:p>
            <w:pPr>
              <w:spacing w:lineRule="exact" w:line="480" w:before="0" w:after="0"/>
              <w:ind w:firstLine="0"/>
            </w:pPr>
            <w:r>
              <w:rPr>
                <w:rFonts w:ascii="Times New Roman" w:hAnsi="Times New Roman" w:cs="Times New Roman" w:eastAsia="Times New Roman"/>
                <w:b w:val="0"/>
                <w:i w:val="0"/>
                <w:sz w:val="24"/>
              </w:rPr>
            </w:r>
          </w:p>
          <w:p>
            <w:pPr>
              <w:spacing w:lineRule="exact" w:line="480" w:before="0" w:after="0"/>
              <w:ind w:firstLine="0"/>
            </w:pPr>
            <w:r>
              <w:rPr>
                <w:rFonts w:ascii="Times New Roman" w:hAnsi="Times New Roman" w:cs="Times New Roman" w:eastAsia="Times New Roman"/>
                <w:b w:val="0"/>
                <w:i w:val="0"/>
                <w:sz w:val="24"/>
              </w:rPr>
              <w:t>Action Filed:  February 3, 2026</w:t>
            </w:r>
          </w:p>
          <w:p>
            <w:pPr>
              <w:spacing w:lineRule="exact" w:line="480" w:before="0" w:after="0"/>
              <w:ind w:firstLine="0"/>
            </w:pPr>
            <w:r>
              <w:rPr>
                <w:rFonts w:ascii="Times New Roman" w:hAnsi="Times New Roman" w:cs="Times New Roman" w:eastAsia="Times New Roman"/>
                <w:b w:val="0"/>
                <w:i w:val="0"/>
                <w:sz w:val="24"/>
              </w:rPr>
              <w:t>Trial Date:    None Set</w:t>
            </w:r>
          </w:p>
        </w:tc>
      </w:tr>
    </w:tbl>
    <w:p>
      <w:pPr>
        <w:spacing w:lineRule="exact" w:line="480" w:before="0" w:after="0"/>
      </w:pPr>
      <w:r>
        <w:rPr>
          <w:rFonts w:ascii="Times New Roman" w:hAnsi="Times New Roman" w:cs="Times New Roman" w:eastAsia="Times New Roman"/>
          <w:b w:val="0"/>
          <w:i w:val="0"/>
          <w:sz w:val="24"/>
        </w:rPr>
      </w:r>
    </w:p>
    <w:p>
      <w:pPr>
        <w:spacing w:lineRule="exact" w:line="480" w:before="240" w:after="0"/>
        <w:ind w:firstLine="0"/>
        <w:jc w:val="center"/>
      </w:pPr>
      <w:r>
        <w:rPr>
          <w:rFonts w:ascii="Times New Roman" w:hAnsi="Times New Roman" w:cs="Times New Roman" w:eastAsia="Times New Roman"/>
          <w:b/>
          <w:i w:val="0"/>
          <w:sz w:val="24"/>
        </w:rPr>
        <w:t>NOTICE OF DEMURRER AND DEMURRER TO PLAINTIFF'S COMPLAINT</w:t>
      </w:r>
    </w:p>
    <w:p>
      <w:pPr>
        <w:spacing w:lineRule="exact" w:line="480" w:before="240" w:after="0"/>
        <w:ind w:firstLine="0"/>
      </w:pPr>
      <w:r>
        <w:rPr>
          <w:rFonts w:ascii="Times New Roman" w:hAnsi="Times New Roman" w:cs="Times New Roman" w:eastAsia="Times New Roman"/>
          <w:b/>
          <w:i w:val="0"/>
          <w:sz w:val="24"/>
        </w:rPr>
        <w:t>TO PLAINTIFF AND TO PLAINTIFF'S COUNSEL OF RECORD:</w:t>
      </w:r>
    </w:p>
    <w:p>
      <w:pPr>
        <w:spacing w:lineRule="exact" w:line="480" w:before="0" w:after="0"/>
        <w:ind w:firstLine="720"/>
      </w:pPr>
      <w:r>
        <w:rPr>
          <w:rFonts w:ascii="Times New Roman" w:hAnsi="Times New Roman" w:cs="Times New Roman" w:eastAsia="Times New Roman"/>
          <w:b w:val="0"/>
          <w:i w:val="0"/>
          <w:sz w:val="24"/>
        </w:rPr>
        <w:t>PLEASE TAKE NOTICE that on June 18, 2026, at 9:00 a.m., or as soon thereafter as the matter may be heard, in Department C-14 of the above-entitled Court, located at 700 Civic Center Drive West, Santa Ana, California 92701, defendant Westlake Unified School District ("District") will, and hereby does, demur to the Complaint of plaintiff Apex Construction, Inc. ("Plaintiff") on the grounds set forth below.  This demurrer is based on this Notice, the accompanying Memorandum of Points and Authorities, the concurrently filed Declaration of Margaret E. Calderón regarding meet-and-confer efforts under Code of Civil Procedure section 430.41, the pleadings and records on file, and such further evidence and argument as may be presented at the hearing.</w:t>
      </w:r>
    </w:p>
    <w:p>
      <w:pPr>
        <w:spacing w:lineRule="exact" w:line="480" w:before="0" w:after="0"/>
        <w:ind w:firstLine="720"/>
      </w:pPr>
      <w:r>
        <w:rPr>
          <w:rFonts w:ascii="Times New Roman" w:hAnsi="Times New Roman" w:cs="Times New Roman" w:eastAsia="Times New Roman"/>
          <w:b w:val="0"/>
          <w:i w:val="0"/>
          <w:sz w:val="24"/>
        </w:rPr>
        <w:t>The District demurs to each cause of action in the Complaint on the grounds that none states facts sufficient to constitute a cause of action against the District, pursuant to Code of Civil Procedure section 430.10, subdivision (e), and is uncertain within the meaning of Code of Civil Procedure section 430.10, subdivision (f).  Specifically:</w:t>
      </w:r>
    </w:p>
    <w:p>
      <w:pPr>
        <w:spacing w:lineRule="exact" w:line="480" w:before="0" w:after="0"/>
        <w:ind w:firstLine="720"/>
      </w:pPr>
      <w:r>
        <w:rPr>
          <w:rFonts w:ascii="Times New Roman" w:hAnsi="Times New Roman" w:cs="Times New Roman" w:eastAsia="Times New Roman"/>
          <w:b w:val="0"/>
          <w:i w:val="0"/>
          <w:sz w:val="24"/>
        </w:rPr>
        <w:t>1.  The first cause of action for breach of contract fails because the alleged "extra work" was never approved by the District's Board of Trustees ("Board") by formal action, as Education Code sections 17604 and 17605 and Public Contract Code section 20118.4 require; absent board approval and a written change order, no enforceable contract amendment exists.</w:t>
      </w:r>
    </w:p>
    <w:p>
      <w:pPr>
        <w:spacing w:lineRule="exact" w:line="480" w:before="0" w:after="0"/>
        <w:ind w:firstLine="720"/>
      </w:pPr>
      <w:r>
        <w:rPr>
          <w:rFonts w:ascii="Times New Roman" w:hAnsi="Times New Roman" w:cs="Times New Roman" w:eastAsia="Times New Roman"/>
          <w:b w:val="0"/>
          <w:i w:val="0"/>
          <w:sz w:val="24"/>
        </w:rPr>
        <w:t>2.  The second cause of action for quantum meruit fails because a quasi-contractual recovery is not available against a public entity for work performed outside the scope of a board-approved public contract.</w:t>
      </w:r>
    </w:p>
    <w:p>
      <w:pPr>
        <w:spacing w:lineRule="exact" w:line="480" w:before="0" w:after="0"/>
        <w:ind w:firstLine="720"/>
      </w:pPr>
      <w:r>
        <w:rPr>
          <w:rFonts w:ascii="Times New Roman" w:hAnsi="Times New Roman" w:cs="Times New Roman" w:eastAsia="Times New Roman"/>
          <w:b w:val="0"/>
          <w:i w:val="0"/>
          <w:sz w:val="24"/>
        </w:rPr>
        <w:t>3.  The third cause of action for promissory estoppel fails because equitable estoppel may not be asserted against a public entity where it would nullify a statutory policy — here, the policy requiring board approval of school-district contracts.</w:t>
      </w:r>
    </w:p>
    <w:p>
      <w:pPr>
        <w:spacing w:lineRule="exact" w:line="480" w:before="0" w:after="0"/>
        <w:ind w:firstLine="720"/>
      </w:pPr>
      <w:r>
        <w:rPr>
          <w:rFonts w:ascii="Times New Roman" w:hAnsi="Times New Roman" w:cs="Times New Roman" w:eastAsia="Times New Roman"/>
          <w:b w:val="0"/>
          <w:i w:val="0"/>
          <w:sz w:val="24"/>
        </w:rPr>
        <w:t>This demurrer follows the parties' meet-and-confer efforts as required by Code of Civil Procedure section 430.41, subdivision (a).  The parties were unable to resolve the pleading defects identified herein.</w:t>
      </w:r>
    </w:p>
    <w:p>
      <w:pPr>
        <w:spacing w:lineRule="exact" w:line="480" w:before="240" w:after="0"/>
        <w:ind w:firstLine="0"/>
        <w:jc w:val="center"/>
      </w:pPr>
      <w:r>
        <w:rPr>
          <w:rFonts w:ascii="Times New Roman" w:hAnsi="Times New Roman" w:cs="Times New Roman" w:eastAsia="Times New Roman"/>
          <w:b/>
          <w:i w:val="0"/>
          <w:sz w:val="24"/>
        </w:rPr>
        <w:t>MEMORANDUM OF POINTS AND AUTHORITIES</w:t>
      </w:r>
    </w:p>
    <w:p>
      <w:pPr>
        <w:spacing w:lineRule="exact" w:line="480" w:before="240" w:after="0"/>
        <w:ind w:firstLine="0"/>
      </w:pPr>
      <w:r>
        <w:rPr>
          <w:rFonts w:ascii="Times New Roman" w:hAnsi="Times New Roman" w:cs="Times New Roman" w:eastAsia="Times New Roman"/>
          <w:b/>
          <w:i w:val="0"/>
          <w:sz w:val="24"/>
        </w:rPr>
        <w:t>I.  INTRODUCTION</w:t>
      </w:r>
    </w:p>
    <w:p>
      <w:pPr>
        <w:spacing w:lineRule="exact" w:line="480" w:before="0" w:after="0"/>
        <w:ind w:firstLine="720"/>
      </w:pPr>
      <w:r>
        <w:rPr>
          <w:rFonts w:ascii="Times New Roman" w:hAnsi="Times New Roman" w:cs="Times New Roman" w:eastAsia="Times New Roman"/>
          <w:b w:val="0"/>
          <w:i w:val="0"/>
          <w:sz w:val="24"/>
        </w:rPr>
        <w:t>Plaintiff is a contractor that performed public works for the District under a competitively bid construction contract.  Plaintiff now seeks to recover more than $1.4 million in claimed "extras" that were never approved by the District's Board and were never memorialized in a written change order.  Plaintiff's theory is, in essence, that because a construction manager and the District's on-site project inspector allegedly told Plaintiff to proceed with additional electrical and HVAC work, the District is now bound to pay for it.  The law is to the contrary.</w:t>
      </w:r>
    </w:p>
    <w:p>
      <w:pPr>
        <w:spacing w:lineRule="exact" w:line="480" w:before="0" w:after="0"/>
        <w:ind w:firstLine="720"/>
      </w:pPr>
      <w:r>
        <w:rPr>
          <w:rFonts w:ascii="Times New Roman" w:hAnsi="Times New Roman" w:cs="Times New Roman" w:eastAsia="Times New Roman"/>
          <w:b w:val="0"/>
          <w:i w:val="0"/>
          <w:sz w:val="24"/>
        </w:rPr>
        <w:t>California has long imposed strict, mandatory procedures on how public school districts enter into and modify contracts.  Those procedures exist to protect taxpayers and to prevent precisely the kind of after-the-fact claim Plaintiff now presses.  Because each of Plaintiff's three causes of action — breach of contract, quantum meruit, and promissory estoppel — depends on enforcing obligations that the District's Board never approved, none states a cognizable claim against a California public school district.  The demurrer should be sustained without leave to amend.</w:t>
      </w:r>
    </w:p>
    <w:p>
      <w:pPr>
        <w:spacing w:lineRule="exact" w:line="480" w:before="240" w:after="0"/>
        <w:ind w:firstLine="0"/>
      </w:pPr>
      <w:r>
        <w:rPr>
          <w:rFonts w:ascii="Times New Roman" w:hAnsi="Times New Roman" w:cs="Times New Roman" w:eastAsia="Times New Roman"/>
          <w:b/>
          <w:i w:val="0"/>
          <w:sz w:val="24"/>
        </w:rPr>
        <w:t>II.  STATEMENT OF RELEVANT ALLEGATIONS</w:t>
      </w:r>
    </w:p>
    <w:p>
      <w:pPr>
        <w:spacing w:lineRule="exact" w:line="480" w:before="0" w:after="0"/>
        <w:ind w:firstLine="720"/>
      </w:pPr>
      <w:r>
        <w:rPr>
          <w:rFonts w:ascii="Times New Roman" w:hAnsi="Times New Roman" w:cs="Times New Roman" w:eastAsia="Times New Roman"/>
          <w:b w:val="0"/>
          <w:i w:val="0"/>
          <w:sz w:val="24"/>
        </w:rPr>
        <w:t>For purposes of this demurrer only, the District accepts the well-pleaded factual allegations of the Complaint as true.  (</w:t>
      </w:r>
      <w:r>
        <w:rPr>
          <w:rFonts w:ascii="Times New Roman" w:hAnsi="Times New Roman" w:cs="Times New Roman" w:eastAsia="Times New Roman"/>
          <w:b w:val="0"/>
          <w:i/>
          <w:sz w:val="24"/>
        </w:rPr>
        <w:t>Blank v. Kirwan</w:t>
      </w:r>
      <w:r>
        <w:rPr>
          <w:rFonts w:ascii="Times New Roman" w:hAnsi="Times New Roman" w:cs="Times New Roman" w:eastAsia="Times New Roman"/>
          <w:b w:val="0"/>
          <w:i w:val="0"/>
          <w:sz w:val="24"/>
        </w:rPr>
        <w:t xml:space="preserve"> (1985) 39 Cal.3d 311, 318.)  The Complaint alleges as follows.</w:t>
      </w:r>
    </w:p>
    <w:p>
      <w:pPr>
        <w:spacing w:lineRule="exact" w:line="480" w:before="0" w:after="0"/>
        <w:ind w:firstLine="720"/>
      </w:pPr>
      <w:r>
        <w:rPr>
          <w:rFonts w:ascii="Times New Roman" w:hAnsi="Times New Roman" w:cs="Times New Roman" w:eastAsia="Times New Roman"/>
          <w:b w:val="0"/>
          <w:i w:val="0"/>
          <w:sz w:val="24"/>
        </w:rPr>
        <w:t>In September 2024, the District issued an invitation for bids for the Westlake High School Science Classroom Modernization Project, a phased renovation of five existing science classrooms funded through a Proposition 39 bond measure.  (Compl., ¶¶ 6–8.)  The project was bid under the competitive-bidding requirements of Public Contract Code section 20111.  (Compl., ¶ 7.)  Plaintiff submitted the lowest responsive bid and, on November 14, 2024, the Board awarded Plaintiff a fixed-price construction contract in the amount of $4,217,450 (the "Contract").  (Compl., ¶¶ 9–10.)  The Board's award is reflected in Resolution No. 2024-27.  (Compl., ¶ 10.)</w:t>
      </w:r>
    </w:p>
    <w:p>
      <w:pPr>
        <w:spacing w:lineRule="exact" w:line="480" w:before="0" w:after="0"/>
        <w:ind w:firstLine="720"/>
      </w:pPr>
      <w:r>
        <w:rPr>
          <w:rFonts w:ascii="Times New Roman" w:hAnsi="Times New Roman" w:cs="Times New Roman" w:eastAsia="Times New Roman"/>
          <w:b w:val="0"/>
          <w:i w:val="0"/>
          <w:sz w:val="24"/>
        </w:rPr>
        <w:t>The Contract incorporates the District's standard General Conditions, including a written change-order clause.  (Compl., ¶ 12, Ex. A [General Conditions, § 9.1].)  That clause, consistent with Public Contract Code section 20118.4, provides that the contract sum may be modified only by a written change order executed by an authorized District representative and, where required, approved by the Board.  (Compl., Ex. A [General Conditions, § 9.1].)</w:t>
      </w:r>
    </w:p>
    <w:p>
      <w:pPr>
        <w:spacing w:lineRule="exact" w:line="480" w:before="0" w:after="0"/>
        <w:ind w:firstLine="720"/>
      </w:pPr>
      <w:r>
        <w:rPr>
          <w:rFonts w:ascii="Times New Roman" w:hAnsi="Times New Roman" w:cs="Times New Roman" w:eastAsia="Times New Roman"/>
          <w:b w:val="0"/>
          <w:i w:val="0"/>
          <w:sz w:val="24"/>
        </w:rPr>
        <w:t>Beginning in late March 2025, Plaintiff alleges, it encountered field conditions in the existing classrooms that required additional electrical rework and HVAC modifications.  (Compl., ¶ 15.)  Plaintiff alleges that the District's construction manager, Meridian CM Services, Inc., and the District's on-site project inspector, Paul Brennan, verbally directed Plaintiff to proceed with the additional work.  (Compl., ¶¶ 16–17.)  Plaintiff further alleges that, in a series of emails between April 4, 2025 and July 22, 2025, Mr. Brennan confirmed that "the extras would be paid."  (Compl., ¶¶ 18–21, Exs. B–E.)  The Complaint alleges, in pertinent part:</w:t>
      </w:r>
    </w:p>
    <w:p>
      <w:pPr>
        <w:spacing w:line="240" w:lineRule="auto" w:before="120" w:after="120"/>
        <w:ind w:left="720" w:right="720" w:firstLine="0"/>
      </w:pPr>
      <w:r>
        <w:rPr>
          <w:rFonts w:ascii="Times New Roman" w:hAnsi="Times New Roman" w:cs="Times New Roman" w:eastAsia="Times New Roman"/>
          <w:b w:val="0"/>
          <w:i w:val="0"/>
          <w:sz w:val="24"/>
        </w:rPr>
        <w:t>Throughout the performance of the extra work, Plaintiff relied on the repeated written confirmations of the District's project inspector, Paul Brennan, that the extras would be paid in the ordinary course, that no further written approval was required because the field changes were within the inspector's scope of authority, and that Plaintiff should continue performance without delay so as not to jeopardize the District's occupancy schedule for the 2025–2026 academic year.</w:t>
      </w:r>
    </w:p>
    <w:p>
      <w:pPr>
        <w:spacing w:lineRule="exact" w:line="480" w:before="0" w:after="0"/>
        <w:ind w:firstLine="0"/>
      </w:pPr>
      <w:r>
        <w:rPr>
          <w:rFonts w:ascii="Times New Roman" w:hAnsi="Times New Roman" w:cs="Times New Roman" w:eastAsia="Times New Roman"/>
          <w:b w:val="0"/>
          <w:i w:val="0"/>
          <w:sz w:val="24"/>
        </w:rPr>
        <w:t>(Compl., ¶ 20.)</w:t>
      </w:r>
    </w:p>
    <w:p>
      <w:pPr>
        <w:spacing w:lineRule="exact" w:line="480" w:before="0" w:after="0"/>
        <w:ind w:firstLine="720"/>
      </w:pPr>
      <w:r>
        <w:rPr>
          <w:rFonts w:ascii="Times New Roman" w:hAnsi="Times New Roman" w:cs="Times New Roman" w:eastAsia="Times New Roman"/>
          <w:b w:val="0"/>
          <w:i w:val="0"/>
          <w:sz w:val="24"/>
        </w:rPr>
        <w:t>Plaintiff concedes, as it must, that the Board never approved the alleged extras by formal action and that no written change order was ever executed for any of the additional work.  (Compl., ¶¶ 24–25.)  Plaintiff nevertheless submitted a final invoice on November 3, 2025, in the amount of $1,412,880, which the District declined to pay.  (Compl., ¶¶ 27–28.)  This action followed.</w:t>
      </w:r>
    </w:p>
    <w:p>
      <w:pPr>
        <w:spacing w:lineRule="exact" w:line="480" w:before="0" w:after="0"/>
        <w:ind w:firstLine="720"/>
      </w:pPr>
      <w:r>
        <w:rPr>
          <w:rFonts w:ascii="Times New Roman" w:hAnsi="Times New Roman" w:cs="Times New Roman" w:eastAsia="Times New Roman"/>
          <w:b w:val="0"/>
          <w:i w:val="0"/>
          <w:sz w:val="24"/>
        </w:rPr>
        <w:t>The Complaint pleads three causes of action:  (1) breach of the Contract based on non-payment of the alleged extras; (2) quantum meruit for the reasonable value of the same field-directed work; and (3) promissory estoppel based on Mr. Brennan's emails.  (Compl., ¶¶ 30–58.)  Each fails on the face of the Complaint.</w:t>
      </w:r>
    </w:p>
    <w:p>
      <w:pPr>
        <w:spacing w:lineRule="exact" w:line="480" w:before="240" w:after="0"/>
        <w:ind w:firstLine="0"/>
      </w:pPr>
      <w:r>
        <w:rPr>
          <w:rFonts w:ascii="Times New Roman" w:hAnsi="Times New Roman" w:cs="Times New Roman" w:eastAsia="Times New Roman"/>
          <w:b/>
          <w:i w:val="0"/>
          <w:sz w:val="24"/>
        </w:rPr>
        <w:t>III.  LEGAL STANDARD</w:t>
      </w:r>
    </w:p>
    <w:p>
      <w:pPr>
        <w:spacing w:lineRule="exact" w:line="480" w:before="0" w:after="0"/>
        <w:ind w:firstLine="720"/>
      </w:pPr>
      <w:r>
        <w:rPr>
          <w:rFonts w:ascii="Times New Roman" w:hAnsi="Times New Roman" w:cs="Times New Roman" w:eastAsia="Times New Roman"/>
          <w:b w:val="0"/>
          <w:i w:val="0"/>
          <w:sz w:val="24"/>
        </w:rPr>
        <w:t>A demurrer tests the legal sufficiency of a complaint.  (</w:t>
      </w:r>
      <w:r>
        <w:rPr>
          <w:rFonts w:ascii="Times New Roman" w:hAnsi="Times New Roman" w:cs="Times New Roman" w:eastAsia="Times New Roman"/>
          <w:b w:val="0"/>
          <w:i/>
          <w:sz w:val="24"/>
        </w:rPr>
        <w:t>Blank v. Kirwan</w:t>
      </w:r>
      <w:r>
        <w:rPr>
          <w:rFonts w:ascii="Times New Roman" w:hAnsi="Times New Roman" w:cs="Times New Roman" w:eastAsia="Times New Roman"/>
          <w:b w:val="0"/>
          <w:i w:val="0"/>
          <w:sz w:val="24"/>
        </w:rPr>
        <w:t xml:space="preserve"> (1985) 39 Cal.3d 311, 318.)  In reviewing a demurrer, the court accepts as true all well-pleaded material facts, but not contentions, deductions, or conclusions of law.  (</w:t>
      </w:r>
      <w:r>
        <w:rPr>
          <w:rFonts w:ascii="Times New Roman" w:hAnsi="Times New Roman" w:cs="Times New Roman" w:eastAsia="Times New Roman"/>
          <w:b w:val="0"/>
          <w:i/>
          <w:sz w:val="24"/>
        </w:rPr>
        <w:t>Zelig v. County of Los Angeles</w:t>
      </w:r>
      <w:r>
        <w:rPr>
          <w:rFonts w:ascii="Times New Roman" w:hAnsi="Times New Roman" w:cs="Times New Roman" w:eastAsia="Times New Roman"/>
          <w:b w:val="0"/>
          <w:i w:val="0"/>
          <w:sz w:val="24"/>
        </w:rPr>
        <w:t xml:space="preserve"> (2002) 27 Cal.4th 1112, 1126.)  The demurrer reaches only the face of the complaint and those matters that are subject to judicial notice.  (</w:t>
      </w:r>
      <w:r>
        <w:rPr>
          <w:rFonts w:ascii="Times New Roman" w:hAnsi="Times New Roman" w:cs="Times New Roman" w:eastAsia="Times New Roman"/>
          <w:b w:val="0"/>
          <w:i/>
          <w:sz w:val="24"/>
        </w:rPr>
        <w:t>Aubry v. Tri-City Hospital Dist.</w:t>
      </w:r>
      <w:r>
        <w:rPr>
          <w:rFonts w:ascii="Times New Roman" w:hAnsi="Times New Roman" w:cs="Times New Roman" w:eastAsia="Times New Roman"/>
          <w:b w:val="0"/>
          <w:i w:val="0"/>
          <w:sz w:val="24"/>
        </w:rPr>
        <w:t xml:space="preserve"> (1992) 2 Cal.4th 962, 967.)  If the complaint fails to state facts sufficient to constitute a cause of action, the court must determine whether there is a reasonable possibility the defect can be cured by amendment; the plaintiff bears the burden of demonstrating such a possibility.  (</w:t>
      </w:r>
      <w:r>
        <w:rPr>
          <w:rFonts w:ascii="Times New Roman" w:hAnsi="Times New Roman" w:cs="Times New Roman" w:eastAsia="Times New Roman"/>
          <w:b w:val="0"/>
          <w:i/>
          <w:sz w:val="24"/>
        </w:rPr>
        <w:t>Schifando v. City of Los Angeles</w:t>
      </w:r>
      <w:r>
        <w:rPr>
          <w:rFonts w:ascii="Times New Roman" w:hAnsi="Times New Roman" w:cs="Times New Roman" w:eastAsia="Times New Roman"/>
          <w:b w:val="0"/>
          <w:i w:val="0"/>
          <w:sz w:val="24"/>
        </w:rPr>
        <w:t xml:space="preserve"> (2003) 31 Cal.4th 1074, 1081.)</w:t>
      </w:r>
    </w:p>
    <w:p>
      <w:pPr>
        <w:spacing w:lineRule="exact" w:line="480" w:before="0" w:after="0"/>
        <w:ind w:firstLine="720"/>
      </w:pPr>
      <w:r>
        <w:rPr>
          <w:rFonts w:ascii="Times New Roman" w:hAnsi="Times New Roman" w:cs="Times New Roman" w:eastAsia="Times New Roman"/>
          <w:b w:val="0"/>
          <w:i w:val="0"/>
          <w:sz w:val="24"/>
        </w:rPr>
        <w:t>Where, as here, the defect is a legal bar to recovery against a public entity — not a curable pleading defect — leave to amend should be denied.  (</w:t>
      </w:r>
      <w:r>
        <w:rPr>
          <w:rFonts w:ascii="Times New Roman" w:hAnsi="Times New Roman" w:cs="Times New Roman" w:eastAsia="Times New Roman"/>
          <w:b w:val="0"/>
          <w:i/>
          <w:sz w:val="24"/>
        </w:rPr>
        <w:t>Blank</w:t>
      </w:r>
      <w:r>
        <w:rPr>
          <w:rFonts w:ascii="Times New Roman" w:hAnsi="Times New Roman" w:cs="Times New Roman" w:eastAsia="Times New Roman"/>
          <w:b w:val="0"/>
          <w:i w:val="0"/>
          <w:sz w:val="24"/>
        </w:rPr>
        <w:t xml:space="preserve">, 39 Cal.3d at p. 318; </w:t>
      </w:r>
      <w:r>
        <w:rPr>
          <w:rFonts w:ascii="Times New Roman" w:hAnsi="Times New Roman" w:cs="Times New Roman" w:eastAsia="Times New Roman"/>
          <w:b w:val="0"/>
          <w:i/>
          <w:sz w:val="24"/>
        </w:rPr>
        <w:t>Schifando</w:t>
      </w:r>
      <w:r>
        <w:rPr>
          <w:rFonts w:ascii="Times New Roman" w:hAnsi="Times New Roman" w:cs="Times New Roman" w:eastAsia="Times New Roman"/>
          <w:b w:val="0"/>
          <w:i w:val="0"/>
          <w:sz w:val="24"/>
        </w:rPr>
        <w:t>, 31 Cal.4th at p. 1081.)</w:t>
      </w:r>
    </w:p>
    <w:p>
      <w:pPr>
        <w:spacing w:lineRule="exact" w:line="480" w:before="240" w:after="0"/>
        <w:ind w:firstLine="0"/>
      </w:pPr>
      <w:r>
        <w:rPr>
          <w:rFonts w:ascii="Times New Roman" w:hAnsi="Times New Roman" w:cs="Times New Roman" w:eastAsia="Times New Roman"/>
          <w:b/>
          <w:i w:val="0"/>
          <w:sz w:val="24"/>
        </w:rPr>
        <w:t>IV.  ARGUMENT</w:t>
      </w:r>
    </w:p>
    <w:p>
      <w:pPr>
        <w:spacing w:lineRule="exact" w:line="480" w:before="240" w:after="0"/>
        <w:ind w:firstLine="0"/>
      </w:pPr>
      <w:r>
        <w:rPr>
          <w:rFonts w:ascii="Times New Roman" w:hAnsi="Times New Roman" w:cs="Times New Roman" w:eastAsia="Times New Roman"/>
          <w:b/>
          <w:i w:val="0"/>
          <w:sz w:val="24"/>
        </w:rPr>
        <w:t>A.  The First Cause of Action for Breach of Contract Fails Because the Alleged "Extras" Were Never Approved by the Board or Memorialized in a Written Change Order.</w:t>
      </w:r>
    </w:p>
    <w:p>
      <w:pPr>
        <w:spacing w:lineRule="exact" w:line="480" w:before="0" w:after="0"/>
        <w:ind w:firstLine="720"/>
      </w:pPr>
      <w:r>
        <w:rPr>
          <w:rFonts w:ascii="Times New Roman" w:hAnsi="Times New Roman" w:cs="Times New Roman" w:eastAsia="Times New Roman"/>
          <w:b w:val="0"/>
          <w:i w:val="0"/>
          <w:sz w:val="24"/>
        </w:rPr>
        <w:t>California imposes mandatory procedures on how school districts enter into and amend contracts.  Education Code section 17604 provides that no contract binds a school district unless it is approved or ratified by the governing board, and Education Code section 17605 authorizes the board to delegate certain contracting authority only under defined conditions.  These provisions are strict and jurisdictional:  compliance is a prerequisite to the existence of any enforceable obligation on the public entity's part.  (</w:t>
      </w:r>
      <w:r>
        <w:rPr>
          <w:rFonts w:ascii="Times New Roman" w:hAnsi="Times New Roman" w:cs="Times New Roman" w:eastAsia="Times New Roman"/>
          <w:b w:val="0"/>
          <w:i/>
          <w:sz w:val="24"/>
        </w:rPr>
        <w:t>G.L. Mezzetta, Inc. v. City of American Canyon</w:t>
      </w:r>
      <w:r>
        <w:rPr>
          <w:rFonts w:ascii="Times New Roman" w:hAnsi="Times New Roman" w:cs="Times New Roman" w:eastAsia="Times New Roman"/>
          <w:b w:val="0"/>
          <w:i w:val="0"/>
          <w:sz w:val="24"/>
        </w:rPr>
        <w:t xml:space="preserve"> (2000) 78 Cal.App.4th 1087, 1094–1095; </w:t>
      </w:r>
      <w:r>
        <w:rPr>
          <w:rFonts w:ascii="Times New Roman" w:hAnsi="Times New Roman" w:cs="Times New Roman" w:eastAsia="Times New Roman"/>
          <w:b w:val="0"/>
          <w:i/>
          <w:sz w:val="24"/>
        </w:rPr>
        <w:t>First Street Plaza Partners v. City of Los Angeles</w:t>
      </w:r>
      <w:r>
        <w:rPr>
          <w:rFonts w:ascii="Times New Roman" w:hAnsi="Times New Roman" w:cs="Times New Roman" w:eastAsia="Times New Roman"/>
          <w:b w:val="0"/>
          <w:i w:val="0"/>
          <w:sz w:val="24"/>
        </w:rPr>
        <w:t xml:space="preserve"> (1998) 65 Cal.App.4th 650, 669–670.)</w:t>
      </w:r>
    </w:p>
    <w:p>
      <w:pPr>
        <w:spacing w:lineRule="exact" w:line="480" w:before="0" w:after="0"/>
        <w:ind w:firstLine="720"/>
      </w:pPr>
      <w:r>
        <w:rPr>
          <w:rFonts w:ascii="Times New Roman" w:hAnsi="Times New Roman" w:cs="Times New Roman" w:eastAsia="Times New Roman"/>
          <w:b w:val="0"/>
          <w:i w:val="0"/>
          <w:sz w:val="24"/>
        </w:rPr>
        <w:t>For school-district public works in particular, Public Contract Code section 20118.4 requires that changes to the contract be made by written change order.  Read together with Education Code sections 17604 and 17605, the statutes establish an unbroken rule:  absent a board-approved, written change order, there is no contract amendment.  Any purported oral or informal modification — however well-intentioned the field personnel who made it — is a legal nullity.  (</w:t>
      </w:r>
      <w:r>
        <w:rPr>
          <w:rFonts w:ascii="Times New Roman" w:hAnsi="Times New Roman" w:cs="Times New Roman" w:eastAsia="Times New Roman"/>
          <w:b w:val="0"/>
          <w:i/>
          <w:sz w:val="24"/>
        </w:rPr>
        <w:t>P&amp;D Consultants, Inc. v. City of Carlsbad</w:t>
      </w:r>
      <w:r>
        <w:rPr>
          <w:rFonts w:ascii="Times New Roman" w:hAnsi="Times New Roman" w:cs="Times New Roman" w:eastAsia="Times New Roman"/>
          <w:b w:val="0"/>
          <w:i w:val="0"/>
          <w:sz w:val="24"/>
        </w:rPr>
        <w:t xml:space="preserve"> (2010) 190 Cal.App.4th 1332, 1339–1341 [written change-order requirements in public contracts strictly enforced]; </w:t>
      </w:r>
      <w:r>
        <w:rPr>
          <w:rFonts w:ascii="Times New Roman" w:hAnsi="Times New Roman" w:cs="Times New Roman" w:eastAsia="Times New Roman"/>
          <w:b w:val="0"/>
          <w:i/>
          <w:sz w:val="24"/>
        </w:rPr>
        <w:t>Amelco Electric v. City of Thousand Oaks</w:t>
      </w:r>
      <w:r>
        <w:rPr>
          <w:rFonts w:ascii="Times New Roman" w:hAnsi="Times New Roman" w:cs="Times New Roman" w:eastAsia="Times New Roman"/>
          <w:b w:val="0"/>
          <w:i w:val="0"/>
          <w:sz w:val="24"/>
        </w:rPr>
        <w:t xml:space="preserve"> (2002) 27 Cal.4th 228, 234–235.)</w:t>
      </w:r>
    </w:p>
    <w:p>
      <w:pPr>
        <w:spacing w:lineRule="exact" w:line="480" w:before="0" w:after="0"/>
        <w:ind w:firstLine="720"/>
      </w:pPr>
      <w:r>
        <w:rPr>
          <w:rFonts w:ascii="Times New Roman" w:hAnsi="Times New Roman" w:cs="Times New Roman" w:eastAsia="Times New Roman"/>
          <w:b w:val="0"/>
          <w:i w:val="0"/>
          <w:sz w:val="24"/>
        </w:rPr>
        <w:t>The rationale is familiar.  The essentials of a contract under California law include the consent of the parties and a lawful object.  (Civ. Code, § 1550.)  Consent must be mutual and communicated by each party to the other.  (Civ. Code, § 1565.)  When the Legislature has specified the manner in which a public entity may give its consent — here, by board action and a written change order — a contractor who proceeds on the say-so of an inspector or construction manager does so at its own risk.  (</w:t>
      </w:r>
      <w:r>
        <w:rPr>
          <w:rFonts w:ascii="Times New Roman" w:hAnsi="Times New Roman" w:cs="Times New Roman" w:eastAsia="Times New Roman"/>
          <w:b w:val="0"/>
          <w:i/>
          <w:sz w:val="24"/>
        </w:rPr>
        <w:t>Reams v. Cooley</w:t>
      </w:r>
      <w:r>
        <w:rPr>
          <w:rFonts w:ascii="Times New Roman" w:hAnsi="Times New Roman" w:cs="Times New Roman" w:eastAsia="Times New Roman"/>
          <w:b w:val="0"/>
          <w:i w:val="0"/>
          <w:sz w:val="24"/>
        </w:rPr>
        <w:t xml:space="preserve"> (1915) 171 Cal. 150, 153–154.)  The public entity's capacity to contract is confined to the channels the Legislature has authorized; anything outside those channels is not merely voidable but void </w:t>
      </w:r>
      <w:r>
        <w:rPr>
          <w:rFonts w:ascii="Times New Roman" w:hAnsi="Times New Roman" w:cs="Times New Roman" w:eastAsia="Times New Roman"/>
          <w:b w:val="0"/>
          <w:i/>
          <w:sz w:val="24"/>
        </w:rPr>
        <w:t>ab initio</w:t>
      </w:r>
      <w:r>
        <w:rPr>
          <w:rFonts w:ascii="Times New Roman" w:hAnsi="Times New Roman" w:cs="Times New Roman" w:eastAsia="Times New Roman"/>
          <w:b w:val="0"/>
          <w:i w:val="0"/>
          <w:sz w:val="24"/>
        </w:rPr>
        <w:t>.  (</w:t>
      </w:r>
      <w:r>
        <w:rPr>
          <w:rFonts w:ascii="Times New Roman" w:hAnsi="Times New Roman" w:cs="Times New Roman" w:eastAsia="Times New Roman"/>
          <w:b w:val="0"/>
          <w:i/>
          <w:sz w:val="24"/>
        </w:rPr>
        <w:t>First Street Plaza Partners</w:t>
      </w:r>
      <w:r>
        <w:rPr>
          <w:rFonts w:ascii="Times New Roman" w:hAnsi="Times New Roman" w:cs="Times New Roman" w:eastAsia="Times New Roman"/>
          <w:b w:val="0"/>
          <w:i w:val="0"/>
          <w:sz w:val="24"/>
        </w:rPr>
        <w:t>, 65 Cal.App.4th at pp. 669–670.)</w:t>
      </w:r>
    </w:p>
    <w:p>
      <w:pPr>
        <w:spacing w:lineRule="exact" w:line="480" w:before="0" w:after="0"/>
        <w:ind w:firstLine="720"/>
      </w:pPr>
      <w:r>
        <w:rPr>
          <w:rFonts w:ascii="Times New Roman" w:hAnsi="Times New Roman" w:cs="Times New Roman" w:eastAsia="Times New Roman"/>
          <w:b w:val="0"/>
          <w:i w:val="0"/>
          <w:sz w:val="24"/>
        </w:rPr>
        <w:t xml:space="preserve">Plaintiff's Complaint concedes the dispositive facts.  Plaintiff acknowledges that (i) the Board awarded the Contract by formal action in Resolution No. 2024-27; (ii) the Board never approved any increase to the contract sum for the alleged extras; and (iii) no written change order was ever executed for any of the additional work.  (Compl., ¶¶ 10, 24–25.)  Those concessions are fatal.  The alleged oral directions and emails from the District's on-site inspector and the construction manager cannot, as a matter of law, substitute for the statutorily required board approval and written change order.  (Ed. Code, §§ 17604, 17605; Pub. Cont. Code, § 20118.4, subd. (a); </w:t>
      </w:r>
      <w:r>
        <w:rPr>
          <w:rFonts w:ascii="Times New Roman" w:hAnsi="Times New Roman" w:cs="Times New Roman" w:eastAsia="Times New Roman"/>
          <w:b w:val="0"/>
          <w:i/>
          <w:sz w:val="24"/>
        </w:rPr>
        <w:t>P&amp;D Consultants</w:t>
      </w:r>
      <w:r>
        <w:rPr>
          <w:rFonts w:ascii="Times New Roman" w:hAnsi="Times New Roman" w:cs="Times New Roman" w:eastAsia="Times New Roman"/>
          <w:b w:val="0"/>
          <w:i w:val="0"/>
          <w:sz w:val="24"/>
        </w:rPr>
        <w:t>, 190 Cal.App.4th at p. 1341.)</w:t>
      </w:r>
    </w:p>
    <w:p>
      <w:pPr>
        <w:spacing w:lineRule="exact" w:line="480" w:before="0" w:after="0"/>
        <w:ind w:firstLine="720"/>
      </w:pPr>
      <w:r>
        <w:rPr>
          <w:rFonts w:ascii="Times New Roman" w:hAnsi="Times New Roman" w:cs="Times New Roman" w:eastAsia="Times New Roman"/>
          <w:b w:val="0"/>
          <w:i w:val="0"/>
          <w:sz w:val="24"/>
        </w:rPr>
        <w:t>Nor may Plaintiff rescue the breach-of-contract claim by invoking the implied covenant of good faith and fair dealing.  The implied covenant cannot be used to impose on a party substantive duties or obligations beyond those expressly provided for in the contract.  (</w:t>
      </w:r>
      <w:r>
        <w:rPr>
          <w:rFonts w:ascii="Times New Roman" w:hAnsi="Times New Roman" w:cs="Times New Roman" w:eastAsia="Times New Roman"/>
          <w:b w:val="0"/>
          <w:i/>
          <w:sz w:val="24"/>
        </w:rPr>
        <w:t>Carma Developers (Cal.), Inc. v. Marathon Development California, Inc.</w:t>
      </w:r>
      <w:r>
        <w:rPr>
          <w:rFonts w:ascii="Times New Roman" w:hAnsi="Times New Roman" w:cs="Times New Roman" w:eastAsia="Times New Roman"/>
          <w:b w:val="0"/>
          <w:i w:val="0"/>
          <w:sz w:val="24"/>
        </w:rPr>
        <w:t xml:space="preserve"> (1992) 2 Cal.4th 342, 374; </w:t>
      </w:r>
      <w:r>
        <w:rPr>
          <w:rFonts w:ascii="Times New Roman" w:hAnsi="Times New Roman" w:cs="Times New Roman" w:eastAsia="Times New Roman"/>
          <w:b w:val="0"/>
          <w:i/>
          <w:sz w:val="24"/>
        </w:rPr>
        <w:t>Guz v. Bechtel National, Inc.</w:t>
      </w:r>
      <w:r>
        <w:rPr>
          <w:rFonts w:ascii="Times New Roman" w:hAnsi="Times New Roman" w:cs="Times New Roman" w:eastAsia="Times New Roman"/>
          <w:b w:val="0"/>
          <w:i w:val="0"/>
          <w:sz w:val="24"/>
        </w:rPr>
        <w:t xml:space="preserve"> (2000) 24 Cal.4th 317, 349–350.)  Because the express Contract required a written, board-approved change order for any modification of the contract sum, an implied covenant cannot be enlisted to dispense with that requirement.  (</w:t>
      </w:r>
      <w:r>
        <w:rPr>
          <w:rFonts w:ascii="Times New Roman" w:hAnsi="Times New Roman" w:cs="Times New Roman" w:eastAsia="Times New Roman"/>
          <w:b w:val="0"/>
          <w:i/>
          <w:sz w:val="24"/>
        </w:rPr>
        <w:t>Guz</w:t>
      </w:r>
      <w:r>
        <w:rPr>
          <w:rFonts w:ascii="Times New Roman" w:hAnsi="Times New Roman" w:cs="Times New Roman" w:eastAsia="Times New Roman"/>
          <w:b w:val="0"/>
          <w:i w:val="0"/>
          <w:sz w:val="24"/>
        </w:rPr>
        <w:t>, 24 Cal.4th at pp. 349–350.)</w:t>
      </w:r>
    </w:p>
    <w:p>
      <w:pPr>
        <w:spacing w:lineRule="exact" w:line="480" w:before="0" w:after="0"/>
        <w:ind w:firstLine="720"/>
      </w:pPr>
      <w:r>
        <w:rPr>
          <w:rFonts w:ascii="Times New Roman" w:hAnsi="Times New Roman" w:cs="Times New Roman" w:eastAsia="Times New Roman"/>
          <w:b w:val="0"/>
          <w:i w:val="0"/>
          <w:sz w:val="24"/>
        </w:rPr>
        <w:t>The first cause of action should therefore be sustained without leave to amend.  Plaintiff cannot, consistent with its own factual concessions, allege facts showing that the Board approved the extras or that a written change order ever issued.  (</w:t>
      </w:r>
      <w:r>
        <w:rPr>
          <w:rFonts w:ascii="Times New Roman" w:hAnsi="Times New Roman" w:cs="Times New Roman" w:eastAsia="Times New Roman"/>
          <w:b w:val="0"/>
          <w:i/>
          <w:sz w:val="24"/>
        </w:rPr>
        <w:t>Blank</w:t>
      </w:r>
      <w:r>
        <w:rPr>
          <w:rFonts w:ascii="Times New Roman" w:hAnsi="Times New Roman" w:cs="Times New Roman" w:eastAsia="Times New Roman"/>
          <w:b w:val="0"/>
          <w:i w:val="0"/>
          <w:sz w:val="24"/>
        </w:rPr>
        <w:t>, 39 Cal.3d at p. 318.)</w:t>
      </w:r>
    </w:p>
    <w:p>
      <w:pPr>
        <w:spacing w:lineRule="exact" w:line="480" w:before="240" w:after="0"/>
        <w:ind w:firstLine="0"/>
      </w:pPr>
      <w:r>
        <w:rPr>
          <w:rFonts w:ascii="Times New Roman" w:hAnsi="Times New Roman" w:cs="Times New Roman" w:eastAsia="Times New Roman"/>
          <w:b/>
          <w:i w:val="0"/>
          <w:sz w:val="24"/>
        </w:rPr>
        <w:t>B.  The Second Cause of Action for Quantum Meruit Fails Because Quasi-Contractual Recovery Is Unavailable Against a Public Entity for Work Performed Outside a Board-Approved Contract.</w:t>
      </w:r>
    </w:p>
    <w:p>
      <w:pPr>
        <w:spacing w:lineRule="exact" w:line="480" w:before="0" w:after="0"/>
        <w:ind w:firstLine="720"/>
      </w:pPr>
      <w:r>
        <w:rPr>
          <w:rFonts w:ascii="Times New Roman" w:hAnsi="Times New Roman" w:cs="Times New Roman" w:eastAsia="Times New Roman"/>
          <w:b w:val="0"/>
          <w:i w:val="0"/>
          <w:sz w:val="24"/>
        </w:rPr>
        <w:t>Plaintiff's second cause of action attempts to recover the "reasonable value" of the same field-directed extras through a theory of quantum meruit.  California law has foreclosed that path for more than a century.  Where a statute prescribes the manner in which a public entity's contract must be formed, a contractor cannot circumvent the statute by repackaging its claim in quasi-contract.  (</w:t>
      </w:r>
      <w:r>
        <w:rPr>
          <w:rFonts w:ascii="Times New Roman" w:hAnsi="Times New Roman" w:cs="Times New Roman" w:eastAsia="Times New Roman"/>
          <w:b w:val="0"/>
          <w:i/>
          <w:sz w:val="24"/>
        </w:rPr>
        <w:t>Miller v. McKinnon</w:t>
      </w:r>
      <w:r>
        <w:rPr>
          <w:rFonts w:ascii="Times New Roman" w:hAnsi="Times New Roman" w:cs="Times New Roman" w:eastAsia="Times New Roman"/>
          <w:b w:val="0"/>
          <w:i w:val="0"/>
          <w:sz w:val="24"/>
        </w:rPr>
        <w:t xml:space="preserve"> (1942) 20 Cal.2d 83, 88–89; </w:t>
      </w:r>
      <w:r>
        <w:rPr>
          <w:rFonts w:ascii="Times New Roman" w:hAnsi="Times New Roman" w:cs="Times New Roman" w:eastAsia="Times New Roman"/>
          <w:b w:val="0"/>
          <w:i/>
          <w:sz w:val="24"/>
        </w:rPr>
        <w:t>Reams</w:t>
      </w:r>
      <w:r>
        <w:rPr>
          <w:rFonts w:ascii="Times New Roman" w:hAnsi="Times New Roman" w:cs="Times New Roman" w:eastAsia="Times New Roman"/>
          <w:b w:val="0"/>
          <w:i w:val="0"/>
          <w:sz w:val="24"/>
        </w:rPr>
        <w:t>, 171 Cal. at pp. 153–154.)</w:t>
      </w:r>
    </w:p>
    <w:p>
      <w:pPr>
        <w:spacing w:lineRule="exact" w:line="480" w:before="0" w:after="0"/>
        <w:ind w:firstLine="720"/>
      </w:pPr>
      <w:r>
        <w:rPr>
          <w:rFonts w:ascii="Times New Roman" w:hAnsi="Times New Roman" w:cs="Times New Roman" w:eastAsia="Times New Roman"/>
          <w:b w:val="0"/>
          <w:i w:val="0"/>
          <w:sz w:val="24"/>
        </w:rPr>
        <w:t xml:space="preserve">The rule has been applied consistently to bar quantum meruit claims premised on work that would have required board approval under the governing public-contracting statute.  In </w:t>
      </w:r>
      <w:r>
        <w:rPr>
          <w:rFonts w:ascii="Times New Roman" w:hAnsi="Times New Roman" w:cs="Times New Roman" w:eastAsia="Times New Roman"/>
          <w:b w:val="0"/>
          <w:i/>
          <w:sz w:val="24"/>
        </w:rPr>
        <w:t>Katsura v. City of San Buenaventura</w:t>
      </w:r>
      <w:r>
        <w:rPr>
          <w:rFonts w:ascii="Times New Roman" w:hAnsi="Times New Roman" w:cs="Times New Roman" w:eastAsia="Times New Roman"/>
          <w:b w:val="0"/>
          <w:i w:val="0"/>
          <w:sz w:val="24"/>
        </w:rPr>
        <w:t xml:space="preserve"> (2007) 155 Cal.App.4th 104, the Court of Appeal held that a plaintiff who had performed services without complying with the city's contracting requirements could not recover in quantum meruit because permitting such a recovery would circumvent the very statutes the Legislature enacted to protect the public fisc.  (</w:t>
      </w:r>
      <w:r>
        <w:rPr>
          <w:rFonts w:ascii="Times New Roman" w:hAnsi="Times New Roman" w:cs="Times New Roman" w:eastAsia="Times New Roman"/>
          <w:b w:val="0"/>
          <w:i/>
          <w:sz w:val="24"/>
        </w:rPr>
        <w:t>Id.</w:t>
      </w:r>
      <w:r>
        <w:rPr>
          <w:rFonts w:ascii="Times New Roman" w:hAnsi="Times New Roman" w:cs="Times New Roman" w:eastAsia="Times New Roman"/>
          <w:b w:val="0"/>
          <w:i w:val="0"/>
          <w:sz w:val="24"/>
        </w:rPr>
        <w:t xml:space="preserve"> at pp. 108–110.)  The </w:t>
      </w:r>
      <w:r>
        <w:rPr>
          <w:rFonts w:ascii="Times New Roman" w:hAnsi="Times New Roman" w:cs="Times New Roman" w:eastAsia="Times New Roman"/>
          <w:b w:val="0"/>
          <w:i/>
          <w:sz w:val="24"/>
        </w:rPr>
        <w:t>Katsura</w:t>
      </w:r>
      <w:r>
        <w:rPr>
          <w:rFonts w:ascii="Times New Roman" w:hAnsi="Times New Roman" w:cs="Times New Roman" w:eastAsia="Times New Roman"/>
          <w:b w:val="0"/>
          <w:i w:val="0"/>
          <w:sz w:val="24"/>
        </w:rPr>
        <w:t xml:space="preserve"> court relied on the foundational rule of </w:t>
      </w:r>
      <w:r>
        <w:rPr>
          <w:rFonts w:ascii="Times New Roman" w:hAnsi="Times New Roman" w:cs="Times New Roman" w:eastAsia="Times New Roman"/>
          <w:b w:val="0"/>
          <w:i/>
          <w:sz w:val="24"/>
        </w:rPr>
        <w:t>Miller v. McKinnon</w:t>
      </w:r>
      <w:r>
        <w:rPr>
          <w:rFonts w:ascii="Times New Roman" w:hAnsi="Times New Roman" w:cs="Times New Roman" w:eastAsia="Times New Roman"/>
          <w:b w:val="0"/>
          <w:i w:val="0"/>
          <w:sz w:val="24"/>
        </w:rPr>
        <w:t>:  where a contract with a public entity is void for want of statutory compliance, quasi-contractual recovery is also unavailable, because permitting a quasi-contractual recovery would give contractors an easy route to circumvent the statutory requirements the Legislature imposed on public-entity contracting.¹  (</w:t>
      </w:r>
      <w:r>
        <w:rPr>
          <w:rFonts w:ascii="Times New Roman" w:hAnsi="Times New Roman" w:cs="Times New Roman" w:eastAsia="Times New Roman"/>
          <w:b w:val="0"/>
          <w:i/>
          <w:sz w:val="24"/>
        </w:rPr>
        <w:t>Katsura</w:t>
      </w:r>
      <w:r>
        <w:rPr>
          <w:rFonts w:ascii="Times New Roman" w:hAnsi="Times New Roman" w:cs="Times New Roman" w:eastAsia="Times New Roman"/>
          <w:b w:val="0"/>
          <w:i w:val="0"/>
          <w:sz w:val="24"/>
        </w:rPr>
        <w:t xml:space="preserve">, 155 Cal.App.4th at p. 109; </w:t>
      </w:r>
      <w:r>
        <w:rPr>
          <w:rFonts w:ascii="Times New Roman" w:hAnsi="Times New Roman" w:cs="Times New Roman" w:eastAsia="Times New Roman"/>
          <w:b w:val="0"/>
          <w:i/>
          <w:sz w:val="24"/>
        </w:rPr>
        <w:t>Miller</w:t>
      </w:r>
      <w:r>
        <w:rPr>
          <w:rFonts w:ascii="Times New Roman" w:hAnsi="Times New Roman" w:cs="Times New Roman" w:eastAsia="Times New Roman"/>
          <w:b w:val="0"/>
          <w:i w:val="0"/>
          <w:sz w:val="24"/>
        </w:rPr>
        <w:t>, 20 Cal.2d at p. 89.)</w:t>
      </w:r>
    </w:p>
    <w:p>
      <w:pPr>
        <w:spacing w:lineRule="exact" w:line="480" w:before="0" w:after="0"/>
        <w:ind w:firstLine="720"/>
      </w:pPr>
      <w:r>
        <w:rPr>
          <w:rFonts w:ascii="Times New Roman" w:hAnsi="Times New Roman" w:cs="Times New Roman" w:eastAsia="Times New Roman"/>
          <w:b w:val="0"/>
          <w:i w:val="0"/>
          <w:sz w:val="24"/>
        </w:rPr>
        <w:t xml:space="preserve">More recently, in </w:t>
      </w:r>
      <w:r>
        <w:rPr>
          <w:rFonts w:ascii="Times New Roman" w:hAnsi="Times New Roman" w:cs="Times New Roman" w:eastAsia="Times New Roman"/>
          <w:b w:val="0"/>
          <w:i/>
          <w:sz w:val="24"/>
        </w:rPr>
        <w:t>G.L. Mezzetta, Inc. v. City of American Canyon</w:t>
      </w:r>
      <w:r>
        <w:rPr>
          <w:rFonts w:ascii="Times New Roman" w:hAnsi="Times New Roman" w:cs="Times New Roman" w:eastAsia="Times New Roman"/>
          <w:b w:val="0"/>
          <w:i w:val="0"/>
          <w:sz w:val="24"/>
        </w:rPr>
        <w:t>, the Court of Appeal confirmed that strict compliance with public-contracting statutes is jurisdictional and that a contractor's equitable or quasi-contractual claims rise and fall with the validity of the underlying contract.  (</w:t>
      </w:r>
      <w:r>
        <w:rPr>
          <w:rFonts w:ascii="Times New Roman" w:hAnsi="Times New Roman" w:cs="Times New Roman" w:eastAsia="Times New Roman"/>
          <w:b w:val="0"/>
          <w:i/>
          <w:sz w:val="24"/>
        </w:rPr>
        <w:t>G.L. Mezzetta</w:t>
      </w:r>
      <w:r>
        <w:rPr>
          <w:rFonts w:ascii="Times New Roman" w:hAnsi="Times New Roman" w:cs="Times New Roman" w:eastAsia="Times New Roman"/>
          <w:b w:val="0"/>
          <w:i w:val="0"/>
          <w:sz w:val="24"/>
        </w:rPr>
        <w:t>, 78 Cal.App.4th at pp. 1094–1095.)  The rule is not a technicality; it is the Legislature's considered allocation of risk.  Contractors deal with public entities on notice of the statutes that govern the agency's capacity, and they are charged with knowledge of those statutes.  (</w:t>
      </w:r>
      <w:r>
        <w:rPr>
          <w:rFonts w:ascii="Times New Roman" w:hAnsi="Times New Roman" w:cs="Times New Roman" w:eastAsia="Times New Roman"/>
          <w:b w:val="0"/>
          <w:i/>
          <w:sz w:val="24"/>
        </w:rPr>
        <w:t>First Street Plaza Partners</w:t>
      </w:r>
      <w:r>
        <w:rPr>
          <w:rFonts w:ascii="Times New Roman" w:hAnsi="Times New Roman" w:cs="Times New Roman" w:eastAsia="Times New Roman"/>
          <w:b w:val="0"/>
          <w:i w:val="0"/>
          <w:sz w:val="24"/>
        </w:rPr>
        <w:t>, 65 Cal.App.4th at p. 670.)</w:t>
      </w:r>
    </w:p>
    <w:p>
      <w:pPr>
        <w:spacing w:lineRule="exact" w:line="480" w:before="0" w:after="0"/>
        <w:ind w:firstLine="720"/>
      </w:pPr>
      <w:r>
        <w:rPr>
          <w:rFonts w:ascii="Times New Roman" w:hAnsi="Times New Roman" w:cs="Times New Roman" w:eastAsia="Times New Roman"/>
          <w:b w:val="0"/>
          <w:i w:val="0"/>
          <w:sz w:val="24"/>
        </w:rPr>
        <w:t xml:space="preserve">The same analysis applies here.  Plaintiff's quantum meruit claim seeks compensation for precisely the work that could have been lawfully compensated only through a board-approved change order under Education Code sections 17604 and 17605 and Public Contract Code section 20118.4.  Because the Board never approved the extras and no change order ever issued, there is no valid public contract — and, under </w:t>
      </w:r>
      <w:r>
        <w:rPr>
          <w:rFonts w:ascii="Times New Roman" w:hAnsi="Times New Roman" w:cs="Times New Roman" w:eastAsia="Times New Roman"/>
          <w:b w:val="0"/>
          <w:i/>
          <w:sz w:val="24"/>
        </w:rPr>
        <w:t>Miller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Katsura</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val="0"/>
          <w:i/>
          <w:sz w:val="24"/>
        </w:rPr>
        <w:t>G.L. Mezzetta</w:t>
      </w:r>
      <w:r>
        <w:rPr>
          <w:rFonts w:ascii="Times New Roman" w:hAnsi="Times New Roman" w:cs="Times New Roman" w:eastAsia="Times New Roman"/>
          <w:b w:val="0"/>
          <w:i w:val="0"/>
          <w:sz w:val="24"/>
        </w:rPr>
        <w:t xml:space="preserve">, no quasi-contractual recovery either.  Plaintiff's attempt to invoke the abandonment doctrine or a "total cost" measure of damages is likewise unavailable:  the Supreme Court squarely rejected those theories as applied to public-entity contractors in </w:t>
      </w:r>
      <w:r>
        <w:rPr>
          <w:rFonts w:ascii="Times New Roman" w:hAnsi="Times New Roman" w:cs="Times New Roman" w:eastAsia="Times New Roman"/>
          <w:b w:val="0"/>
          <w:i/>
          <w:sz w:val="24"/>
        </w:rPr>
        <w:t>Amelco Electric v. City of Thousand Oaks</w:t>
      </w:r>
      <w:r>
        <w:rPr>
          <w:rFonts w:ascii="Times New Roman" w:hAnsi="Times New Roman" w:cs="Times New Roman" w:eastAsia="Times New Roman"/>
          <w:b w:val="0"/>
          <w:i w:val="0"/>
          <w:sz w:val="24"/>
        </w:rPr>
        <w:t>, 27 Cal.4th at pp. 234–237.</w:t>
      </w:r>
    </w:p>
    <w:p>
      <w:pPr>
        <w:spacing w:lineRule="exact" w:line="480" w:before="0" w:after="0"/>
        <w:ind w:firstLine="720"/>
      </w:pPr>
      <w:r>
        <w:rPr>
          <w:rFonts w:ascii="Times New Roman" w:hAnsi="Times New Roman" w:cs="Times New Roman" w:eastAsia="Times New Roman"/>
          <w:b w:val="0"/>
          <w:i w:val="0"/>
          <w:sz w:val="24"/>
        </w:rPr>
        <w:t xml:space="preserve">The second cause of action should therefore be sustained without leave to amend.  No amendment can cure the absence of a board-approved contract for the extras; that absence is admitted on the face of the Complaint.  (Compl., ¶¶ 24–25; see </w:t>
      </w:r>
      <w:r>
        <w:rPr>
          <w:rFonts w:ascii="Times New Roman" w:hAnsi="Times New Roman" w:cs="Times New Roman" w:eastAsia="Times New Roman"/>
          <w:b w:val="0"/>
          <w:i/>
          <w:sz w:val="24"/>
        </w:rPr>
        <w:t>Schifando</w:t>
      </w:r>
      <w:r>
        <w:rPr>
          <w:rFonts w:ascii="Times New Roman" w:hAnsi="Times New Roman" w:cs="Times New Roman" w:eastAsia="Times New Roman"/>
          <w:b w:val="0"/>
          <w:i w:val="0"/>
          <w:sz w:val="24"/>
        </w:rPr>
        <w:t>, 31 Cal.4th at p. 1081.)</w:t>
      </w:r>
    </w:p>
    <w:p>
      <w:pPr>
        <w:spacing w:lineRule="exact" w:line="480" w:before="240" w:after="0"/>
        <w:ind w:firstLine="0"/>
      </w:pPr>
      <w:r>
        <w:rPr>
          <w:rFonts w:ascii="Times New Roman" w:hAnsi="Times New Roman" w:cs="Times New Roman" w:eastAsia="Times New Roman"/>
          <w:b/>
          <w:i w:val="0"/>
          <w:sz w:val="24"/>
        </w:rPr>
        <w:t>C.  The Third Cause of Action for Promissory Estoppel Fails Because Equitable Estoppel Cannot Be Invoked to Nullify the Statutory Policy Requiring Board Approval of School-District Contracts.</w:t>
      </w:r>
    </w:p>
    <w:p>
      <w:pPr>
        <w:spacing w:lineRule="exact" w:line="480" w:before="0" w:after="0"/>
        <w:ind w:firstLine="720"/>
      </w:pPr>
      <w:r>
        <w:rPr>
          <w:rFonts w:ascii="Times New Roman" w:hAnsi="Times New Roman" w:cs="Times New Roman" w:eastAsia="Times New Roman"/>
          <w:b w:val="0"/>
          <w:i w:val="0"/>
          <w:sz w:val="24"/>
        </w:rPr>
        <w:t>Plaintiff's third cause of action asks the Court to treat Mr. Brennan's emails — the same communications that could not amend the Contract under Education Code sections 17604 and 17605 or Public Contract Code section 20118.4 — as binding promises enforceable through promissory estoppel.  The law does not permit that result.</w:t>
      </w:r>
    </w:p>
    <w:p>
      <w:pPr>
        <w:spacing w:lineRule="exact" w:line="480" w:before="0" w:after="0"/>
        <w:ind w:firstLine="720"/>
      </w:pPr>
      <w:r>
        <w:rPr>
          <w:rFonts w:ascii="Times New Roman" w:hAnsi="Times New Roman" w:cs="Times New Roman" w:eastAsia="Times New Roman"/>
          <w:b w:val="0"/>
          <w:i w:val="0"/>
          <w:sz w:val="24"/>
        </w:rPr>
        <w:t>The California Supreme Court has long held that equitable estoppel may be invoked against the government only in genuinely exceptional situations, and never where its application would nullify a statutory policy.  (</w:t>
      </w:r>
      <w:r>
        <w:rPr>
          <w:rFonts w:ascii="Times New Roman" w:hAnsi="Times New Roman" w:cs="Times New Roman" w:eastAsia="Times New Roman"/>
          <w:b w:val="0"/>
          <w:i/>
          <w:sz w:val="24"/>
        </w:rPr>
        <w:t>City of Long Beach v. Mansell</w:t>
      </w:r>
      <w:r>
        <w:rPr>
          <w:rFonts w:ascii="Times New Roman" w:hAnsi="Times New Roman" w:cs="Times New Roman" w:eastAsia="Times New Roman"/>
          <w:b w:val="0"/>
          <w:i w:val="0"/>
          <w:sz w:val="24"/>
        </w:rPr>
        <w:t xml:space="preserve"> (1970) 3 Cal.3d 462, 493.)  That limitation is categorical.  In </w:t>
      </w:r>
      <w:r>
        <w:rPr>
          <w:rFonts w:ascii="Times New Roman" w:hAnsi="Times New Roman" w:cs="Times New Roman" w:eastAsia="Times New Roman"/>
          <w:b w:val="0"/>
          <w:i/>
          <w:sz w:val="24"/>
        </w:rPr>
        <w:t>Lentz v. McMahon</w:t>
      </w:r>
      <w:r>
        <w:rPr>
          <w:rFonts w:ascii="Times New Roman" w:hAnsi="Times New Roman" w:cs="Times New Roman" w:eastAsia="Times New Roman"/>
          <w:b w:val="0"/>
          <w:i w:val="0"/>
          <w:sz w:val="24"/>
        </w:rPr>
        <w:t xml:space="preserve"> (1989) 49 Cal.3d 393, the Supreme Court reaffirmed that estoppel is unavailable against a public entity where it would frustrate a strong public policy adopted for the benefit of the public.  (</w:t>
      </w:r>
      <w:r>
        <w:rPr>
          <w:rFonts w:ascii="Times New Roman" w:hAnsi="Times New Roman" w:cs="Times New Roman" w:eastAsia="Times New Roman"/>
          <w:b w:val="0"/>
          <w:i/>
          <w:sz w:val="24"/>
        </w:rPr>
        <w:t>Id.</w:t>
      </w:r>
      <w:r>
        <w:rPr>
          <w:rFonts w:ascii="Times New Roman" w:hAnsi="Times New Roman" w:cs="Times New Roman" w:eastAsia="Times New Roman"/>
          <w:b w:val="0"/>
          <w:i w:val="0"/>
          <w:sz w:val="24"/>
        </w:rPr>
        <w:t xml:space="preserve"> at pp. 399–400.)  The Court of Appeal followed the same rule in </w:t>
      </w:r>
      <w:r>
        <w:rPr>
          <w:rFonts w:ascii="Times New Roman" w:hAnsi="Times New Roman" w:cs="Times New Roman" w:eastAsia="Times New Roman"/>
          <w:b w:val="0"/>
          <w:i/>
          <w:sz w:val="24"/>
        </w:rPr>
        <w:t>Janis v. California State Lottery Com.</w:t>
      </w:r>
      <w:r>
        <w:rPr>
          <w:rFonts w:ascii="Times New Roman" w:hAnsi="Times New Roman" w:cs="Times New Roman" w:eastAsia="Times New Roman"/>
          <w:b w:val="0"/>
          <w:i w:val="0"/>
          <w:sz w:val="24"/>
        </w:rPr>
        <w:t xml:space="preserve"> (1998) 68 Cal.App.4th 824, 830–831, observing that estoppel claims against public entities are narrowly confined and may not be used to override statutory mandates.</w:t>
      </w:r>
    </w:p>
    <w:p>
      <w:pPr>
        <w:spacing w:lineRule="exact" w:line="480" w:before="0" w:after="0"/>
        <w:ind w:firstLine="720"/>
      </w:pPr>
      <w:r>
        <w:rPr>
          <w:rFonts w:ascii="Times New Roman" w:hAnsi="Times New Roman" w:cs="Times New Roman" w:eastAsia="Times New Roman"/>
          <w:b w:val="0"/>
          <w:i w:val="0"/>
          <w:sz w:val="24"/>
        </w:rPr>
        <w:t xml:space="preserve">The policy at stake here is exactly the kind the Supreme Court had in mind.  The Legislature has determined that school-district contracts may be formed and modified only through formal board action and, for public works, a written change order.  (Ed. Code, §§ 17604, 17605; Pub. Cont. Code, § 20118.4.)  That requirement is not a mere formality; it is the central mechanism by which the Legislature protects public funds and ensures democratic accountability for school-district spending.  A rule permitting a contractor to bind a school district through the informal assurances of an on-site inspector — bypassing the board entirely — would hollow out the statutory scheme.  That is precisely the result </w:t>
      </w:r>
      <w:r>
        <w:rPr>
          <w:rFonts w:ascii="Times New Roman" w:hAnsi="Times New Roman" w:cs="Times New Roman" w:eastAsia="Times New Roman"/>
          <w:b w:val="0"/>
          <w:i/>
          <w:sz w:val="24"/>
        </w:rPr>
        <w:t>Mansell</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Lentz</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val="0"/>
          <w:i/>
          <w:sz w:val="24"/>
        </w:rPr>
        <w:t>Janis</w:t>
      </w:r>
      <w:r>
        <w:rPr>
          <w:rFonts w:ascii="Times New Roman" w:hAnsi="Times New Roman" w:cs="Times New Roman" w:eastAsia="Times New Roman"/>
          <w:b w:val="0"/>
          <w:i w:val="0"/>
          <w:sz w:val="24"/>
        </w:rPr>
        <w:t xml:space="preserve"> forbid.</w:t>
      </w:r>
    </w:p>
    <w:p>
      <w:pPr>
        <w:spacing w:lineRule="exact" w:line="480" w:before="0" w:after="0"/>
        <w:ind w:firstLine="720"/>
      </w:pPr>
      <w:r>
        <w:rPr>
          <w:rFonts w:ascii="Times New Roman" w:hAnsi="Times New Roman" w:cs="Times New Roman" w:eastAsia="Times New Roman"/>
          <w:b w:val="0"/>
          <w:i w:val="0"/>
          <w:sz w:val="24"/>
        </w:rPr>
        <w:t>The rule applies with special force where, as here, the public official whose conduct is said to give rise to the estoppel lacked statutory authority to bind the entity in the first place.  (</w:t>
      </w:r>
      <w:r>
        <w:rPr>
          <w:rFonts w:ascii="Times New Roman" w:hAnsi="Times New Roman" w:cs="Times New Roman" w:eastAsia="Times New Roman"/>
          <w:b w:val="0"/>
          <w:i/>
          <w:sz w:val="24"/>
        </w:rPr>
        <w:t>Air Quality Products, Inc. v. State of California</w:t>
      </w:r>
      <w:r>
        <w:rPr>
          <w:rFonts w:ascii="Times New Roman" w:hAnsi="Times New Roman" w:cs="Times New Roman" w:eastAsia="Times New Roman"/>
          <w:b w:val="0"/>
          <w:i w:val="0"/>
          <w:sz w:val="24"/>
        </w:rPr>
        <w:t xml:space="preserve"> (1979) 96 Cal.App.3d 340, 348–349 [no estoppel where agent exceeded statutory authority].)  The District's on-site project inspector is not the Board; he is a field employee whose authority is delimited by the Contract and by the inspection statutes governing school construction.  Nothing in the Complaint — and nothing the Complaint could allege consistent with its existing averments — places Mr. Brennan within the narrow delegation authorized by Education Code section 17605.  His assurances, however sincere, could not and cannot bind the District.  (</w:t>
      </w:r>
      <w:r>
        <w:rPr>
          <w:rFonts w:ascii="Times New Roman" w:hAnsi="Times New Roman" w:cs="Times New Roman" w:eastAsia="Times New Roman"/>
          <w:b w:val="0"/>
          <w:i/>
          <w:sz w:val="24"/>
        </w:rPr>
        <w:t>Air Quality Products</w:t>
      </w:r>
      <w:r>
        <w:rPr>
          <w:rFonts w:ascii="Times New Roman" w:hAnsi="Times New Roman" w:cs="Times New Roman" w:eastAsia="Times New Roman"/>
          <w:b w:val="0"/>
          <w:i w:val="0"/>
          <w:sz w:val="24"/>
        </w:rPr>
        <w:t>, 96 Cal.App.3d at pp. 348–349.)</w:t>
      </w:r>
    </w:p>
    <w:p>
      <w:pPr>
        <w:spacing w:lineRule="exact" w:line="480" w:before="0" w:after="0"/>
        <w:ind w:firstLine="720"/>
      </w:pPr>
      <w:r>
        <w:rPr>
          <w:rFonts w:ascii="Times New Roman" w:hAnsi="Times New Roman" w:cs="Times New Roman" w:eastAsia="Times New Roman"/>
          <w:b w:val="0"/>
          <w:i w:val="0"/>
          <w:sz w:val="24"/>
        </w:rPr>
        <w:t>Finally, Plaintiff cannot plead around these authorities by labeling its claim "promissory" rather than "equitable" estoppel.  The Supreme Court and Courts of Appeal have applied the same limitation to both doctrines when asserted against public entities, because the underlying concern — that estoppel not be used to dispense with statutory prerequisites to public liability — is the same.  (</w:t>
      </w:r>
      <w:r>
        <w:rPr>
          <w:rFonts w:ascii="Times New Roman" w:hAnsi="Times New Roman" w:cs="Times New Roman" w:eastAsia="Times New Roman"/>
          <w:b w:val="0"/>
          <w:i/>
          <w:sz w:val="24"/>
        </w:rPr>
        <w:t>Lentz</w:t>
      </w:r>
      <w:r>
        <w:rPr>
          <w:rFonts w:ascii="Times New Roman" w:hAnsi="Times New Roman" w:cs="Times New Roman" w:eastAsia="Times New Roman"/>
          <w:b w:val="0"/>
          <w:i w:val="0"/>
          <w:sz w:val="24"/>
        </w:rPr>
        <w:t xml:space="preserve">, 49 Cal.3d at pp. 399–400; </w:t>
      </w:r>
      <w:r>
        <w:rPr>
          <w:rFonts w:ascii="Times New Roman" w:hAnsi="Times New Roman" w:cs="Times New Roman" w:eastAsia="Times New Roman"/>
          <w:b w:val="0"/>
          <w:i/>
          <w:sz w:val="24"/>
        </w:rPr>
        <w:t>Janis</w:t>
      </w:r>
      <w:r>
        <w:rPr>
          <w:rFonts w:ascii="Times New Roman" w:hAnsi="Times New Roman" w:cs="Times New Roman" w:eastAsia="Times New Roman"/>
          <w:b w:val="0"/>
          <w:i w:val="0"/>
          <w:sz w:val="24"/>
        </w:rPr>
        <w:t>, 68 Cal.App.4th at pp. 830–831; see also Gov. Code, § 815 [public-entity liability exists only as provided by statute].)</w:t>
      </w:r>
    </w:p>
    <w:p>
      <w:pPr>
        <w:spacing w:lineRule="exact" w:line="480" w:before="0" w:after="0"/>
        <w:ind w:firstLine="720"/>
      </w:pPr>
      <w:r>
        <w:rPr>
          <w:rFonts w:ascii="Times New Roman" w:hAnsi="Times New Roman" w:cs="Times New Roman" w:eastAsia="Times New Roman"/>
          <w:b w:val="0"/>
          <w:i w:val="0"/>
          <w:sz w:val="24"/>
        </w:rPr>
        <w:t>The third cause of action should therefore be sustained without leave to amend.</w:t>
      </w:r>
    </w:p>
    <w:p>
      <w:pPr>
        <w:spacing w:lineRule="exact" w:line="480" w:before="240" w:after="0"/>
        <w:ind w:firstLine="0"/>
      </w:pPr>
      <w:r>
        <w:rPr>
          <w:rFonts w:ascii="Times New Roman" w:hAnsi="Times New Roman" w:cs="Times New Roman" w:eastAsia="Times New Roman"/>
          <w:b/>
          <w:i w:val="0"/>
          <w:sz w:val="24"/>
        </w:rPr>
        <w:t>V.  CONCLUSION</w:t>
      </w:r>
    </w:p>
    <w:p>
      <w:pPr>
        <w:spacing w:lineRule="exact" w:line="480" w:before="0" w:after="0"/>
        <w:ind w:firstLine="720"/>
      </w:pPr>
      <w:r>
        <w:rPr>
          <w:rFonts w:ascii="Times New Roman" w:hAnsi="Times New Roman" w:cs="Times New Roman" w:eastAsia="Times New Roman"/>
          <w:b w:val="0"/>
          <w:i w:val="0"/>
          <w:sz w:val="24"/>
        </w:rPr>
        <w:t>Each of Plaintiff's three causes of action depends on enforcing obligations that the District's Board never approved and that no written change order ever memorialized.  California law does not permit a contractor to impose such obligations on a public school district through oral directions, informal emails, or a repackaged theory of equity.  The District respectfully requests that the Court sustain its demurrer to the first, second, and third causes of action of the Complaint, without leave to amend, and grant such further relief as the Court deems just and proper.</w:t>
      </w:r>
    </w:p>
    <w:p>
      <w:pPr>
        <w:spacing w:lineRule="exact" w:line="480" w:before="0" w:after="0"/>
      </w:pPr>
      <w:r>
        <w:rPr>
          <w:rFonts w:ascii="Times New Roman" w:hAnsi="Times New Roman" w:cs="Times New Roman" w:eastAsia="Times New Roman"/>
          <w:b w:val="0"/>
          <w:i w:val="0"/>
          <w:sz w:val="24"/>
        </w:rPr>
      </w:r>
    </w:p>
    <w:p>
      <w:pPr>
        <w:spacing w:lineRule="exact" w:line="480" w:before="0" w:after="0"/>
      </w:pPr>
      <w:r>
        <w:rPr>
          <w:rFonts w:ascii="Times New Roman" w:hAnsi="Times New Roman" w:cs="Times New Roman" w:eastAsia="Times New Roman"/>
          <w:b w:val="0"/>
          <w:i w:val="0"/>
          <w:sz w:val="24"/>
        </w:rPr>
        <w:t>Dated: April 23, 2026</w:t>
      </w:r>
    </w:p>
    <w:p>
      <w:pPr>
        <w:spacing w:lineRule="exact" w:line="480" w:before="0" w:after="0"/>
      </w:pPr>
      <w:r>
        <w:rPr>
          <w:rFonts w:ascii="Times New Roman" w:hAnsi="Times New Roman" w:cs="Times New Roman" w:eastAsia="Times New Roman"/>
          <w:b w:val="0"/>
          <w:i w:val="0"/>
          <w:sz w:val="24"/>
        </w:rPr>
      </w:r>
    </w:p>
    <w:p>
      <w:pPr>
        <w:spacing w:lineRule="exact" w:line="480" w:before="0" w:after="0"/>
      </w:pPr>
      <w:r>
        <w:rPr>
          <w:rFonts w:ascii="Times New Roman" w:hAnsi="Times New Roman" w:cs="Times New Roman" w:eastAsia="Times New Roman"/>
          <w:b w:val="0"/>
          <w:i w:val="0"/>
          <w:sz w:val="24"/>
        </w:rPr>
        <w:t>LOZANO SMITH</w:t>
      </w:r>
    </w:p>
    <w:p>
      <w:pPr>
        <w:spacing w:lineRule="exact" w:line="480" w:before="0" w:after="0"/>
      </w:pPr>
      <w:r>
        <w:rPr>
          <w:rFonts w:ascii="Times New Roman" w:hAnsi="Times New Roman" w:cs="Times New Roman" w:eastAsia="Times New Roman"/>
          <w:b w:val="0"/>
          <w:i w:val="0"/>
          <w:sz w:val="24"/>
        </w:rPr>
      </w:r>
    </w:p>
    <w:p>
      <w:pPr>
        <w:spacing w:lineRule="exact" w:line="480" w:before="0" w:after="0"/>
      </w:pPr>
      <w:r>
        <w:rPr>
          <w:rFonts w:ascii="Times New Roman" w:hAnsi="Times New Roman" w:cs="Times New Roman" w:eastAsia="Times New Roman"/>
          <w:b w:val="0"/>
          <w:i w:val="0"/>
          <w:sz w:val="24"/>
        </w:rPr>
        <w:t>By:  /s/ Margaret E. Calderón</w:t>
      </w:r>
    </w:p>
    <w:p>
      <w:pPr>
        <w:spacing w:lineRule="exact" w:line="480" w:before="0" w:after="0"/>
      </w:pPr>
      <w:r>
        <w:rPr>
          <w:rFonts w:ascii="Times New Roman" w:hAnsi="Times New Roman" w:cs="Times New Roman" w:eastAsia="Times New Roman"/>
          <w:b w:val="0"/>
          <w:i w:val="0"/>
          <w:sz w:val="24"/>
        </w:rPr>
        <w:t xml:space="preserve">     Margaret E. Calderón</w:t>
      </w:r>
    </w:p>
    <w:p>
      <w:pPr>
        <w:spacing w:lineRule="exact" w:line="480" w:before="0" w:after="0"/>
      </w:pPr>
      <w:r>
        <w:rPr>
          <w:rFonts w:ascii="Times New Roman" w:hAnsi="Times New Roman" w:cs="Times New Roman" w:eastAsia="Times New Roman"/>
          <w:b w:val="0"/>
          <w:i w:val="0"/>
          <w:sz w:val="24"/>
        </w:rPr>
        <w:t xml:space="preserve">     Julian T. Rhee</w:t>
      </w:r>
    </w:p>
    <w:p>
      <w:pPr>
        <w:spacing w:lineRule="exact" w:line="480" w:before="0" w:after="0"/>
      </w:pPr>
      <w:r>
        <w:rPr>
          <w:rFonts w:ascii="Times New Roman" w:hAnsi="Times New Roman" w:cs="Times New Roman" w:eastAsia="Times New Roman"/>
          <w:b w:val="0"/>
          <w:i w:val="0"/>
          <w:sz w:val="24"/>
        </w:rPr>
        <w:t xml:space="preserve">     Attorneys for Defendant</w:t>
      </w:r>
    </w:p>
    <w:p>
      <w:pPr>
        <w:spacing w:lineRule="exact" w:line="480" w:before="0" w:after="0"/>
      </w:pPr>
      <w:r>
        <w:rPr>
          <w:rFonts w:ascii="Times New Roman" w:hAnsi="Times New Roman" w:cs="Times New Roman" w:eastAsia="Times New Roman"/>
          <w:b w:val="0"/>
          <w:i w:val="0"/>
          <w:sz w:val="24"/>
        </w:rPr>
        <w:t xml:space="preserve">     WESTLAKE UNIFIED SCHOOL DISTRICT</w:t>
      </w:r>
    </w:p>
    <w:p>
      <w:pPr>
        <w:spacing w:line="240" w:lineRule="auto" w:before="240" w:after="0"/>
        <w:ind w:firstLine="0"/>
      </w:pPr>
      <w:r>
        <w:rPr>
          <w:rFonts w:ascii="Times New Roman" w:hAnsi="Times New Roman" w:cs="Times New Roman" w:eastAsia="Times New Roman"/>
          <w:b w:val="0"/>
          <w:i w:val="0"/>
          <w:sz w:val="24"/>
        </w:rPr>
        <w:t>_______________________</w:t>
      </w:r>
    </w:p>
    <w:p>
      <w:pPr>
        <w:spacing w:line="240" w:lineRule="auto" w:before="0" w:after="0"/>
        <w:ind w:firstLine="0"/>
      </w:pPr>
      <w:r>
        <w:rPr>
          <w:rFonts w:ascii="Times New Roman" w:hAnsi="Times New Roman" w:cs="Times New Roman" w:eastAsia="Times New Roman"/>
          <w:b w:val="0"/>
          <w:i w:val="0"/>
          <w:sz w:val="24"/>
        </w:rPr>
        <w:t xml:space="preserve">¹ The </w:t>
      </w:r>
      <w:r>
        <w:rPr>
          <w:rFonts w:ascii="Times New Roman" w:hAnsi="Times New Roman" w:cs="Times New Roman" w:eastAsia="Times New Roman"/>
          <w:b w:val="0"/>
          <w:i/>
          <w:sz w:val="24"/>
        </w:rPr>
        <w:t>Miller v. McKinnon</w:t>
      </w:r>
      <w:r>
        <w:rPr>
          <w:rFonts w:ascii="Times New Roman" w:hAnsi="Times New Roman" w:cs="Times New Roman" w:eastAsia="Times New Roman"/>
          <w:b w:val="0"/>
          <w:i w:val="0"/>
          <w:sz w:val="24"/>
        </w:rPr>
        <w:t xml:space="preserve"> rule was already well-established when the Legislature enacted the modern Public Contract Code; the statutory scheme has been construed against the backdrop of that rule.  (See </w:t>
      </w:r>
      <w:r>
        <w:rPr>
          <w:rFonts w:ascii="Times New Roman" w:hAnsi="Times New Roman" w:cs="Times New Roman" w:eastAsia="Times New Roman"/>
          <w:b w:val="0"/>
          <w:i/>
          <w:sz w:val="24"/>
        </w:rPr>
        <w:t>Reams v. Cooley</w:t>
      </w:r>
      <w:r>
        <w:rPr>
          <w:rFonts w:ascii="Times New Roman" w:hAnsi="Times New Roman" w:cs="Times New Roman" w:eastAsia="Times New Roman"/>
          <w:b w:val="0"/>
          <w:i w:val="0"/>
          <w:sz w:val="24"/>
        </w:rPr>
        <w:t>, 171 Cal. at pp. 153–154.)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