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before="0" w:after="0"/>
      </w:pPr>
      <w:r>
        <w:rPr>
          <w:rFonts w:ascii="Times New Roman" w:hAnsi="Times New Roman" w:cs="Times New Roman" w:eastAsia="Times New Roman"/>
          <w:b/>
          <w:sz w:val="24"/>
        </w:rPr>
        <w:t>LOZANO SMITH</w:t>
      </w:r>
    </w:p>
    <w:p>
      <w:pPr>
        <w:spacing w:line="480" w:lineRule="exact" w:before="0" w:after="0"/>
      </w:pPr>
      <w:r>
        <w:rPr>
          <w:rFonts w:ascii="Times New Roman" w:hAnsi="Times New Roman" w:cs="Times New Roman" w:eastAsia="Times New Roman"/>
          <w:b w:val="0"/>
          <w:sz w:val="24"/>
        </w:rPr>
        <w:t>Margaret A. Delacroix, Esq. (SBN 289431)</w:t>
      </w:r>
    </w:p>
    <w:p>
      <w:pPr>
        <w:spacing w:line="480" w:lineRule="exact" w:before="0" w:after="0"/>
      </w:pPr>
      <w:r>
        <w:rPr>
          <w:rFonts w:ascii="Times New Roman" w:hAnsi="Times New Roman" w:cs="Times New Roman" w:eastAsia="Times New Roman"/>
          <w:b w:val="0"/>
          <w:sz w:val="24"/>
        </w:rPr>
        <w:t>Jonathan R. Pemberton, Esq. (SBN 312778)</w:t>
      </w:r>
    </w:p>
    <w:p>
      <w:pPr>
        <w:spacing w:line="480" w:lineRule="exact" w:before="0" w:after="0"/>
      </w:pPr>
      <w:r>
        <w:rPr>
          <w:rFonts w:ascii="Times New Roman" w:hAnsi="Times New Roman" w:cs="Times New Roman" w:eastAsia="Times New Roman"/>
          <w:b w:val="0"/>
          <w:sz w:val="24"/>
        </w:rPr>
        <w:t>One Capitol Mall, Suite 640</w:t>
      </w:r>
    </w:p>
    <w:p>
      <w:pPr>
        <w:spacing w:line="480" w:lineRule="exact" w:before="0" w:after="0"/>
      </w:pPr>
      <w:r>
        <w:rPr>
          <w:rFonts w:ascii="Times New Roman" w:hAnsi="Times New Roman" w:cs="Times New Roman" w:eastAsia="Times New Roman"/>
          <w:b w:val="0"/>
          <w:sz w:val="24"/>
        </w:rPr>
        <w:t>Sacramento, California 95814</w:t>
      </w:r>
    </w:p>
    <w:p>
      <w:pPr>
        <w:spacing w:line="480" w:lineRule="exact" w:before="0" w:after="0"/>
      </w:pPr>
      <w:r>
        <w:rPr>
          <w:rFonts w:ascii="Times New Roman" w:hAnsi="Times New Roman" w:cs="Times New Roman" w:eastAsia="Times New Roman"/>
          <w:b w:val="0"/>
          <w:sz w:val="24"/>
        </w:rPr>
        <w:t>Telephone:  (916) 329-7433</w:t>
      </w:r>
    </w:p>
    <w:p>
      <w:pPr>
        <w:spacing w:line="480" w:lineRule="exact" w:before="0" w:after="0"/>
      </w:pPr>
      <w:r>
        <w:rPr>
          <w:rFonts w:ascii="Times New Roman" w:hAnsi="Times New Roman" w:cs="Times New Roman" w:eastAsia="Times New Roman"/>
          <w:b w:val="0"/>
          <w:sz w:val="24"/>
        </w:rPr>
        <w:t>Facsimile:  (916) 329-9050</w:t>
      </w:r>
    </w:p>
    <w:p>
      <w:pPr>
        <w:spacing w:line="480" w:lineRule="exact" w:before="0" w:after="0"/>
      </w:pPr>
      <w:r>
        <w:rPr>
          <w:rFonts w:ascii="Times New Roman" w:hAnsi="Times New Roman" w:cs="Times New Roman" w:eastAsia="Times New Roman"/>
          <w:b w:val="0"/>
          <w:sz w:val="24"/>
        </w:rPr>
        <w:t>Email:  mdelacroix@lozanosmith.com</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Attorneys for Defendant</w:t>
      </w:r>
    </w:p>
    <w:p>
      <w:pPr>
        <w:spacing w:line="480" w:lineRule="exact" w:before="0" w:after="0"/>
      </w:pPr>
      <w:r>
        <w:rPr>
          <w:rFonts w:ascii="Times New Roman" w:hAnsi="Times New Roman" w:cs="Times New Roman" w:eastAsia="Times New Roman"/>
          <w:b w:val="0"/>
          <w:sz w:val="24"/>
        </w:rPr>
        <w:t>EASTVALE JOINT UNION HIGH SCHOOL DISTRICT</w:t>
      </w:r>
    </w:p>
    <w:p>
      <w:pPr>
        <w:spacing w:line="480" w:lineRule="exact" w:before="0" w:after="0"/>
      </w:pPr>
    </w:p>
    <w:p>
      <w:pPr>
        <w:spacing w:line="480" w:lineRule="exact" w:before="0" w:after="0"/>
        <w:jc w:val="center"/>
      </w:pPr>
      <w:r>
        <w:rPr>
          <w:rFonts w:ascii="Times New Roman" w:hAnsi="Times New Roman" w:cs="Times New Roman" w:eastAsia="Times New Roman"/>
          <w:b/>
          <w:sz w:val="24"/>
        </w:rPr>
        <w:t>SUPERIOR COURT OF THE STATE OF CALIFORNIA</w:t>
      </w:r>
    </w:p>
    <w:p>
      <w:pPr>
        <w:spacing w:line="480" w:lineRule="exact" w:before="0" w:after="0"/>
        <w:jc w:val="center"/>
      </w:pPr>
      <w:r>
        <w:rPr>
          <w:rFonts w:ascii="Times New Roman" w:hAnsi="Times New Roman" w:cs="Times New Roman" w:eastAsia="Times New Roman"/>
          <w:b/>
          <w:sz w:val="24"/>
        </w:rPr>
        <w:t>FOR THE COUNTY OF SAN BERNARDINO</w:t>
      </w:r>
    </w:p>
    <w:p>
      <w:pPr>
        <w:spacing w:line="480" w:lineRule="exact" w:before="0" w:after="0"/>
      </w:pPr>
    </w:p>
    <w:tbl>
      <w:tblPr>
        <w:tblW w:type="auto" w:w="0"/>
        <w:tblLayout w:type="fixed"/>
        <w:tblLook w:firstColumn="1" w:firstRow="1" w:lastColumn="0" w:lastRow="0" w:noHBand="0" w:noVBand="1" w:val="04A0"/>
      </w:tblPr>
      <w:tblGrid>
        <w:gridCol w:w="4752"/>
        <w:gridCol w:w="4608"/>
      </w:tblGrid>
      <w:tr>
        <w:tc>
          <w:tcPr>
            <w:tcW w:type="dxa" w:w="4680"/>
            <w:vAlign w:val="top"/>
          </w:tcPr>
          <w:p>
            <w:pPr>
              <w:spacing w:line="480" w:lineRule="exact" w:before="0" w:after="0"/>
            </w:pPr>
            <w:r/>
            <w:r>
              <w:rPr>
                <w:rFonts w:ascii="Times New Roman" w:hAnsi="Times New Roman" w:cs="Times New Roman" w:eastAsia="Times New Roman"/>
                <w:b w:val="0"/>
                <w:sz w:val="24"/>
              </w:rPr>
              <w:t>RIVERBEND MECHANICAL SERVICES, LLC,</w:t>
            </w:r>
          </w:p>
          <w:p>
            <w:pPr>
              <w:spacing w:line="480" w:lineRule="exact" w:before="0" w:after="0"/>
            </w:pPr>
            <w:r>
              <w:rPr>
                <w:rFonts w:ascii="Times New Roman" w:hAnsi="Times New Roman" w:cs="Times New Roman" w:eastAsia="Times New Roman"/>
                <w:b w:val="0"/>
                <w:sz w:val="24"/>
              </w:rPr>
              <w:t>a California limited liability company,</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 xml:space="preserve">                      Plaintiff,</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 xml:space="preserve">          v.</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EASTVALE JOINT UNION HIGH SCHOOL</w:t>
            </w:r>
          </w:p>
          <w:p>
            <w:pPr>
              <w:spacing w:line="480" w:lineRule="exact" w:before="0" w:after="0"/>
            </w:pPr>
            <w:r>
              <w:rPr>
                <w:rFonts w:ascii="Times New Roman" w:hAnsi="Times New Roman" w:cs="Times New Roman" w:eastAsia="Times New Roman"/>
                <w:b w:val="0"/>
                <w:sz w:val="24"/>
              </w:rPr>
              <w:t>DISTRICT; and DOES 1 through 25,</w:t>
            </w:r>
          </w:p>
          <w:p>
            <w:pPr>
              <w:spacing w:line="480" w:lineRule="exact" w:before="0" w:after="0"/>
            </w:pPr>
            <w:r>
              <w:rPr>
                <w:rFonts w:ascii="Times New Roman" w:hAnsi="Times New Roman" w:cs="Times New Roman" w:eastAsia="Times New Roman"/>
                <w:b w:val="0"/>
                <w:sz w:val="24"/>
              </w:rPr>
              <w:t>inclusive,</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 xml:space="preserve">                      Defendants.</w:t>
            </w:r>
          </w:p>
        </w:tc>
        <w:tc>
          <w:tcPr>
            <w:tcW w:type="dxa" w:w="4680"/>
            <w:vAlign w:val="top"/>
          </w:tcPr>
          <w:p>
            <w:pPr>
              <w:spacing w:line="480" w:lineRule="exact" w:before="0" w:after="0"/>
            </w:pPr>
            <w:r/>
            <w:r>
              <w:rPr>
                <w:rFonts w:ascii="Times New Roman" w:hAnsi="Times New Roman" w:cs="Times New Roman" w:eastAsia="Times New Roman"/>
                <w:b w:val="0"/>
                <w:sz w:val="24"/>
              </w:rPr>
              <w:t>Case No. CIVSB 2532109</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sz w:val="24"/>
              </w:rPr>
              <w:t>DEFENDANT EASTVALE JOINT UNION HIGH</w:t>
            </w:r>
          </w:p>
          <w:p>
            <w:pPr>
              <w:spacing w:line="480" w:lineRule="exact" w:before="0" w:after="0"/>
            </w:pPr>
            <w:r>
              <w:rPr>
                <w:rFonts w:ascii="Times New Roman" w:hAnsi="Times New Roman" w:cs="Times New Roman" w:eastAsia="Times New Roman"/>
                <w:b/>
                <w:sz w:val="24"/>
              </w:rPr>
              <w:t>SCHOOL DISTRICT'S DEMURRER TO</w:t>
            </w:r>
          </w:p>
          <w:p>
            <w:pPr>
              <w:spacing w:line="480" w:lineRule="exact" w:before="0" w:after="0"/>
            </w:pPr>
            <w:r>
              <w:rPr>
                <w:rFonts w:ascii="Times New Roman" w:hAnsi="Times New Roman" w:cs="Times New Roman" w:eastAsia="Times New Roman"/>
                <w:b/>
                <w:sz w:val="24"/>
              </w:rPr>
              <w:t>PLAINTIFF'S COMPLAINT; MEMORANDUM</w:t>
            </w:r>
          </w:p>
          <w:p>
            <w:pPr>
              <w:spacing w:line="480" w:lineRule="exact" w:before="0" w:after="0"/>
            </w:pPr>
            <w:r>
              <w:rPr>
                <w:rFonts w:ascii="Times New Roman" w:hAnsi="Times New Roman" w:cs="Times New Roman" w:eastAsia="Times New Roman"/>
                <w:b/>
                <w:sz w:val="24"/>
              </w:rPr>
              <w:t>OF POINTS AND AUTHORITIES IN</w:t>
            </w:r>
          </w:p>
          <w:p>
            <w:pPr>
              <w:spacing w:line="480" w:lineRule="exact" w:before="0" w:after="0"/>
            </w:pPr>
            <w:r>
              <w:rPr>
                <w:rFonts w:ascii="Times New Roman" w:hAnsi="Times New Roman" w:cs="Times New Roman" w:eastAsia="Times New Roman"/>
                <w:b/>
                <w:sz w:val="24"/>
              </w:rPr>
              <w:t>SUPPORT THEREOF</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[Filed concurrently with Request for Judicial</w:t>
            </w:r>
          </w:p>
          <w:p>
            <w:pPr>
              <w:spacing w:line="480" w:lineRule="exact" w:before="0" w:after="0"/>
            </w:pPr>
            <w:r>
              <w:rPr>
                <w:rFonts w:ascii="Times New Roman" w:hAnsi="Times New Roman" w:cs="Times New Roman" w:eastAsia="Times New Roman"/>
                <w:b w:val="0"/>
                <w:sz w:val="24"/>
              </w:rPr>
              <w:t>Notice; Declaration of Margaret A. Delacroix</w:t>
            </w:r>
          </w:p>
          <w:p>
            <w:pPr>
              <w:spacing w:line="480" w:lineRule="exact" w:before="0" w:after="0"/>
            </w:pPr>
            <w:r>
              <w:rPr>
                <w:rFonts w:ascii="Times New Roman" w:hAnsi="Times New Roman" w:cs="Times New Roman" w:eastAsia="Times New Roman"/>
                <w:b w:val="0"/>
                <w:sz w:val="24"/>
              </w:rPr>
              <w:t>re: Meet and Confer; and [Proposed] Order]</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Hearing Date:  July 14, 2026</w:t>
            </w:r>
          </w:p>
          <w:p>
            <w:pPr>
              <w:spacing w:line="480" w:lineRule="exact" w:before="0" w:after="0"/>
            </w:pPr>
            <w:r>
              <w:rPr>
                <w:rFonts w:ascii="Times New Roman" w:hAnsi="Times New Roman" w:cs="Times New Roman" w:eastAsia="Times New Roman"/>
                <w:b w:val="0"/>
                <w:sz w:val="24"/>
              </w:rPr>
              <w:t>Hearing Time:  8:30 a.m.</w:t>
            </w:r>
          </w:p>
          <w:p>
            <w:pPr>
              <w:spacing w:line="480" w:lineRule="exact" w:before="0" w:after="0"/>
            </w:pPr>
            <w:r>
              <w:rPr>
                <w:rFonts w:ascii="Times New Roman" w:hAnsi="Times New Roman" w:cs="Times New Roman" w:eastAsia="Times New Roman"/>
                <w:b w:val="0"/>
                <w:sz w:val="24"/>
              </w:rPr>
              <w:t>Department:  S-26</w:t>
            </w:r>
          </w:p>
          <w:p>
            <w:pPr>
              <w:spacing w:line="480" w:lineRule="exact" w:before="0" w:after="0"/>
            </w:pPr>
            <w:r>
              <w:rPr>
                <w:rFonts w:ascii="Times New Roman" w:hAnsi="Times New Roman" w:cs="Times New Roman" w:eastAsia="Times New Roman"/>
                <w:b w:val="0"/>
                <w:sz w:val="24"/>
              </w:rPr>
              <w:t>Judge:  Hon. Teresa M. Halvorsen</w:t>
            </w:r>
          </w:p>
          <w:p>
            <w:pPr>
              <w:spacing w:line="480" w:lineRule="exact" w:before="0" w:after="0"/>
            </w:pPr>
            <w:r>
              <w:rPr>
                <w:rFonts w:ascii="Times New Roman" w:hAnsi="Times New Roman" w:cs="Times New Roman" w:eastAsia="Times New Roman"/>
                <w:b w:val="0"/>
                <w:sz w:val="24"/>
              </w:rPr>
            </w:r>
          </w:p>
          <w:p>
            <w:pPr>
              <w:spacing w:line="480" w:lineRule="exact" w:before="0" w:after="0"/>
            </w:pPr>
            <w:r>
              <w:rPr>
                <w:rFonts w:ascii="Times New Roman" w:hAnsi="Times New Roman" w:cs="Times New Roman" w:eastAsia="Times New Roman"/>
                <w:b w:val="0"/>
                <w:sz w:val="24"/>
              </w:rPr>
              <w:t>Action Filed:  February 11, 2026</w:t>
            </w:r>
          </w:p>
          <w:p>
            <w:pPr>
              <w:spacing w:line="480" w:lineRule="exact" w:before="0" w:after="0"/>
            </w:pPr>
            <w:r>
              <w:rPr>
                <w:rFonts w:ascii="Times New Roman" w:hAnsi="Times New Roman" w:cs="Times New Roman" w:eastAsia="Times New Roman"/>
                <w:b w:val="0"/>
                <w:sz w:val="24"/>
              </w:rPr>
              <w:t>Trial Date:  Not Set</w:t>
            </w:r>
          </w:p>
        </w:tc>
      </w:tr>
    </w:tbl>
    <w:p>
      <w:pPr>
        <w:spacing w:line="480" w:lineRule="exact" w:before="0" w:after="0"/>
      </w:pPr>
    </w:p>
    <w:p>
      <w:pPr>
        <w:spacing w:line="480" w:lineRule="exact" w:before="0" w:after="0"/>
        <w:jc w:val="center"/>
      </w:pPr>
      <w:r>
        <w:rPr>
          <w:rFonts w:ascii="Times New Roman" w:hAnsi="Times New Roman" w:cs="Times New Roman" w:eastAsia="Times New Roman"/>
          <w:b/>
          <w:sz w:val="24"/>
        </w:rPr>
        <w:t>NOTICE OF DEMURRER AND DEMURRER</w:t>
      </w:r>
    </w:p>
    <w:p>
      <w:pPr>
        <w:spacing w:line="480" w:lineRule="exact" w:before="0" w:after="0"/>
      </w:pPr>
    </w:p>
    <w:p>
      <w:pPr>
        <w:spacing w:line="480" w:lineRule="exact" w:before="0" w:after="0"/>
      </w:pPr>
      <w:r>
        <w:rPr>
          <w:rFonts w:ascii="Times New Roman" w:hAnsi="Times New Roman" w:cs="Times New Roman" w:eastAsia="Times New Roman"/>
          <w:sz w:val="24"/>
        </w:rPr>
        <w:t>TO PLAINTIFF RIVERBEND MECHANICAL SERVICES, LLC AND ITS ATTORNEYS OF RECORD:</w:t>
      </w:r>
    </w:p>
    <w:p>
      <w:pPr>
        <w:spacing w:line="480" w:lineRule="exact" w:before="0" w:after="0"/>
      </w:pPr>
    </w:p>
    <w:p>
      <w:pPr>
        <w:spacing w:line="480" w:lineRule="exact" w:before="0" w:after="0"/>
        <w:ind w:firstLine="720"/>
      </w:pPr>
      <w:r>
        <w:rPr>
          <w:rFonts w:ascii="Times New Roman" w:hAnsi="Times New Roman" w:cs="Times New Roman" w:eastAsia="Times New Roman"/>
          <w:sz w:val="24"/>
        </w:rPr>
        <w:t>PLEASE TAKE NOTICE that on July 14, 2026, at 8:30 a.m., or as soon thereafter as the matter may be heard, in Department S-26 of the above-entitled Court, located at 247 West Third Street, San Bernardino, California 92415, defendant Eastvale Joint Union High School District (“District”) will, and hereby does, demur to the Complaint of plaintiff Riverbend Mechanical Services, LLC (“Plaintiff”) filed on February 11, 2026.</w:t>
      </w:r>
    </w:p>
    <w:p>
      <w:pPr>
        <w:spacing w:line="480" w:lineRule="exact" w:before="0" w:after="0"/>
        <w:ind w:firstLine="720"/>
      </w:pPr>
      <w:r>
        <w:rPr>
          <w:rFonts w:ascii="Times New Roman" w:hAnsi="Times New Roman" w:cs="Times New Roman" w:eastAsia="Times New Roman"/>
          <w:sz w:val="24"/>
        </w:rPr>
        <w:t>The District demurs to the Complaint, and to the first, second, and third causes of action set forth therein, on the following grounds:</w:t>
      </w:r>
    </w:p>
    <w:p>
      <w:pPr>
        <w:spacing w:line="480" w:lineRule="exact" w:before="0" w:after="0"/>
        <w:ind w:firstLine="720"/>
      </w:pPr>
      <w:r>
        <w:rPr>
          <w:rFonts w:ascii="Times New Roman" w:hAnsi="Times New Roman" w:cs="Times New Roman" w:eastAsia="Times New Roman"/>
          <w:sz w:val="24"/>
        </w:rPr>
        <w:t>1.  The first cause of action for breach of the implied covenant of good faith and fair dealing fails to state facts sufficient to constitute a cause of action against the District.  (Code Civ. Proc., § 430.10, subd. (e).)</w:t>
      </w:r>
    </w:p>
    <w:p>
      <w:pPr>
        <w:spacing w:line="480" w:lineRule="exact" w:before="0" w:after="0"/>
        <w:ind w:firstLine="720"/>
      </w:pPr>
      <w:r>
        <w:rPr>
          <w:rFonts w:ascii="Times New Roman" w:hAnsi="Times New Roman" w:cs="Times New Roman" w:eastAsia="Times New Roman"/>
          <w:sz w:val="24"/>
        </w:rPr>
        <w:t>2.  The second cause of action for breach of contract fails to state facts sufficient to constitute a cause of action against the District and is uncertain.  (Code Civ. Proc., § 430.10, subds. (e), (f).)</w:t>
      </w:r>
    </w:p>
    <w:p>
      <w:pPr>
        <w:spacing w:line="480" w:lineRule="exact" w:before="0" w:after="0"/>
        <w:ind w:firstLine="720"/>
      </w:pPr>
      <w:r>
        <w:rPr>
          <w:rFonts w:ascii="Times New Roman" w:hAnsi="Times New Roman" w:cs="Times New Roman" w:eastAsia="Times New Roman"/>
          <w:sz w:val="24"/>
        </w:rPr>
        <w:t>3.  The third cause of action for unjust enrichment fails to state facts sufficient to constitute a cause of action against the District.  (Code Civ. Proc., § 430.10, subd. (e).)</w:t>
      </w:r>
    </w:p>
    <w:p>
      <w:pPr>
        <w:spacing w:line="480" w:lineRule="exact" w:before="0" w:after="0"/>
        <w:ind w:firstLine="720"/>
      </w:pPr>
      <w:r>
        <w:rPr>
          <w:rFonts w:ascii="Times New Roman" w:hAnsi="Times New Roman" w:cs="Times New Roman" w:eastAsia="Times New Roman"/>
          <w:sz w:val="24"/>
        </w:rPr>
        <w:t>This Demurrer is based on this Notice; the attached Memorandum of Points and Authorities; the concurrently-filed Request for Judicial Notice and Declaration of Margaret A. Delacroix regarding meet-and-confer efforts under Code of Civil Procedure section 430.41; the pleadings, papers, and records on file in this action; and any further evidence and argument the Court may consider at the hearing.</w:t>
      </w:r>
    </w:p>
    <w:p>
      <w:pPr>
        <w:spacing w:line="480" w:lineRule="exact" w:before="0" w:after="0"/>
      </w:pPr>
    </w:p>
    <w:p>
      <w:pPr>
        <w:spacing w:line="480" w:lineRule="exact" w:before="0" w:after="0"/>
      </w:pPr>
      <w:r>
        <w:rPr>
          <w:rFonts w:ascii="Times New Roman" w:hAnsi="Times New Roman" w:cs="Times New Roman" w:eastAsia="Times New Roman"/>
          <w:sz w:val="24"/>
        </w:rPr>
        <w:t>Dated:  April 22, 2026</w:t>
      </w:r>
      <w:r>
        <w:rPr>
          <w:rFonts w:ascii="Times New Roman" w:hAnsi="Times New Roman" w:cs="Times New Roman" w:eastAsia="Times New Roman"/>
          <w:sz w:val="24"/>
        </w:rPr>
        <w:t xml:space="preserve">                    </w:t>
      </w:r>
      <w:r>
        <w:rPr>
          <w:rFonts w:ascii="Times New Roman" w:hAnsi="Times New Roman" w:cs="Times New Roman" w:eastAsia="Times New Roman"/>
          <w:b/>
          <w:sz w:val="24"/>
        </w:rPr>
        <w:t>LOZANO SMITH</w:t>
      </w:r>
    </w:p>
    <w:p>
      <w:pPr>
        <w:spacing w:line="480" w:lineRule="exact" w:before="0" w:after="0"/>
      </w:pP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w:t>
      </w:r>
      <w:r>
        <w:rPr>
          <w:rFonts w:ascii="Times New Roman" w:hAnsi="Times New Roman" w:cs="Times New Roman" w:eastAsia="Times New Roman"/>
          <w:b/>
          <w:sz w:val="24"/>
        </w:rPr>
        <w:t>Margaret A. Delacroix</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Margaret A. Delacroix</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Attorneys for Defendant</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EASTVALE JOINT UNION HIGH</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SCHOOL DISTRICT</w:t>
      </w:r>
    </w:p>
    <w:p>
      <w:pPr>
        <w:spacing w:line="480" w:lineRule="exact" w:before="0" w:after="0"/>
      </w:pPr>
    </w:p>
    <w:p>
      <w:pPr>
        <w:spacing w:line="480" w:lineRule="exact" w:before="0" w:after="0"/>
        <w:jc w:val="center"/>
      </w:pPr>
      <w:r>
        <w:rPr>
          <w:rFonts w:ascii="Times New Roman" w:hAnsi="Times New Roman" w:cs="Times New Roman" w:eastAsia="Times New Roman"/>
          <w:b/>
          <w:sz w:val="24"/>
        </w:rPr>
        <w:t>MEMORANDUM OF POINTS AND AUTHORITIES</w:t>
      </w:r>
    </w:p>
    <w:p>
      <w:pPr>
        <w:spacing w:line="480" w:lineRule="exact" w:before="0" w:after="0"/>
      </w:pPr>
    </w:p>
    <w:p>
      <w:pPr>
        <w:spacing w:line="480" w:lineRule="exact" w:before="0" w:after="0"/>
      </w:pPr>
      <w:r>
        <w:rPr>
          <w:rFonts w:ascii="Times New Roman" w:hAnsi="Times New Roman" w:cs="Times New Roman" w:eastAsia="Times New Roman"/>
          <w:b/>
          <w:sz w:val="24"/>
        </w:rPr>
        <w:t>I.  INTRODUCTION</w:t>
      </w:r>
    </w:p>
    <w:p>
      <w:pPr>
        <w:spacing w:line="480" w:lineRule="exact" w:before="0" w:after="0"/>
        <w:ind w:firstLine="720"/>
      </w:pPr>
      <w:r>
        <w:rPr>
          <w:rFonts w:ascii="Times New Roman" w:hAnsi="Times New Roman" w:cs="Times New Roman" w:eastAsia="Times New Roman"/>
          <w:sz w:val="24"/>
        </w:rPr>
        <w:t>This action arises out of a public-works contract for the heating, ventilation, and air-conditioning (“HVAC”) retrofit of the main classroom building at Eastvale High School.  Plaintiff Riverbend Mechanical Services, LLC was the low responsible bidder on that project and was awarded a written contract in the approximate sum of $2.8 million following competitive bidding.</w:t>
      </w:r>
      <w:r>
        <w:rPr>
          <w:rFonts w:ascii="Times New Roman" w:hAnsi="Times New Roman" w:cs="Times New Roman" w:eastAsia="Times New Roman"/>
          <w:sz w:val="24"/>
        </w:rPr>
        <w:t xml:space="preserve">  The contract — like every contract to which a California school District is a party — required that any change to scope or price be memorialized in a written change order executed by an officer expressly authorized by the District’s governing board.  Plaintiff now asks this Court to override those statutory and contractual requirements and to award Plaintiff payment for work that was never approved by the District’s Board of Trustees and never reduced to any signed change order.</w:t>
      </w:r>
    </w:p>
    <w:p>
      <w:pPr>
        <w:spacing w:line="480" w:lineRule="exact" w:before="0" w:after="0"/>
        <w:ind w:firstLine="720"/>
      </w:pPr>
      <w:r>
        <w:rPr>
          <w:rFonts w:ascii="Times New Roman" w:hAnsi="Times New Roman" w:cs="Times New Roman" w:eastAsia="Times New Roman"/>
          <w:sz w:val="24"/>
        </w:rPr>
        <w:t>The three causes of action to which the District demurs each rest on the same flawed premise: that verbal directions from a District maintenance employee can bind the District to pay for scope additions costing hundreds of thousands of dollars.  That premise is contrary to settled California law.  The implied covenant of good faith and fair dealing cannot create obligations the parties did not write into their contract.  (</w:t>
      </w:r>
      <w:r>
        <w:rPr>
          <w:rFonts w:ascii="Times New Roman" w:hAnsi="Times New Roman" w:cs="Times New Roman" w:eastAsia="Times New Roman"/>
          <w:i/>
          <w:sz w:val="24"/>
        </w:rPr>
        <w:t>Guz v. Bechtel National, Inc.</w:t>
      </w:r>
      <w:r>
        <w:rPr>
          <w:rFonts w:ascii="Times New Roman" w:hAnsi="Times New Roman" w:cs="Times New Roman" w:eastAsia="Times New Roman"/>
          <w:sz w:val="24"/>
        </w:rPr>
        <w:t xml:space="preserve"> (2000) 24 Cal.4th 317, 349-350.)  Verbal change orders are not enforceable against a school district; written change orders, and board approval of them, are jurisdictional prerequisites.  (Pub. Cont. Code, § 20118.4; Ed. Code, §§ 17604, 17605.)  And quantum-meruit or unjust-enrichment recovery is categorically unavailable against a public entity for work performed outside a validly-authorized public contract.  (</w:t>
      </w:r>
      <w:r>
        <w:rPr>
          <w:rFonts w:ascii="Times New Roman" w:hAnsi="Times New Roman" w:cs="Times New Roman" w:eastAsia="Times New Roman"/>
          <w:i/>
          <w:sz w:val="24"/>
        </w:rPr>
        <w:t>Miller v. McKinnon</w:t>
      </w:r>
      <w:r>
        <w:rPr>
          <w:rFonts w:ascii="Times New Roman" w:hAnsi="Times New Roman" w:cs="Times New Roman" w:eastAsia="Times New Roman"/>
          <w:sz w:val="24"/>
        </w:rPr>
        <w:t xml:space="preserve"> (1942) 20 Cal.2d 83, 88-89.)</w:t>
      </w:r>
    </w:p>
    <w:p>
      <w:pPr>
        <w:spacing w:line="480" w:lineRule="exact" w:before="0" w:after="0"/>
        <w:ind w:firstLine="720"/>
      </w:pPr>
      <w:r>
        <w:rPr>
          <w:rFonts w:ascii="Times New Roman" w:hAnsi="Times New Roman" w:cs="Times New Roman" w:eastAsia="Times New Roman"/>
          <w:sz w:val="24"/>
        </w:rPr>
        <w:t>For the reasons set forth below, the district respectfully requests that the Court sustain this demurrer without leave to amend.</w:t>
      </w:r>
    </w:p>
    <w:p>
      <w:pPr>
        <w:spacing w:line="480" w:lineRule="exact" w:before="0" w:after="0"/>
      </w:pPr>
    </w:p>
    <w:p>
      <w:pPr>
        <w:spacing w:line="480" w:lineRule="exact" w:before="0" w:after="0"/>
      </w:pPr>
      <w:r>
        <w:rPr>
          <w:rFonts w:ascii="Times New Roman" w:hAnsi="Times New Roman" w:cs="Times New Roman" w:eastAsia="Times New Roman"/>
          <w:b/>
          <w:sz w:val="24"/>
        </w:rPr>
        <w:t>II.  STATEMENT OF RELEVANT ALLEGATIONS</w:t>
      </w:r>
    </w:p>
    <w:p>
      <w:pPr>
        <w:spacing w:line="480" w:lineRule="exact" w:before="0" w:after="0"/>
        <w:ind w:firstLine="720"/>
      </w:pPr>
      <w:r>
        <w:rPr>
          <w:rFonts w:ascii="Times New Roman" w:hAnsi="Times New Roman" w:cs="Times New Roman" w:eastAsia="Times New Roman"/>
          <w:sz w:val="24"/>
        </w:rPr>
        <w:t>For purposes of this demurrer only, the District accepts the well-pleaded factual allegations of the Complaint as true.  (</w:t>
      </w:r>
      <w:r>
        <w:rPr>
          <w:rFonts w:ascii="Times New Roman" w:hAnsi="Times New Roman" w:cs="Times New Roman" w:eastAsia="Times New Roman"/>
          <w:i/>
          <w:sz w:val="24"/>
        </w:rPr>
        <w:t>Blank v. Kirwan</w:t>
      </w:r>
      <w:r>
        <w:rPr>
          <w:rFonts w:ascii="Times New Roman" w:hAnsi="Times New Roman" w:cs="Times New Roman" w:eastAsia="Times New Roman"/>
          <w:sz w:val="24"/>
        </w:rPr>
        <w:t xml:space="preserve"> (1985) 39 Cal.3d 311, 318.) The District does not accept contentions, deductions, or conclusions of law.  (</w:t>
      </w:r>
      <w:r>
        <w:rPr>
          <w:rFonts w:ascii="Times New Roman" w:hAnsi="Times New Roman" w:cs="Times New Roman" w:eastAsia="Times New Roman"/>
          <w:i/>
          <w:sz w:val="24"/>
        </w:rPr>
        <w:t>Zelig v. County of Los Angeles</w:t>
      </w:r>
      <w:r>
        <w:rPr>
          <w:rFonts w:ascii="Times New Roman" w:hAnsi="Times New Roman" w:cs="Times New Roman" w:eastAsia="Times New Roman"/>
          <w:sz w:val="24"/>
        </w:rPr>
        <w:t xml:space="preserve"> (2002) 27 Cal.4th 1112, 1126.)  The allegations material to this demurrer are these.</w:t>
      </w:r>
    </w:p>
    <w:p>
      <w:pPr>
        <w:spacing w:line="480" w:lineRule="exact" w:before="0" w:after="0"/>
        <w:ind w:firstLine="720"/>
      </w:pPr>
      <w:r>
        <w:rPr>
          <w:rFonts w:ascii="Times New Roman" w:hAnsi="Times New Roman" w:cs="Times New Roman" w:eastAsia="Times New Roman"/>
          <w:sz w:val="24"/>
        </w:rPr>
        <w:t>On or about June 4, 2025, the District’s Board of Trustees adopted Resolution No. 24/25-38 awarding a public-works contract to Plaintiff, as the low responsible bidder under Public Contract Code section 20111, for the HVAC retrofit of the main classroom building at Eastvale High School (the “Project”).  (Compl., ¶¶ 6-8.)  The contract was executed on June 18, 2025, for a stated contract sum of $2,847,500, with substantial completion required by August 1, 2026.  (Compl., ¶ 9.)</w:t>
      </w:r>
    </w:p>
    <w:p>
      <w:pPr>
        <w:spacing w:line="480" w:lineRule="exact" w:before="0" w:after="0"/>
        <w:ind w:firstLine="720"/>
      </w:pPr>
      <w:r>
        <w:rPr>
          <w:rFonts w:ascii="Times New Roman" w:hAnsi="Times New Roman" w:cs="Times New Roman" w:eastAsia="Times New Roman"/>
          <w:sz w:val="24"/>
        </w:rPr>
        <w:t>The contract incorporated by reference a set of General Conditions.  (Compl., ¶ 10 &amp; Ex. A thereto.)  Article 12 of those General Conditions, titled “Changes in the Work,” is quoted at length in Plaintiff’s Complaint and provides, in relevant part:</w:t>
      </w:r>
    </w:p>
    <w:p>
      <w:pPr>
        <w:spacing w:line="240" w:lineRule="auto" w:before="0" w:after="240"/>
        <w:ind w:left="720" w:right="720"/>
      </w:pPr>
      <w:r>
        <w:rPr>
          <w:rFonts w:ascii="Times New Roman" w:hAnsi="Times New Roman" w:cs="Times New Roman" w:eastAsia="Times New Roman"/>
          <w:sz w:val="24"/>
        </w:rPr>
        <w:t>No change in the scope, price, or time of performance of this Contract shall be effective unless and until such change is memorialized in a written change order executed by the District’s Superintendent or other officer expressly authorized by the Board of Trustees to execute change orders on the District’s behalf, and approved by the Board of Trustees where the cumulative value of change orders exceeds the threshold specified in Public Contract Code section 20118.4.  No verbal direction, field instruction, or course of conduct shall be deemed a change order or operate to modify this Contract.</w:t>
      </w:r>
    </w:p>
    <w:p>
      <w:pPr>
        <w:spacing w:line="480" w:lineRule="exact" w:before="0" w:after="0"/>
        <w:ind w:firstLine="720"/>
      </w:pPr>
      <w:r>
        <w:rPr>
          <w:rFonts w:ascii="Times New Roman" w:hAnsi="Times New Roman" w:cs="Times New Roman" w:eastAsia="Times New Roman"/>
          <w:sz w:val="24"/>
        </w:rPr>
        <w:t>(Compl., ¶ 11 &amp; Ex. A, art. 12.2.)</w:t>
      </w:r>
    </w:p>
    <w:p>
      <w:pPr>
        <w:spacing w:line="480" w:lineRule="exact" w:before="0" w:after="0"/>
        <w:ind w:firstLine="720"/>
      </w:pPr>
      <w:r>
        <w:rPr>
          <w:rFonts w:ascii="Times New Roman" w:hAnsi="Times New Roman" w:cs="Times New Roman" w:eastAsia="Times New Roman"/>
          <w:sz w:val="24"/>
        </w:rPr>
        <w:t>Plaintiff alleges that, beginning in or about September 2025, the District’s Director of Maintenance and Operations, Raymond Ortiz, verbally directed Plaintiff to perform additional scope items not included in the original contract.  (Compl., ¶¶ 13-15.)  Specifically, Plaintiff alleges Mr. Ortiz directed Plaintiff to reroute approximately 1,200 linear feet of supply and return ductwork to accommodate newly-discovered asbestos-containing materials, and to install approximately 340 linear feet of additional condensate-line piping and three supplemental pump packages.  (Compl., ¶¶ 14, 16-17.)  Plaintiff does not allege that Mr. Ortiz held any position to which the Board of Trustees had delegated contracting authority; rather, Plaintiff alleges only that Mr. Ortiz was “the on-site District representative most familiar with the Project.”  (Compl., ¶ 15.)</w:t>
      </w:r>
    </w:p>
    <w:p>
      <w:pPr>
        <w:spacing w:line="480" w:lineRule="exact" w:before="0" w:after="0"/>
        <w:ind w:firstLine="720"/>
      </w:pPr>
      <w:r>
        <w:rPr>
          <w:rFonts w:ascii="Times New Roman" w:hAnsi="Times New Roman" w:cs="Times New Roman" w:eastAsia="Times New Roman"/>
          <w:sz w:val="24"/>
        </w:rPr>
        <w:t>Plaintiff alleges that it submitted five proposed written change orders for this additional work, totaling $487,612, between October 2025 and January 2026.  (Compl., ¶ 19.)  The District’s Superintendent declined to execute any of the five proposed change orders, and the Board of Trustees was never presented with, and did not approve, any of them.  (Compl., ¶¶ 20-22.)  Plaintiff nevertheless completed the additional work and, on February 2, 2026, submitted an invoice for the full $487,612, which the District declined to pay.  (Compl., ¶¶ 23-25.)  Plaintiff filed the Complaint nine days later.  (Compl., ¶ 1.)</w:t>
      </w:r>
    </w:p>
    <w:p>
      <w:pPr>
        <w:spacing w:line="480" w:lineRule="exact" w:before="0" w:after="0"/>
        <w:ind w:firstLine="720"/>
      </w:pPr>
      <w:r>
        <w:rPr>
          <w:rFonts w:ascii="Times New Roman" w:hAnsi="Times New Roman" w:cs="Times New Roman" w:eastAsia="Times New Roman"/>
          <w:sz w:val="24"/>
        </w:rPr>
        <w:t>The Complaint pleads three causes of action against the District:  (1) breach of the implied covenant of good faith and fair dealing; (2) breach of contract premised on the alleged verbal change orders; and (3) unjust enrichment for the reasonable value of the additional work.  (Compl., ¶¶ 27-52.)  The District demurs to each.</w:t>
      </w:r>
    </w:p>
    <w:p>
      <w:pPr>
        <w:spacing w:line="480" w:lineRule="exact" w:before="0" w:after="0"/>
      </w:pPr>
    </w:p>
    <w:p>
      <w:pPr>
        <w:spacing w:line="480" w:lineRule="exact" w:before="0" w:after="0"/>
      </w:pPr>
      <w:r>
        <w:rPr>
          <w:rFonts w:ascii="Times New Roman" w:hAnsi="Times New Roman" w:cs="Times New Roman" w:eastAsia="Times New Roman"/>
          <w:b/>
          <w:sz w:val="24"/>
        </w:rPr>
        <w:t>III.  LEGAL STANDARD</w:t>
      </w:r>
    </w:p>
    <w:p>
      <w:pPr>
        <w:spacing w:line="480" w:lineRule="exact" w:before="0" w:after="0"/>
        <w:ind w:firstLine="720"/>
      </w:pPr>
      <w:r>
        <w:rPr>
          <w:rFonts w:ascii="Times New Roman" w:hAnsi="Times New Roman" w:cs="Times New Roman" w:eastAsia="Times New Roman"/>
          <w:sz w:val="24"/>
        </w:rPr>
        <w:t>A demurrer tests the legal sufficiency of the complaint.  (</w:t>
      </w:r>
      <w:r>
        <w:rPr>
          <w:rFonts w:ascii="Times New Roman" w:hAnsi="Times New Roman" w:cs="Times New Roman" w:eastAsia="Times New Roman"/>
          <w:i/>
          <w:sz w:val="24"/>
        </w:rPr>
        <w:t>Aubry v. Tri-City Hospital Dist.</w:t>
      </w:r>
      <w:r>
        <w:rPr>
          <w:rFonts w:ascii="Times New Roman" w:hAnsi="Times New Roman" w:cs="Times New Roman" w:eastAsia="Times New Roman"/>
          <w:sz w:val="24"/>
        </w:rPr>
        <w:t xml:space="preserve"> (1992) 2 Cal.</w:t>
      </w:r>
      <w:r>
        <w:rPr>
          <w:rFonts w:ascii="Times New Roman" w:hAnsi="Times New Roman" w:cs="Times New Roman" w:eastAsia="Times New Roman"/>
          <w:sz w:val="24"/>
          <w:vertAlign w:val="superscript"/>
        </w:rPr>
        <w:t>4th</w:t>
      </w:r>
      <w:r>
        <w:rPr>
          <w:rFonts w:ascii="Times New Roman" w:hAnsi="Times New Roman" w:cs="Times New Roman" w:eastAsia="Times New Roman"/>
          <w:sz w:val="24"/>
        </w:rPr>
        <w:t xml:space="preserve"> 962, 966-967.)  In reviewing the sufficiency of a complaint against a general demurrer, the court treats the demurrer as admitting all material facts properly pleaded, but does not assume the truth of contentions, deductions, or conclusions of law.  (</w:t>
      </w:r>
      <w:r>
        <w:rPr>
          <w:rFonts w:ascii="Times New Roman" w:hAnsi="Times New Roman" w:cs="Times New Roman" w:eastAsia="Times New Roman"/>
          <w:i/>
          <w:sz w:val="24"/>
        </w:rPr>
        <w:t>Blank</w:t>
      </w:r>
      <w:r>
        <w:rPr>
          <w:rFonts w:ascii="Times New Roman" w:hAnsi="Times New Roman" w:cs="Times New Roman" w:eastAsia="Times New Roman"/>
          <w:sz w:val="24"/>
        </w:rPr>
        <w:t>, 39 Cal.3d at p. 318.)  The demurrer reaches only the face of the complaint and matters properly subject to judicial notice.  (</w:t>
      </w:r>
      <w:r>
        <w:rPr>
          <w:rFonts w:ascii="Times New Roman" w:hAnsi="Times New Roman" w:cs="Times New Roman" w:eastAsia="Times New Roman"/>
          <w:i/>
          <w:sz w:val="24"/>
        </w:rPr>
        <w:t>Aubry</w:t>
      </w:r>
      <w:r>
        <w:rPr>
          <w:rFonts w:ascii="Times New Roman" w:hAnsi="Times New Roman" w:cs="Times New Roman" w:eastAsia="Times New Roman"/>
          <w:sz w:val="24"/>
        </w:rPr>
        <w:t>, 2 Cal.4th at p. 967.)</w:t>
      </w:r>
    </w:p>
    <w:p>
      <w:pPr>
        <w:spacing w:line="480" w:lineRule="exact" w:before="0" w:after="0"/>
        <w:ind w:firstLine="720"/>
      </w:pPr>
      <w:r>
        <w:rPr>
          <w:rFonts w:ascii="Times New Roman" w:hAnsi="Times New Roman" w:cs="Times New Roman" w:eastAsia="Times New Roman"/>
          <w:sz w:val="24"/>
        </w:rPr>
        <w:t>Where, as here, the plaintiff opposes a demurrer to a particular cause of action, the plaintiff bears the burden of demonstrating a reasonable possibility that the defect can be cured by amendment.  (</w:t>
      </w:r>
      <w:r>
        <w:rPr>
          <w:rFonts w:ascii="Times New Roman" w:hAnsi="Times New Roman" w:cs="Times New Roman" w:eastAsia="Times New Roman"/>
          <w:i/>
          <w:sz w:val="24"/>
        </w:rPr>
        <w:t>Schifando v. City of Los Angeles</w:t>
      </w:r>
      <w:r>
        <w:rPr>
          <w:rFonts w:ascii="Times New Roman" w:hAnsi="Times New Roman" w:cs="Times New Roman" w:eastAsia="Times New Roman"/>
          <w:sz w:val="24"/>
        </w:rPr>
        <w:t xml:space="preserve"> (2003) 31 Cal.4th 1074, 1081.)  If the plaintiff cannot meet that burden, the demurrer should be sustained without leave to amend.  (</w:t>
      </w:r>
      <w:r>
        <w:rPr>
          <w:rFonts w:ascii="Times New Roman" w:hAnsi="Times New Roman" w:cs="Times New Roman" w:eastAsia="Times New Roman"/>
          <w:i/>
          <w:sz w:val="24"/>
        </w:rPr>
        <w:t>Schifando</w:t>
      </w:r>
      <w:r>
        <w:rPr>
          <w:rFonts w:ascii="Times New Roman" w:hAnsi="Times New Roman" w:cs="Times New Roman" w:eastAsia="Times New Roman"/>
          <w:sz w:val="24"/>
        </w:rPr>
        <w:t>, 31 Cal.4th at p. 1081.)</w:t>
      </w:r>
    </w:p>
    <w:p>
      <w:pPr>
        <w:spacing w:line="480" w:lineRule="exact" w:before="0" w:after="0"/>
        <w:ind w:firstLine="720"/>
      </w:pPr>
      <w:r>
        <w:rPr>
          <w:rFonts w:ascii="Times New Roman" w:hAnsi="Times New Roman" w:cs="Times New Roman" w:eastAsia="Times New Roman"/>
          <w:sz w:val="24"/>
        </w:rPr>
        <w:t>The demurrer procedure is governed by Code of Civil Procedure sections 430.10 et seq.  Under section 430.10, subd. (e), a party may demur on the ground, among others, that “[t]he pleading does not state facts sufficient to constitute a cause of action” or that the pleading is uncertain.  (Code Civ. Proc., § 430.10, subds. (e), (f).)  The District and Plaintiff have complied with the meet-and-confer requirements of Code of Civil Procedure section 430.41, as set forth in the concurrently-filed Declaration of Margaret A. Delacroix.</w:t>
      </w:r>
    </w:p>
    <w:p>
      <w:pPr>
        <w:spacing w:line="480" w:lineRule="exact" w:before="0" w:after="0"/>
      </w:pPr>
    </w:p>
    <w:p>
      <w:pPr>
        <w:spacing w:line="480" w:lineRule="exact" w:before="0" w:after="0"/>
      </w:pPr>
      <w:r>
        <w:rPr>
          <w:rFonts w:ascii="Times New Roman" w:hAnsi="Times New Roman" w:cs="Times New Roman" w:eastAsia="Times New Roman"/>
          <w:b/>
          <w:sz w:val="24"/>
        </w:rPr>
        <w:t>IV.  ARGUMENT</w:t>
      </w:r>
    </w:p>
    <w:p>
      <w:pPr>
        <w:spacing w:line="480" w:lineRule="exact" w:before="0" w:after="0"/>
      </w:pPr>
    </w:p>
    <w:p>
      <w:pPr>
        <w:spacing w:line="480" w:lineRule="exact" w:before="0" w:after="0"/>
      </w:pPr>
      <w:r>
        <w:rPr>
          <w:rFonts w:ascii="Times New Roman" w:hAnsi="Times New Roman" w:cs="Times New Roman" w:eastAsia="Times New Roman"/>
          <w:b/>
          <w:sz w:val="24"/>
        </w:rPr>
        <w:t>A.  THE FIRST CAUSE OF ACTION FAILS BECAUSE THE IMPLIED COVENANT CANNOT CREATE OBLIGATIONS NOT IN THE WRITTEN CONTRACT.</w:t>
      </w:r>
    </w:p>
    <w:p>
      <w:pPr>
        <w:spacing w:line="480" w:lineRule="exact" w:before="0" w:after="0"/>
        <w:ind w:firstLine="720"/>
      </w:pPr>
      <w:r>
        <w:rPr>
          <w:rFonts w:ascii="Times New Roman" w:hAnsi="Times New Roman" w:cs="Times New Roman" w:eastAsia="Times New Roman"/>
          <w:sz w:val="24"/>
        </w:rPr>
        <w:t>Plaintiff’s first cause of action alleges that the District breached the implied covenant of good faith and fair dealing by “withholding payment for work authorized by District personnel;” and “refusing to process in good faith the change orders submitted by Plaintiff.”  (Compl., ¶¶ 28-30.)  The claim fails as a matter of law because it seeks to impose obligations on the District that the written contract does not impose — and indeed that the written contract, and California public-contracting law, expressly foreclose.</w:t>
      </w:r>
    </w:p>
    <w:p>
      <w:pPr>
        <w:spacing w:line="480" w:lineRule="exact" w:before="0" w:after="0"/>
        <w:ind w:firstLine="720"/>
      </w:pPr>
      <w:r>
        <w:rPr>
          <w:rFonts w:ascii="Times New Roman" w:hAnsi="Times New Roman" w:cs="Times New Roman" w:eastAsia="Times New Roman"/>
          <w:sz w:val="24"/>
        </w:rPr>
        <w:t>The implied covenant of good faith and fair dealing is, as its name suggests, an implied term — it is an interpretive aid that prevents a contracting party from using the literal terms of a contract to frustrate the benefits the parties actually bargained for.  It does not add new substantive terms to an agreement.  Our Supreme Court has been emphatic on this point:  the implied covenant has no existence independent of the contractual relationship on which it operates, and it cannot impose substantive duties on the parties beyond those incorporated in the specific terms of their agreement.  (</w:t>
      </w:r>
      <w:r>
        <w:rPr>
          <w:rFonts w:ascii="Times New Roman" w:hAnsi="Times New Roman" w:cs="Times New Roman" w:eastAsia="Times New Roman"/>
          <w:i/>
          <w:sz w:val="24"/>
        </w:rPr>
        <w:t>Guz v. Bechtel National, Inc.</w:t>
      </w:r>
      <w:r>
        <w:rPr>
          <w:rFonts w:ascii="Times New Roman" w:hAnsi="Times New Roman" w:cs="Times New Roman" w:eastAsia="Times New Roman"/>
          <w:sz w:val="24"/>
        </w:rPr>
        <w:t xml:space="preserve"> (2000) 24 Cal.4th 317, 349-350.)  The rule operates as a categorical limit, not a mere gloss on contractual interpretation.  (</w:t>
      </w:r>
      <w:r>
        <w:rPr>
          <w:rFonts w:ascii="Times New Roman" w:hAnsi="Times New Roman" w:cs="Times New Roman" w:eastAsia="Times New Roman"/>
          <w:i/>
          <w:sz w:val="24"/>
        </w:rPr>
        <w:t>Id.</w:t>
      </w:r>
      <w:r>
        <w:rPr>
          <w:rFonts w:ascii="Times New Roman" w:hAnsi="Times New Roman" w:cs="Times New Roman" w:eastAsia="Times New Roman"/>
          <w:sz w:val="24"/>
        </w:rPr>
        <w:t xml:space="preserve"> at p. 350.)</w:t>
      </w:r>
    </w:p>
    <w:p>
      <w:pPr>
        <w:spacing w:line="480" w:lineRule="exact" w:before="0" w:after="0"/>
        <w:ind w:firstLine="720"/>
      </w:pPr>
      <w:r>
        <w:rPr>
          <w:rFonts w:ascii="Times New Roman" w:hAnsi="Times New Roman" w:cs="Times New Roman" w:eastAsia="Times New Roman"/>
          <w:sz w:val="24"/>
        </w:rPr>
        <w:t xml:space="preserve">The </w:t>
      </w:r>
      <w:r>
        <w:rPr>
          <w:rFonts w:ascii="Times New Roman" w:hAnsi="Times New Roman" w:cs="Times New Roman" w:eastAsia="Times New Roman"/>
          <w:i/>
          <w:sz w:val="24"/>
        </w:rPr>
        <w:t>Carma</w:t>
      </w:r>
      <w:r>
        <w:rPr>
          <w:rFonts w:ascii="Times New Roman" w:hAnsi="Times New Roman" w:cs="Times New Roman" w:eastAsia="Times New Roman"/>
          <w:sz w:val="24"/>
        </w:rPr>
        <w:t xml:space="preserve"> court stated the rule to the same effect.  The implied covenant is confined to assuring compliance with the express terms of the contract, and cannot be extended to create obligations the parties did not themselves agree to undertake.  (</w:t>
      </w:r>
      <w:r>
        <w:rPr>
          <w:rFonts w:ascii="Times New Roman" w:hAnsi="Times New Roman" w:cs="Times New Roman" w:eastAsia="Times New Roman"/>
          <w:i/>
          <w:sz w:val="24"/>
        </w:rPr>
        <w:t>Carma Developers (Cal.), Inc. v. Marathon Development California, Inc.</w:t>
      </w:r>
      <w:r>
        <w:rPr>
          <w:rFonts w:ascii="Times New Roman" w:hAnsi="Times New Roman" w:cs="Times New Roman" w:eastAsia="Times New Roman"/>
          <w:sz w:val="24"/>
        </w:rPr>
        <w:t xml:space="preserve"> (1992) 2 Cal.4th 342, 373-374.)  An implied-covenant claim that is not tethered to a specific express contract term the defendant frustrated is not a cognizable claim under California law.  (</w:t>
      </w:r>
      <w:r>
        <w:rPr>
          <w:rFonts w:ascii="Times New Roman" w:hAnsi="Times New Roman" w:cs="Times New Roman" w:eastAsia="Times New Roman"/>
          <w:i/>
          <w:sz w:val="24"/>
        </w:rPr>
        <w:t>Guz</w:t>
      </w:r>
      <w:r>
        <w:rPr>
          <w:rFonts w:ascii="Times New Roman" w:hAnsi="Times New Roman" w:cs="Times New Roman" w:eastAsia="Times New Roman"/>
          <w:sz w:val="24"/>
        </w:rPr>
        <w:t>, 24 Cal.4th at p. 350.)</w:t>
      </w:r>
    </w:p>
    <w:p>
      <w:pPr>
        <w:spacing w:line="480" w:lineRule="exact" w:before="0" w:after="0"/>
        <w:ind w:firstLine="720"/>
      </w:pPr>
      <w:r>
        <w:rPr>
          <w:rFonts w:ascii="Times New Roman" w:hAnsi="Times New Roman" w:cs="Times New Roman" w:eastAsia="Times New Roman"/>
          <w:sz w:val="24"/>
        </w:rPr>
        <w:t xml:space="preserve">Plaintiff’s first cause of action falls squarely within the </w:t>
      </w:r>
      <w:r>
        <w:rPr>
          <w:rFonts w:ascii="Times New Roman" w:hAnsi="Times New Roman" w:cs="Times New Roman" w:eastAsia="Times New Roman"/>
          <w:i/>
          <w:sz w:val="24"/>
        </w:rPr>
        <w:t>Guz/Carma</w:t>
      </w:r>
      <w:r>
        <w:rPr>
          <w:rFonts w:ascii="Times New Roman" w:hAnsi="Times New Roman" w:cs="Times New Roman" w:eastAsia="Times New Roman"/>
          <w:sz w:val="24"/>
        </w:rPr>
        <w:t xml:space="preserve"> prohibition.  The express terms of the contract require that any change to scope or price be in a writing signed by the Superintendent or other officer the Board of Trustees has authorized.  (Compl., ¶ 11 &amp; Ex. A, art. 12.2.)  Plaintiff’s implied-covenant theory asks the Court to impose an obligation on the District to pay for verbally-directed work that, by the contract’s express terms, is not compensable.  That is precisely the kind of extra-contractual obligation </w:t>
      </w:r>
      <w:r>
        <w:rPr>
          <w:rFonts w:ascii="Times New Roman" w:hAnsi="Times New Roman" w:cs="Times New Roman" w:eastAsia="Times New Roman"/>
          <w:i/>
          <w:sz w:val="24"/>
        </w:rPr>
        <w:t>Guz</w:t>
      </w:r>
      <w:r>
        <w:rPr>
          <w:rFonts w:ascii="Times New Roman" w:hAnsi="Times New Roman" w:cs="Times New Roman" w:eastAsia="Times New Roman"/>
          <w:sz w:val="24"/>
        </w:rPr>
        <w:t xml:space="preserve"> forbids.  (</w:t>
      </w:r>
      <w:r>
        <w:rPr>
          <w:rFonts w:ascii="Times New Roman" w:hAnsi="Times New Roman" w:cs="Times New Roman" w:eastAsia="Times New Roman"/>
          <w:i w:val="0"/>
          <w:sz w:val="24"/>
        </w:rPr>
        <w:t>Id.</w:t>
      </w:r>
      <w:r>
        <w:rPr>
          <w:rFonts w:ascii="Times New Roman" w:hAnsi="Times New Roman" w:cs="Times New Roman" w:eastAsia="Times New Roman"/>
          <w:sz w:val="24"/>
        </w:rPr>
        <w:t xml:space="preserve"> at pp. 349-350.)</w:t>
      </w:r>
    </w:p>
    <w:p>
      <w:pPr>
        <w:spacing w:line="480" w:lineRule="exact" w:before="0" w:after="0"/>
        <w:ind w:firstLine="720"/>
      </w:pPr>
      <w:r>
        <w:rPr>
          <w:rFonts w:ascii="Times New Roman" w:hAnsi="Times New Roman" w:cs="Times New Roman" w:eastAsia="Times New Roman"/>
          <w:sz w:val="24"/>
        </w:rPr>
        <w:t>Plaintiff’s fallback allegation — that the District acted in bad faith by “refusing to process” the five proposed written change orders — fares no better.  Nothing in the contract obligated the District’s Superintendent or Board of Trustees to approve any particular change order, and the Complaint alleges no facts suggesting the District’s decision not to approve them was pretextual or untethered from a legitimate exercise of contract administration.  An implied-covenant claim premised on the non-exercise of a discretionary contractual right fails where, as here, the complaint pleads no facts that would take the defendant’s conduct outside the range of contractually-permitted behavior.  (</w:t>
      </w:r>
      <w:r>
        <w:rPr>
          <w:rFonts w:ascii="Times New Roman" w:hAnsi="Times New Roman" w:cs="Times New Roman" w:eastAsia="Times New Roman"/>
          <w:i/>
          <w:sz w:val="24"/>
        </w:rPr>
        <w:t>Carma</w:t>
      </w:r>
      <w:r>
        <w:rPr>
          <w:rFonts w:ascii="Times New Roman" w:hAnsi="Times New Roman" w:cs="Times New Roman" w:eastAsia="Times New Roman"/>
          <w:sz w:val="24"/>
        </w:rPr>
        <w:t>, 2 Cal.4th at p. 374.)</w:t>
      </w:r>
    </w:p>
    <w:p>
      <w:pPr>
        <w:spacing w:line="480" w:lineRule="exact" w:before="0" w:after="0"/>
        <w:ind w:firstLine="720"/>
      </w:pPr>
      <w:r>
        <w:rPr>
          <w:rFonts w:ascii="Times New Roman" w:hAnsi="Times New Roman" w:cs="Times New Roman" w:eastAsia="Times New Roman"/>
          <w:sz w:val="24"/>
        </w:rPr>
        <w:t>The demurrer to the first cause of action should be sustained. Because no amendment could cure the mismatch between what the written contract requires and what Plaintiff’s theory demands, leave to amend is not warranted.  (</w:t>
      </w:r>
      <w:r>
        <w:rPr>
          <w:rFonts w:ascii="Times New Roman" w:hAnsi="Times New Roman" w:cs="Times New Roman" w:eastAsia="Times New Roman"/>
          <w:i/>
          <w:sz w:val="24"/>
        </w:rPr>
        <w:t>Schifando</w:t>
      </w:r>
      <w:r>
        <w:rPr>
          <w:rFonts w:ascii="Times New Roman" w:hAnsi="Times New Roman" w:cs="Times New Roman" w:eastAsia="Times New Roman"/>
          <w:sz w:val="24"/>
        </w:rPr>
        <w:t>, 31 Cal.4th at p. 1081.)</w:t>
      </w:r>
    </w:p>
    <w:p>
      <w:pPr>
        <w:spacing w:line="480" w:lineRule="exact" w:before="0" w:after="0"/>
      </w:pPr>
    </w:p>
    <w:p>
      <w:pPr>
        <w:spacing w:line="480" w:lineRule="exact" w:before="0" w:after="0"/>
      </w:pPr>
      <w:r>
        <w:rPr>
          <w:rFonts w:ascii="Times New Roman" w:hAnsi="Times New Roman" w:cs="Times New Roman" w:eastAsia="Times New Roman"/>
          <w:b/>
          <w:sz w:val="24"/>
        </w:rPr>
        <w:t>B.  THE SECOND CAUSE OF ACTION FAILS BECAUSE VERBAL CHANGE ORDERS ARE NOT ENFORCEABLE AGAINST A SCHOOL DISTRICT.</w:t>
      </w:r>
    </w:p>
    <w:p>
      <w:pPr>
        <w:spacing w:line="480" w:lineRule="exact" w:before="0" w:after="0"/>
        <w:ind w:firstLine="720"/>
      </w:pPr>
      <w:r>
        <w:rPr>
          <w:rFonts w:ascii="Times New Roman" w:hAnsi="Times New Roman" w:cs="Times New Roman" w:eastAsia="Times New Roman"/>
          <w:sz w:val="24"/>
        </w:rPr>
        <w:t>The second cause of action pleads breach of contract premised entirely on alleged “verbal change orders” given by a District maintenance employee.  (Compl., ¶¶ 33-40.)  The claim fails as a matter of law for two independent reasons:  (1) Public Contract Code Section 20118.4 requires change orders on school-district public works to be in writing; and (2) Education Code sections 17604 and 17605 require board approval — or validly-delegated approval — for contract amendments, and no such approval is, or could be, alleged.</w:t>
      </w:r>
    </w:p>
    <w:p>
      <w:pPr>
        <w:spacing w:line="480" w:lineRule="exact" w:before="0" w:after="0"/>
        <w:ind w:firstLine="720"/>
      </w:pPr>
      <w:r>
        <w:rPr>
          <w:rFonts w:ascii="Times New Roman" w:hAnsi="Times New Roman" w:cs="Times New Roman" w:eastAsia="Times New Roman"/>
          <w:sz w:val="24"/>
        </w:rPr>
        <w:t>Public Contract Code § 20118.4 governs change orders on public-works projects undertaken by school districts.  It provides a statutory framework under which a governing board may, by written change order, authorize the contractor to perform additional or changed work within defined limits.  The statute contemplates — and California courts have consistently enforced — a written change-order regime; it does not authorize verbal modifications.  (See Pub. Cont. Code, § 20118.4.)  The Court of Appeal has repeatedly confirmed that written change-order requirements in public-works contracts are to be strictly enforced, and that a contractor who proceeds without compliance does so at its own risk.  (</w:t>
      </w:r>
      <w:r>
        <w:rPr>
          <w:rFonts w:ascii="Times New Roman" w:hAnsi="Times New Roman" w:cs="Times New Roman" w:eastAsia="Times New Roman"/>
          <w:i/>
          <w:sz w:val="24"/>
        </w:rPr>
        <w:t>P&amp;D Consultants, Inc. v. City of Carlsbad</w:t>
      </w:r>
      <w:r>
        <w:rPr>
          <w:rFonts w:ascii="Times New Roman" w:hAnsi="Times New Roman" w:cs="Times New Roman" w:eastAsia="Times New Roman"/>
          <w:sz w:val="24"/>
        </w:rPr>
        <w:t xml:space="preserve"> (2010) 190 Cal.App.4th 1332, 1340-1343.)</w:t>
      </w:r>
    </w:p>
    <w:p>
      <w:pPr>
        <w:spacing w:line="480" w:lineRule="exact" w:before="0" w:after="0"/>
        <w:ind w:firstLine="720"/>
      </w:pPr>
      <w:r>
        <w:rPr>
          <w:rFonts w:ascii="Times New Roman" w:hAnsi="Times New Roman" w:cs="Times New Roman" w:eastAsia="Times New Roman"/>
          <w:sz w:val="24"/>
        </w:rPr>
        <w:t>Education Code sections 17604 and 17605 complete the statutory picture.  Section 17604 provides that contracts made by a school district are not valid or enforceable against the district unless approved or ratified by the governing board.  (Ed. Code, § 17604.)  Section 17605 permits the governing board to delegate contracting authority to a district officer, but only by formal written resolution, and only within the limits the board specifies.  (Ed. Code, § 17605.)  A person who has not received a valid delegation under section 17605 has no authority to bind the district.  (</w:t>
      </w:r>
      <w:r>
        <w:rPr>
          <w:rFonts w:ascii="Times New Roman" w:hAnsi="Times New Roman" w:cs="Times New Roman" w:eastAsia="Times New Roman"/>
          <w:i/>
          <w:sz w:val="24"/>
        </w:rPr>
        <w:t>Ibid.</w:t>
      </w:r>
      <w:r>
        <w:rPr>
          <w:rFonts w:ascii="Times New Roman" w:hAnsi="Times New Roman" w:cs="Times New Roman" w:eastAsia="Times New Roman"/>
          <w:sz w:val="24"/>
        </w:rPr>
        <w:t>)</w:t>
      </w:r>
    </w:p>
    <w:p>
      <w:pPr>
        <w:spacing w:line="480" w:lineRule="exact" w:before="0" w:after="0"/>
        <w:ind w:firstLine="720"/>
      </w:pPr>
      <w:r>
        <w:rPr>
          <w:rFonts w:ascii="Times New Roman" w:hAnsi="Times New Roman" w:cs="Times New Roman" w:eastAsia="Times New Roman"/>
          <w:sz w:val="24"/>
        </w:rPr>
        <w:t>Plaintiff’s Complaint concedes the fatal point:  Mr. Ortiz, the Director of Maintenance and Operations, is alleged to have been the “on-site District representative most familiar with the Project” — nothing more.  (Compl., ¶ 15.)  The Complaint does not allege that the Board of Trustees delegated change-order authority to Mr. Ortiz under section 17605, or that the Board approved or ratified any of Mr. Ortiz’s alleged verbal directions.  Absent such allegations, no enforceable contract modification arose from Mr. Ortiz’s statements — however well-intentioned or practical his instructions may have been.  (Ed. Code, §§ 17604, 17605.)</w:t>
      </w:r>
    </w:p>
    <w:p>
      <w:pPr>
        <w:spacing w:line="480" w:lineRule="exact" w:before="0" w:after="0"/>
        <w:ind w:firstLine="720"/>
      </w:pPr>
      <w:r>
        <w:rPr>
          <w:rFonts w:ascii="Times New Roman" w:hAnsi="Times New Roman" w:cs="Times New Roman" w:eastAsia="Times New Roman"/>
          <w:sz w:val="24"/>
        </w:rPr>
        <w:t xml:space="preserve">California decisions going back more than a century have applied these principles unforgivingly.  Strict compliance with statutory contracting requirements is treated as a jurisdictional prerequisite to the formation of a valid contract with a public entity, and contracts entered without the requisite statutory authority are void </w:t>
      </w:r>
      <w:r>
        <w:rPr>
          <w:rFonts w:ascii="Times New Roman" w:hAnsi="Times New Roman" w:cs="Times New Roman" w:eastAsia="Times New Roman"/>
          <w:i/>
          <w:sz w:val="24"/>
        </w:rPr>
        <w:t>ab initio</w:t>
      </w:r>
      <w:r>
        <w:rPr>
          <w:rFonts w:ascii="Times New Roman" w:hAnsi="Times New Roman" w:cs="Times New Roman" w:eastAsia="Times New Roman"/>
          <w:sz w:val="24"/>
        </w:rPr>
        <w:t>.  (</w:t>
      </w:r>
      <w:r>
        <w:rPr>
          <w:rFonts w:ascii="Times New Roman" w:hAnsi="Times New Roman" w:cs="Times New Roman" w:eastAsia="Times New Roman"/>
          <w:i/>
          <w:sz w:val="24"/>
        </w:rPr>
        <w:t>G.L. Mezzetta, Inc. v. City of American Canyon</w:t>
      </w:r>
      <w:r>
        <w:rPr>
          <w:rFonts w:ascii="Times New Roman" w:hAnsi="Times New Roman" w:cs="Times New Roman" w:eastAsia="Times New Roman"/>
          <w:sz w:val="24"/>
        </w:rPr>
        <w:t xml:space="preserve"> (2000) 78 Cal.App.4th 1087, 1092-1093; </w:t>
      </w:r>
      <w:r>
        <w:rPr>
          <w:rFonts w:ascii="Times New Roman" w:hAnsi="Times New Roman" w:cs="Times New Roman" w:eastAsia="Times New Roman"/>
          <w:i/>
          <w:sz w:val="24"/>
        </w:rPr>
        <w:t>First Street Plaza Partners v. City of Los Angeles</w:t>
      </w:r>
      <w:r>
        <w:rPr>
          <w:rFonts w:ascii="Times New Roman" w:hAnsi="Times New Roman" w:cs="Times New Roman" w:eastAsia="Times New Roman"/>
          <w:sz w:val="24"/>
        </w:rPr>
        <w:t xml:space="preserve"> (1998) 65 Cal.App.4th 650, 668-669.)  And it is settled that a public agency cannot be estopped to assert the invalidity of a contract executed in excess of its statutory authority.  (</w:t>
      </w:r>
      <w:r>
        <w:rPr>
          <w:rFonts w:ascii="Times New Roman" w:hAnsi="Times New Roman" w:cs="Times New Roman" w:eastAsia="Times New Roman"/>
          <w:i/>
          <w:sz w:val="24"/>
        </w:rPr>
        <w:t>Air Quality Products, Inc. v. State of California</w:t>
      </w:r>
      <w:r>
        <w:rPr>
          <w:rFonts w:ascii="Times New Roman" w:hAnsi="Times New Roman" w:cs="Times New Roman" w:eastAsia="Times New Roman"/>
          <w:sz w:val="24"/>
        </w:rPr>
        <w:t xml:space="preserve"> (1979) 96 Cal.App.3d 340, 349; </w:t>
      </w:r>
      <w:r>
        <w:rPr>
          <w:rFonts w:ascii="Times New Roman" w:hAnsi="Times New Roman" w:cs="Times New Roman" w:eastAsia="Times New Roman"/>
          <w:i/>
          <w:sz w:val="24"/>
        </w:rPr>
        <w:t>Lentz v. McMahon</w:t>
      </w:r>
      <w:r>
        <w:rPr>
          <w:rFonts w:ascii="Times New Roman" w:hAnsi="Times New Roman" w:cs="Times New Roman" w:eastAsia="Times New Roman"/>
          <w:sz w:val="24"/>
        </w:rPr>
        <w:t xml:space="preserve"> (1989) 49 Cal.3d 393, 399-400; see also </w:t>
      </w:r>
      <w:r>
        <w:rPr>
          <w:rFonts w:ascii="Times New Roman" w:hAnsi="Times New Roman" w:cs="Times New Roman" w:eastAsia="Times New Roman"/>
          <w:i/>
          <w:sz w:val="24"/>
        </w:rPr>
        <w:t>City of Long Beach v. Mansell</w:t>
      </w:r>
      <w:r>
        <w:rPr>
          <w:rFonts w:ascii="Times New Roman" w:hAnsi="Times New Roman" w:cs="Times New Roman" w:eastAsia="Times New Roman"/>
          <w:sz w:val="24"/>
        </w:rPr>
        <w:t xml:space="preserve"> (1970) 3 Cal.3d 462, 439 [estoppel against government available only in unusual circumstances and never where it would defeat a strong public policy].)</w:t>
      </w:r>
    </w:p>
    <w:p>
      <w:pPr>
        <w:spacing w:line="480" w:lineRule="exact" w:before="0" w:after="0"/>
        <w:ind w:firstLine="720"/>
      </w:pPr>
      <w:r>
        <w:rPr>
          <w:rFonts w:ascii="Times New Roman" w:hAnsi="Times New Roman" w:cs="Times New Roman" w:eastAsia="Times New Roman"/>
          <w:sz w:val="24"/>
        </w:rPr>
        <w:t>The Supreme Court has also foreclosed the very theory Plaintiff advances here — that a contractor may recover, on a total-cost or abandonment theory, for extras performed outside the written change-order regime.  (</w:t>
      </w:r>
      <w:r>
        <w:rPr>
          <w:rFonts w:ascii="Times New Roman" w:hAnsi="Times New Roman" w:cs="Times New Roman" w:eastAsia="Times New Roman"/>
          <w:i/>
          <w:sz w:val="24"/>
        </w:rPr>
        <w:t>Amelco Electric v. City of Thousand Oaks</w:t>
      </w:r>
      <w:r>
        <w:rPr>
          <w:rFonts w:ascii="Times New Roman" w:hAnsi="Times New Roman" w:cs="Times New Roman" w:eastAsia="Times New Roman"/>
          <w:sz w:val="24"/>
        </w:rPr>
        <w:t xml:space="preserve"> (2002) 27 Cal.4th 228, 234-235.)  The rule could not be clearer:  when a public contract contains express change-order provisions, those provisions must be honored, and a contractor’s course-of-performance attempt to bypass them is not a legally cognizable theory of recovery.  (</w:t>
      </w:r>
      <w:r>
        <w:rPr>
          <w:rFonts w:ascii="Times New Roman" w:hAnsi="Times New Roman" w:cs="Times New Roman" w:eastAsia="Times New Roman"/>
          <w:i/>
          <w:sz w:val="24"/>
        </w:rPr>
        <w:t>Id.</w:t>
      </w:r>
      <w:r>
        <w:rPr>
          <w:rFonts w:ascii="Times New Roman" w:hAnsi="Times New Roman" w:cs="Times New Roman" w:eastAsia="Times New Roman"/>
          <w:sz w:val="24"/>
        </w:rPr>
        <w:t xml:space="preserve"> at p. 235; see also </w:t>
      </w:r>
      <w:r>
        <w:rPr>
          <w:rFonts w:ascii="Times New Roman" w:hAnsi="Times New Roman" w:cs="Times New Roman" w:eastAsia="Times New Roman"/>
          <w:i/>
          <w:sz w:val="24"/>
        </w:rPr>
        <w:t>Janis v. California State Lottery Com.</w:t>
      </w:r>
      <w:r>
        <w:rPr>
          <w:rFonts w:ascii="Times New Roman" w:hAnsi="Times New Roman" w:cs="Times New Roman" w:eastAsia="Times New Roman"/>
          <w:sz w:val="24"/>
        </w:rPr>
        <w:t xml:space="preserve"> (1998) 68 Cal.App.4th 824, 829-831 [estoppel against a public entity is rare and narrowly limited].)</w:t>
      </w:r>
    </w:p>
    <w:p>
      <w:pPr>
        <w:spacing w:line="480" w:lineRule="exact" w:before="0" w:after="0"/>
        <w:ind w:firstLine="720"/>
      </w:pPr>
      <w:r>
        <w:rPr>
          <w:rFonts w:ascii="Times New Roman" w:hAnsi="Times New Roman" w:cs="Times New Roman" w:eastAsia="Times New Roman"/>
          <w:sz w:val="24"/>
        </w:rPr>
        <w:t>Every essential element of the contract claim fails at the pleading stage.  A contract requires mutual consent.  (Civ. Code, §§ 1550, 1565.)  Here, the “consent” on the District side could only have come from an officer the Board of Trustees had authorized to give it — and Plaintiff’s Complaint alleges no such officer, no such authorization and no such consent.  The second cause of action should be dismissed without leave to amend.</w:t>
      </w:r>
    </w:p>
    <w:p>
      <w:pPr>
        <w:spacing w:line="480" w:lineRule="exact" w:before="0" w:after="0"/>
      </w:pPr>
    </w:p>
    <w:p>
      <w:pPr>
        <w:spacing w:line="480" w:lineRule="exact" w:before="0" w:after="0"/>
      </w:pPr>
      <w:r>
        <w:rPr>
          <w:rFonts w:ascii="Times New Roman" w:hAnsi="Times New Roman" w:cs="Times New Roman" w:eastAsia="Times New Roman"/>
          <w:b/>
          <w:sz w:val="24"/>
        </w:rPr>
        <w:t>C.  THE THIRD CAUSE OF ACTION FAILS BECAUSE UNJUST ENRICHMENT IS NOT AVAILABLE AGAINST A PUBLIC ENTITY FOR WORK OUTSIDE AN AUTHORIZED CONTRACT.</w:t>
      </w:r>
    </w:p>
    <w:p>
      <w:pPr>
        <w:spacing w:line="480" w:lineRule="exact" w:before="0" w:after="0"/>
        <w:ind w:firstLine="720"/>
      </w:pPr>
      <w:r>
        <w:rPr>
          <w:rFonts w:ascii="Times New Roman" w:hAnsi="Times New Roman" w:cs="Times New Roman" w:eastAsia="Times New Roman"/>
          <w:sz w:val="24"/>
        </w:rPr>
        <w:t xml:space="preserve">Plaintiff’s third cause of action seeks the reasonable value of the additional work under a theory of unjust enrichment or quantum meruit.  (Compl., ¶¶ 44-51.)  That theory has been foreclosed against public entities in California for more than a century.  (See </w:t>
      </w:r>
      <w:r>
        <w:rPr>
          <w:rFonts w:ascii="Times New Roman" w:hAnsi="Times New Roman" w:cs="Times New Roman" w:eastAsia="Times New Roman"/>
          <w:i/>
          <w:sz w:val="24"/>
        </w:rPr>
        <w:t>Lakeside School Dist. v. Coastal Builders, Inc.</w:t>
      </w:r>
      <w:r>
        <w:rPr>
          <w:rFonts w:ascii="Times New Roman" w:hAnsi="Times New Roman" w:cs="Times New Roman" w:eastAsia="Times New Roman"/>
          <w:sz w:val="24"/>
        </w:rPr>
        <w:t xml:space="preserve"> (2014) 229 Cal.App.4th 517, 523-524.)</w:t>
      </w:r>
    </w:p>
    <w:p>
      <w:pPr>
        <w:spacing w:line="480" w:lineRule="exact" w:before="0" w:after="0"/>
        <w:ind w:firstLine="720"/>
      </w:pPr>
      <w:r>
        <w:rPr>
          <w:rFonts w:ascii="Times New Roman" w:hAnsi="Times New Roman" w:cs="Times New Roman" w:eastAsia="Times New Roman"/>
          <w:sz w:val="24"/>
        </w:rPr>
        <w:t xml:space="preserve">The rule originated in </w:t>
      </w:r>
      <w:r>
        <w:rPr>
          <w:rFonts w:ascii="Times New Roman" w:hAnsi="Times New Roman" w:cs="Times New Roman" w:eastAsia="Times New Roman"/>
          <w:i/>
          <w:sz w:val="24"/>
        </w:rPr>
        <w:t>Reams v. Cooley, et al.</w:t>
      </w:r>
      <w:r>
        <w:rPr>
          <w:rFonts w:ascii="Times New Roman" w:hAnsi="Times New Roman" w:cs="Times New Roman" w:eastAsia="Times New Roman"/>
          <w:sz w:val="24"/>
        </w:rPr>
        <w:t xml:space="preserve"> (1915) 171 Cal. 150, 154-156, in which the California Supreme Court held that a contractor who performed work under a contract that had not been validly authorized by the school district could not recover on a quantum-meruit theory for the reasonable value of the work performed.  The </w:t>
      </w:r>
      <w:r>
        <w:rPr>
          <w:rFonts w:ascii="Times New Roman" w:hAnsi="Times New Roman" w:cs="Times New Roman" w:eastAsia="Times New Roman"/>
          <w:i/>
          <w:sz w:val="24"/>
        </w:rPr>
        <w:t>Reams</w:t>
      </w:r>
      <w:r>
        <w:rPr>
          <w:rFonts w:ascii="Times New Roman" w:hAnsi="Times New Roman" w:cs="Times New Roman" w:eastAsia="Times New Roman"/>
          <w:sz w:val="24"/>
        </w:rPr>
        <w:t xml:space="preserve"> rule was reaffirmed in </w:t>
      </w:r>
      <w:r>
        <w:rPr>
          <w:rFonts w:ascii="Times New Roman" w:hAnsi="Times New Roman" w:cs="Times New Roman" w:eastAsia="Times New Roman"/>
          <w:i/>
          <w:sz w:val="24"/>
        </w:rPr>
        <w:t>Miller v. McKinnon</w:t>
      </w:r>
      <w:r>
        <w:rPr>
          <w:rFonts w:ascii="Times New Roman" w:hAnsi="Times New Roman" w:cs="Times New Roman" w:eastAsia="Times New Roman"/>
          <w:sz w:val="24"/>
        </w:rPr>
        <w:t xml:space="preserve"> (1942) 20 Cal.2d 83, 88-89, which held that a contract made in violation of a statutory mandate governing public-entity contracting is void and that no recovery in quantum meruit is available for services rendered under such a contract.</w:t>
      </w:r>
    </w:p>
    <w:p>
      <w:pPr>
        <w:spacing w:line="480" w:lineRule="exact" w:before="0" w:after="0"/>
        <w:ind w:firstLine="720"/>
      </w:pPr>
      <w:r>
        <w:rPr>
          <w:rFonts w:ascii="Times New Roman" w:hAnsi="Times New Roman" w:cs="Times New Roman" w:eastAsia="Times New Roman"/>
          <w:sz w:val="24"/>
        </w:rPr>
        <w:t xml:space="preserve">Modern decisions have applied the </w:t>
      </w:r>
      <w:r>
        <w:rPr>
          <w:rFonts w:ascii="Times New Roman" w:hAnsi="Times New Roman" w:cs="Times New Roman" w:eastAsia="Times New Roman"/>
          <w:i/>
          <w:sz w:val="24"/>
        </w:rPr>
        <w:t>Reams/Miller</w:t>
      </w:r>
      <w:r>
        <w:rPr>
          <w:rFonts w:ascii="Times New Roman" w:hAnsi="Times New Roman" w:cs="Times New Roman" w:eastAsia="Times New Roman"/>
          <w:sz w:val="24"/>
        </w:rPr>
        <w:t xml:space="preserve"> rule across the full range of public-entity contracting contexts.  (</w:t>
      </w:r>
      <w:r>
        <w:rPr>
          <w:rFonts w:ascii="Times New Roman" w:hAnsi="Times New Roman" w:cs="Times New Roman" w:eastAsia="Times New Roman"/>
          <w:i/>
          <w:sz w:val="24"/>
        </w:rPr>
        <w:t>Katsura v. City of San Buenaventura</w:t>
      </w:r>
      <w:r>
        <w:rPr>
          <w:rFonts w:ascii="Times New Roman" w:hAnsi="Times New Roman" w:cs="Times New Roman" w:eastAsia="Times New Roman"/>
          <w:sz w:val="24"/>
        </w:rPr>
        <w:t xml:space="preserve"> (2007) 155 Cal.App.4th 104, 109-110 [no quantum-meruit recovery against city for services under a void contract]; </w:t>
      </w:r>
      <w:r>
        <w:rPr>
          <w:rFonts w:ascii="Times New Roman" w:hAnsi="Times New Roman" w:cs="Times New Roman" w:eastAsia="Times New Roman"/>
          <w:i/>
          <w:sz w:val="24"/>
        </w:rPr>
        <w:t>First Street Plaza Partners</w:t>
      </w:r>
      <w:r>
        <w:rPr>
          <w:rFonts w:ascii="Times New Roman" w:hAnsi="Times New Roman" w:cs="Times New Roman" w:eastAsia="Times New Roman"/>
          <w:sz w:val="24"/>
        </w:rPr>
        <w:t xml:space="preserve">, </w:t>
      </w:r>
      <w:r>
        <w:rPr>
          <w:rFonts w:ascii="Times New Roman" w:hAnsi="Times New Roman" w:cs="Times New Roman" w:eastAsia="Times New Roman"/>
          <w:i/>
          <w:sz w:val="24"/>
        </w:rPr>
        <w:t>supra</w:t>
      </w:r>
      <w:r>
        <w:rPr>
          <w:rFonts w:ascii="Times New Roman" w:hAnsi="Times New Roman" w:cs="Times New Roman" w:eastAsia="Times New Roman"/>
          <w:sz w:val="24"/>
        </w:rPr>
        <w:t xml:space="preserve">, 65 Cal.App.4th at pp. 668-669 [contracts made without statutory authority are void </w:t>
      </w:r>
      <w:r>
        <w:rPr>
          <w:rFonts w:ascii="Times New Roman" w:hAnsi="Times New Roman" w:cs="Times New Roman" w:eastAsia="Times New Roman"/>
          <w:i/>
          <w:sz w:val="24"/>
        </w:rPr>
        <w:t>ab initio</w:t>
      </w:r>
      <w:r>
        <w:rPr>
          <w:rFonts w:ascii="Times New Roman" w:hAnsi="Times New Roman" w:cs="Times New Roman" w:eastAsia="Times New Roman"/>
          <w:sz w:val="24"/>
        </w:rPr>
        <w:t xml:space="preserve"> and confer no right to quasi-contractual recovery]; </w:t>
      </w:r>
      <w:r>
        <w:rPr>
          <w:rFonts w:ascii="Times New Roman" w:hAnsi="Times New Roman" w:cs="Times New Roman" w:eastAsia="Times New Roman"/>
          <w:i/>
          <w:sz w:val="24"/>
        </w:rPr>
        <w:t>G.L. Mezzetta</w:t>
      </w:r>
      <w:r>
        <w:rPr>
          <w:rFonts w:ascii="Times New Roman" w:hAnsi="Times New Roman" w:cs="Times New Roman" w:eastAsia="Times New Roman"/>
          <w:sz w:val="24"/>
        </w:rPr>
        <w:t>, 78 Cal.App.4th at pp. 1092-1093 [same].)  The rationale is straightforward:  the statutory contracting requirements exist to protect the public fisc, and permitting quantum-meruit recovery around those requirements would nullify an important statutory policy adopted for the benefit of the public.  (</w:t>
      </w:r>
      <w:r>
        <w:rPr>
          <w:rFonts w:ascii="Times New Roman" w:hAnsi="Times New Roman" w:cs="Times New Roman" w:eastAsia="Times New Roman"/>
          <w:i/>
          <w:sz w:val="24"/>
        </w:rPr>
        <w:t>Lentz</w:t>
      </w:r>
      <w:r>
        <w:rPr>
          <w:rFonts w:ascii="Times New Roman" w:hAnsi="Times New Roman" w:cs="Times New Roman" w:eastAsia="Times New Roman"/>
          <w:sz w:val="24"/>
        </w:rPr>
        <w:t>, 49 Cal.3d at pp. 399-400.)</w:t>
      </w:r>
    </w:p>
    <w:p>
      <w:pPr>
        <w:spacing w:line="480" w:lineRule="exact" w:before="0" w:after="0"/>
        <w:ind w:firstLine="720"/>
      </w:pPr>
      <w:r>
        <w:rPr>
          <w:rFonts w:ascii="Times New Roman" w:hAnsi="Times New Roman" w:cs="Times New Roman" w:eastAsia="Times New Roman"/>
          <w:sz w:val="24"/>
        </w:rPr>
        <w:t xml:space="preserve">Plaintiff cannot escape the rule by recharacterizing its claim as “unjust enrichment” rather than “quantum meruit”.  California courts have applied the </w:t>
      </w:r>
      <w:r>
        <w:rPr>
          <w:rFonts w:ascii="Times New Roman" w:hAnsi="Times New Roman" w:cs="Times New Roman" w:eastAsia="Times New Roman"/>
          <w:i/>
          <w:sz w:val="24"/>
        </w:rPr>
        <w:t>Reams/Miller</w:t>
      </w:r>
      <w:r>
        <w:rPr>
          <w:rFonts w:ascii="Times New Roman" w:hAnsi="Times New Roman" w:cs="Times New Roman" w:eastAsia="Times New Roman"/>
          <w:sz w:val="24"/>
        </w:rPr>
        <w:t xml:space="preserve"> bar without regard to the quasi-contractual label the plaintiff chooses.  (</w:t>
      </w:r>
      <w:r>
        <w:rPr>
          <w:rFonts w:ascii="Times New Roman" w:hAnsi="Times New Roman" w:cs="Times New Roman" w:eastAsia="Times New Roman"/>
          <w:i/>
          <w:sz w:val="24"/>
        </w:rPr>
        <w:t>Katsura</w:t>
      </w:r>
      <w:r>
        <w:rPr>
          <w:rFonts w:ascii="Times New Roman" w:hAnsi="Times New Roman" w:cs="Times New Roman" w:eastAsia="Times New Roman"/>
          <w:sz w:val="24"/>
        </w:rPr>
        <w:t>, 155 Cal.App.4th at p. 109.)  Nor can Plaintiff rely on Government Code section 53060, which authorizes certain special-services contracts:  that section does not dispense with the board-approval and written-change-order requirements of the Education and Public Contract Codes.  (Gov. Code, § 53060.)  And public-entity tort liability, which also requires a statutory basis, provides no refuge either.  (Gov. Code, § 815, subd. (a).)</w:t>
      </w:r>
    </w:p>
    <w:p>
      <w:pPr>
        <w:spacing w:line="480" w:lineRule="exact" w:before="0" w:after="0"/>
        <w:ind w:firstLine="720"/>
      </w:pPr>
      <w:r>
        <w:rPr>
          <w:rFonts w:ascii="Times New Roman" w:hAnsi="Times New Roman" w:cs="Times New Roman" w:eastAsia="Times New Roman"/>
          <w:sz w:val="24"/>
        </w:rPr>
        <w:t>Finally, statutory retention-substitution and kindred public-works protections — which exist, in part, to ensure that contractors are paid promptly for properly-authorized work — do not create a backdoor route to payment for unauthorized work.  (See Pub. Cont. Code, § 22300, et seq.)  Those protections operate within the universe of authorized public contracts; they do not expand that universe.</w:t>
      </w:r>
    </w:p>
    <w:p>
      <w:pPr>
        <w:spacing w:line="480" w:lineRule="exact" w:before="0" w:after="0"/>
        <w:ind w:firstLine="720"/>
      </w:pPr>
      <w:r>
        <w:rPr>
          <w:rFonts w:ascii="Times New Roman" w:hAnsi="Times New Roman" w:cs="Times New Roman" w:eastAsia="Times New Roman"/>
          <w:sz w:val="24"/>
        </w:rPr>
        <w:t>Because the unjust-enrichment claim is foreclosed as a matter of law on the face of the Complaint, and because no amendment can transform verbally-directed work into a validly-authorized public contract, the demurrer to the third cause of action should be sustained without leave to amend.  (</w:t>
      </w:r>
      <w:r>
        <w:rPr>
          <w:rFonts w:ascii="Times New Roman" w:hAnsi="Times New Roman" w:cs="Times New Roman" w:eastAsia="Times New Roman"/>
          <w:i/>
          <w:sz w:val="24"/>
        </w:rPr>
        <w:t>Schifando</w:t>
      </w:r>
      <w:r>
        <w:rPr>
          <w:rFonts w:ascii="Times New Roman" w:hAnsi="Times New Roman" w:cs="Times New Roman" w:eastAsia="Times New Roman"/>
          <w:sz w:val="24"/>
        </w:rPr>
        <w:t>, 31 Cal.4th at p. 1081.)</w:t>
      </w:r>
    </w:p>
    <w:p>
      <w:pPr>
        <w:spacing w:line="480" w:lineRule="exact" w:before="0" w:after="0"/>
      </w:pPr>
    </w:p>
    <w:p>
      <w:pPr>
        <w:spacing w:line="480" w:lineRule="exact" w:before="0" w:after="0"/>
      </w:pPr>
      <w:r>
        <w:rPr>
          <w:rFonts w:ascii="Times New Roman" w:hAnsi="Times New Roman" w:cs="Times New Roman" w:eastAsia="Times New Roman"/>
          <w:b/>
          <w:sz w:val="24"/>
        </w:rPr>
        <w:t>V.  CONCLUSION</w:t>
      </w:r>
    </w:p>
    <w:p>
      <w:pPr>
        <w:spacing w:line="480" w:lineRule="exact" w:before="0" w:after="0"/>
        <w:ind w:firstLine="720"/>
      </w:pPr>
      <w:r>
        <w:rPr>
          <w:rFonts w:ascii="Times New Roman" w:hAnsi="Times New Roman" w:cs="Times New Roman" w:eastAsia="Times New Roman"/>
          <w:sz w:val="24"/>
        </w:rPr>
        <w:t>For the foregoing reasons, the District respectfully requests that the Court sustain the District’s demurrer to the first, second, and third causes of action of the Complaint, without leave to amend, and grant such further relief as the Court deems just and proper.</w:t>
      </w:r>
    </w:p>
    <w:p>
      <w:pPr>
        <w:spacing w:line="480" w:lineRule="exact" w:before="0" w:after="0"/>
      </w:pPr>
    </w:p>
    <w:p>
      <w:pPr>
        <w:spacing w:line="480" w:lineRule="exact" w:before="0" w:after="0"/>
      </w:pPr>
      <w:r>
        <w:rPr>
          <w:rFonts w:ascii="Times New Roman" w:hAnsi="Times New Roman" w:cs="Times New Roman" w:eastAsia="Times New Roman"/>
          <w:sz w:val="24"/>
        </w:rPr>
        <w:t>Dated:  April 22, 2026</w:t>
      </w:r>
      <w:r>
        <w:rPr>
          <w:rFonts w:ascii="Times New Roman" w:hAnsi="Times New Roman" w:cs="Times New Roman" w:eastAsia="Times New Roman"/>
          <w:sz w:val="24"/>
        </w:rPr>
        <w:t xml:space="preserve">                    </w:t>
      </w:r>
      <w:r>
        <w:rPr>
          <w:rFonts w:ascii="Times New Roman" w:hAnsi="Times New Roman" w:cs="Times New Roman" w:eastAsia="Times New Roman"/>
          <w:b/>
          <w:sz w:val="24"/>
        </w:rPr>
        <w:t>LOZANO SMITH</w:t>
      </w:r>
    </w:p>
    <w:p>
      <w:pPr>
        <w:spacing w:line="480" w:lineRule="exact" w:before="0" w:after="0"/>
      </w:pP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w:t>
      </w:r>
      <w:r>
        <w:rPr>
          <w:rFonts w:ascii="Times New Roman" w:hAnsi="Times New Roman" w:cs="Times New Roman" w:eastAsia="Times New Roman"/>
          <w:b/>
          <w:sz w:val="24"/>
        </w:rPr>
        <w:t>Margaret A. Delacroix</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Margaret A. Delacroix</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Jonathan R. Pemberton</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Attorneys for Defendant</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EASTVALE JOINT UNION HIGH</w:t>
      </w:r>
    </w:p>
    <w:p>
      <w:pPr>
        <w:spacing w:line="480" w:lineRule="exact" w:before="0" w:after="0"/>
      </w:pPr>
      <w:r>
        <w:rPr>
          <w:rFonts w:ascii="Times New Roman" w:hAnsi="Times New Roman" w:cs="Times New Roman" w:eastAsia="Times New Roman"/>
          <w:sz w:val="24"/>
        </w:rPr>
        <w:t xml:space="preserve">                                            </w:t>
      </w:r>
      <w:r>
        <w:rPr>
          <w:rFonts w:ascii="Times New Roman" w:hAnsi="Times New Roman" w:cs="Times New Roman" w:eastAsia="Times New Roman"/>
          <w:sz w:val="24"/>
        </w:rPr>
        <w:t>SCHOOL DISTRICT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