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rPr>
          <w:rFonts w:ascii="Times New Roman" w:hAnsi="Times New Roman" w:cs="Times New Roman" w:eastAsia="Times New Roman"/>
          <w:sz w:val="24"/>
        </w:rPr>
        <w:t>Daniel R. Marchetti, Esq. (SBN 248917)</w:t>
      </w:r>
    </w:p>
    <w:p>
      <w:pPr>
        <w:spacing w:line="240" w:lineRule="auto" w:before="0" w:after="0"/>
        <w:jc w:val="left"/>
      </w:pPr>
      <w:r>
        <w:rPr>
          <w:rFonts w:ascii="Times New Roman" w:hAnsi="Times New Roman" w:cs="Times New Roman" w:eastAsia="Times New Roman"/>
          <w:sz w:val="24"/>
        </w:rPr>
        <w:t>dmarchetti@lozanosmith.com</w:t>
      </w:r>
    </w:p>
    <w:p>
      <w:pPr>
        <w:spacing w:line="240" w:lineRule="auto" w:before="0" w:after="0"/>
        <w:jc w:val="left"/>
      </w:pPr>
      <w:r>
        <w:rPr>
          <w:rFonts w:ascii="Times New Roman" w:hAnsi="Times New Roman" w:cs="Times New Roman" w:eastAsia="Times New Roman"/>
          <w:sz w:val="24"/>
        </w:rPr>
        <w:t>Priya S. Ramanathan, Esq. (SBN 312045)</w:t>
      </w:r>
    </w:p>
    <w:p>
      <w:pPr>
        <w:spacing w:line="240" w:lineRule="auto" w:before="0" w:after="0"/>
        <w:jc w:val="left"/>
      </w:pPr>
      <w:r>
        <w:rPr>
          <w:rFonts w:ascii="Times New Roman" w:hAnsi="Times New Roman" w:cs="Times New Roman" w:eastAsia="Times New Roman"/>
          <w:sz w:val="24"/>
        </w:rPr>
        <w:t>pramanathan@lozanosmith.com</w:t>
      </w:r>
    </w:p>
    <w:p>
      <w:pPr>
        <w:spacing w:line="240" w:lineRule="auto" w:before="0" w:after="0"/>
        <w:jc w:val="left"/>
      </w:pPr>
      <w:r>
        <w:rPr>
          <w:rFonts w:ascii="Times New Roman" w:hAnsi="Times New Roman" w:cs="Times New Roman" w:eastAsia="Times New Roman"/>
          <w:sz w:val="24"/>
        </w:rPr>
        <w:t>LOZANO SMITH</w:t>
      </w:r>
    </w:p>
    <w:p>
      <w:pPr>
        <w:spacing w:line="240" w:lineRule="auto" w:before="0" w:after="0"/>
        <w:jc w:val="left"/>
      </w:pPr>
      <w:r>
        <w:rPr>
          <w:rFonts w:ascii="Times New Roman" w:hAnsi="Times New Roman" w:cs="Times New Roman" w:eastAsia="Times New Roman"/>
          <w:sz w:val="24"/>
        </w:rPr>
        <w:t>One Capitol Mall, Suite 640</w:t>
      </w:r>
    </w:p>
    <w:p>
      <w:pPr>
        <w:spacing w:line="240" w:lineRule="auto" w:before="0" w:after="0"/>
        <w:jc w:val="left"/>
      </w:pPr>
      <w:r>
        <w:rPr>
          <w:rFonts w:ascii="Times New Roman" w:hAnsi="Times New Roman" w:cs="Times New Roman" w:eastAsia="Times New Roman"/>
          <w:sz w:val="24"/>
        </w:rPr>
        <w:t>Sacramento, CA 95814</w:t>
      </w:r>
    </w:p>
    <w:p>
      <w:pPr>
        <w:spacing w:line="240" w:lineRule="auto" w:before="0" w:after="0"/>
        <w:jc w:val="left"/>
      </w:pPr>
      <w:r>
        <w:rPr>
          <w:rFonts w:ascii="Times New Roman" w:hAnsi="Times New Roman" w:cs="Times New Roman" w:eastAsia="Times New Roman"/>
          <w:sz w:val="24"/>
        </w:rPr>
        <w:t>Telephone: (916) 443-1800</w:t>
      </w:r>
    </w:p>
    <w:p>
      <w:pPr>
        <w:spacing w:line="240" w:lineRule="auto" w:before="0" w:after="0"/>
        <w:jc w:val="left"/>
      </w:pPr>
      <w:r>
        <w:rPr>
          <w:rFonts w:ascii="Times New Roman" w:hAnsi="Times New Roman" w:cs="Times New Roman" w:eastAsia="Times New Roman"/>
          <w:sz w:val="24"/>
        </w:rPr>
        <w:t>Facsimile: (916) 443-1801</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Attorneys for Defendant</w:t>
      </w:r>
    </w:p>
    <w:p>
      <w:pPr>
        <w:spacing w:line="240" w:lineRule="auto" w:before="0" w:after="0"/>
        <w:jc w:val="left"/>
      </w:pPr>
      <w:r>
        <w:rPr>
          <w:rFonts w:ascii="Times New Roman" w:hAnsi="Times New Roman" w:cs="Times New Roman" w:eastAsia="Times New Roman"/>
          <w:sz w:val="24"/>
        </w:rPr>
        <w:t>SIERRA VISTA UNIFIED SCHOOL DISTRICT</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SUPERIOR COURT OF THE STATE OF CALIFORNIA</w:t>
      </w:r>
    </w:p>
    <w:p>
      <w:pPr>
        <w:spacing w:line="480" w:lineRule="exact" w:before="0" w:after="0"/>
        <w:jc w:val="center"/>
      </w:pPr>
      <w:r>
        <w:rPr>
          <w:rFonts w:ascii="Times New Roman" w:hAnsi="Times New Roman" w:cs="Times New Roman" w:eastAsia="Times New Roman"/>
          <w:b/>
          <w:sz w:val="24"/>
        </w:rPr>
        <w:t>COUNTY OF TULARE</w:t>
      </w:r>
    </w:p>
    <w:p>
      <w:pPr>
        <w:spacing w:line="480" w:lineRule="exact" w:before="0" w:after="0"/>
        <w:jc w:val="left"/>
      </w:pPr>
    </w:p>
    <w:tbl>
      <w:tblPr>
        <w:tblW w:type="auto" w:w="0"/>
        <w:tblLayout w:type="fixed"/>
        <w:tblLook w:firstColumn="1" w:firstRow="1" w:lastColumn="0" w:lastRow="0" w:noHBand="0" w:noVBand="1" w:val="04A0"/>
      </w:tblPr>
      <w:tblGrid>
        <w:gridCol w:w="5040"/>
        <w:gridCol w:w="5040"/>
      </w:tblGrid>
      <w:tr>
        <w:tc>
          <w:tcPr>
            <w:tcW w:type="dxa" w:w="4680"/>
          </w:tcPr>
          <w:p>
            <w:pPr>
              <w:spacing w:line="240" w:lineRule="auto" w:before="0" w:after="0"/>
              <w:jc w:val="left"/>
            </w:pPr>
            <w:r>
              <w:rPr>
                <w:rFonts w:ascii="Times New Roman" w:hAnsi="Times New Roman" w:cs="Times New Roman" w:eastAsia="Times New Roman"/>
                <w:sz w:val="24"/>
              </w:rPr>
              <w:t>Granite Peak Builders, Inc.,</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Plaintiff,</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v.</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Sierra Vista Unified School District; and DOES 1 through 25, inclusive,</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Defendants.</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_______________________________________</w:t>
            </w:r>
          </w:p>
        </w:tc>
        <w:tc>
          <w:tcPr>
            <w:tcW w:type="dxa" w:w="4680"/>
          </w:tcPr>
          <w:p>
            <w:pPr>
              <w:spacing w:line="240" w:lineRule="auto" w:before="0" w:after="0"/>
              <w:jc w:val="left"/>
            </w:pPr>
            <w:r>
              <w:rPr>
                <w:rFonts w:ascii="Times New Roman" w:hAnsi="Times New Roman" w:cs="Times New Roman" w:eastAsia="Times New Roman"/>
                <w:b/>
                <w:sz w:val="24"/>
              </w:rPr>
              <w:t>Case No. VCU 295418</w:t>
            </w:r>
          </w:p>
          <w:p>
            <w:pPr>
              <w:spacing w:line="240" w:lineRule="auto" w:before="0" w:after="0"/>
              <w:jc w:val="left"/>
            </w:pPr>
          </w:p>
          <w:p>
            <w:pPr>
              <w:spacing w:line="240" w:lineRule="auto" w:before="0" w:after="0"/>
              <w:jc w:val="left"/>
            </w:pPr>
            <w:r>
              <w:rPr>
                <w:rFonts w:ascii="Times New Roman" w:hAnsi="Times New Roman" w:cs="Times New Roman" w:eastAsia="Times New Roman"/>
                <w:b/>
                <w:sz w:val="24"/>
              </w:rPr>
              <w:t>DEMURRER TO PLAINTIFF'S COMPLAINT;</w:t>
            </w:r>
          </w:p>
          <w:p>
            <w:pPr>
              <w:spacing w:line="240" w:lineRule="auto" w:before="0" w:after="0"/>
              <w:jc w:val="left"/>
            </w:pPr>
            <w:r>
              <w:rPr>
                <w:rFonts w:ascii="Times New Roman" w:hAnsi="Times New Roman" w:cs="Times New Roman" w:eastAsia="Times New Roman"/>
                <w:b/>
                <w:sz w:val="24"/>
              </w:rPr>
              <w:t>MEMORANDUM OF POINTS AND AUTHORITIES</w:t>
            </w:r>
          </w:p>
          <w:p>
            <w:pPr>
              <w:spacing w:line="240" w:lineRule="auto" w:before="0" w:after="0"/>
              <w:jc w:val="left"/>
            </w:pPr>
            <w:r>
              <w:rPr>
                <w:rFonts w:ascii="Times New Roman" w:hAnsi="Times New Roman" w:cs="Times New Roman" w:eastAsia="Times New Roman"/>
                <w:b/>
                <w:sz w:val="24"/>
              </w:rPr>
              <w:t>IN SUPPORT THEREOF</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Date:  June 18, 2026</w:t>
            </w:r>
          </w:p>
          <w:p>
            <w:pPr>
              <w:spacing w:line="240" w:lineRule="auto" w:before="0" w:after="0"/>
              <w:jc w:val="left"/>
            </w:pPr>
            <w:r>
              <w:rPr>
                <w:rFonts w:ascii="Times New Roman" w:hAnsi="Times New Roman" w:cs="Times New Roman" w:eastAsia="Times New Roman"/>
                <w:sz w:val="24"/>
              </w:rPr>
              <w:t>Time:  8:30 a.m.</w:t>
            </w:r>
          </w:p>
          <w:p>
            <w:pPr>
              <w:spacing w:line="240" w:lineRule="auto" w:before="0" w:after="0"/>
              <w:jc w:val="left"/>
            </w:pPr>
            <w:r>
              <w:rPr>
                <w:rFonts w:ascii="Times New Roman" w:hAnsi="Times New Roman" w:cs="Times New Roman" w:eastAsia="Times New Roman"/>
                <w:sz w:val="24"/>
              </w:rPr>
              <w:t>Dept.:  Department 7</w:t>
            </w:r>
          </w:p>
          <w:p>
            <w:pPr>
              <w:spacing w:line="240" w:lineRule="auto" w:before="0" w:after="0"/>
              <w:jc w:val="left"/>
            </w:pPr>
            <w:r>
              <w:rPr>
                <w:rFonts w:ascii="Times New Roman" w:hAnsi="Times New Roman" w:cs="Times New Roman" w:eastAsia="Times New Roman"/>
                <w:sz w:val="24"/>
              </w:rPr>
              <w:t>Judge:  Hon. Marisol D. Hernandez</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Action Filed:  October 14, 2025</w:t>
            </w:r>
          </w:p>
          <w:p>
            <w:pPr>
              <w:spacing w:line="240" w:lineRule="auto" w:before="0" w:after="0"/>
              <w:jc w:val="left"/>
            </w:pPr>
            <w:r>
              <w:rPr>
                <w:rFonts w:ascii="Times New Roman" w:hAnsi="Times New Roman" w:cs="Times New Roman" w:eastAsia="Times New Roman"/>
                <w:sz w:val="24"/>
              </w:rPr>
              <w:t>Trial Date:  Not yet set</w:t>
            </w:r>
          </w:p>
        </w:tc>
      </w:tr>
    </w:tbl>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NOTICE OF DEMURRER AND DEMURRER</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TO PLAINTIFF AND ITS ATTORNEYS OF RECORD:</w:t>
      </w:r>
    </w:p>
    <w:p>
      <w:pPr>
        <w:spacing w:line="480" w:lineRule="exact" w:before="0" w:after="0"/>
        <w:ind w:firstLine="720"/>
        <w:jc w:val="both"/>
      </w:pPr>
      <w:r>
        <w:rPr>
          <w:rFonts w:ascii="Times New Roman" w:hAnsi="Times New Roman" w:cs="Times New Roman" w:eastAsia="Times New Roman"/>
          <w:sz w:val="24"/>
        </w:rPr>
        <w:t xml:space="preserve">PLEASE TAKE NOTICE that on June 18, 2026, at 8:30 a.m., or as soon thereafter as the matter may be heard in Department 7 of the above-entitled Court, located at 221 South Mooney Boulevard, Visalia, California 93291, Defendant </w:t>
      </w:r>
      <w:r>
        <w:rPr>
          <w:rFonts w:ascii="Times New Roman" w:hAnsi="Times New Roman" w:cs="Times New Roman" w:eastAsia="Times New Roman"/>
          <w:sz w:val="24"/>
        </w:rPr>
        <w:t>Sierra Vista Unified School District</w:t>
      </w:r>
      <w:r>
        <w:rPr>
          <w:rFonts w:ascii="Times New Roman" w:hAnsi="Times New Roman" w:cs="Times New Roman" w:eastAsia="Times New Roman"/>
          <w:sz w:val="24"/>
        </w:rPr>
        <w:t xml:space="preserve"> (“District”) will, and hereby does, demur to the Complaint of Plaintiff </w:t>
      </w:r>
      <w:r>
        <w:rPr>
          <w:rFonts w:ascii="Times New Roman" w:hAnsi="Times New Roman" w:cs="Times New Roman" w:eastAsia="Times New Roman"/>
          <w:sz w:val="24"/>
        </w:rPr>
        <w:t>Granite Peak Builders, Inc.</w:t>
      </w:r>
      <w:r>
        <w:rPr>
          <w:rFonts w:ascii="Times New Roman" w:hAnsi="Times New Roman" w:cs="Times New Roman" w:eastAsia="Times New Roman"/>
          <w:sz w:val="24"/>
        </w:rPr>
        <w:t xml:space="preserve"> (“Granite Peak” or “Plaintiff”) on the grounds set forth below.</w:t>
      </w:r>
    </w:p>
    <w:p>
      <w:pPr>
        <w:spacing w:line="480" w:lineRule="exact" w:before="0" w:after="0"/>
        <w:ind w:firstLine="720"/>
        <w:jc w:val="both"/>
      </w:pPr>
      <w:r>
        <w:rPr>
          <w:rFonts w:ascii="Times New Roman" w:hAnsi="Times New Roman" w:cs="Times New Roman" w:eastAsia="Times New Roman"/>
          <w:sz w:val="24"/>
        </w:rPr>
        <w:t xml:space="preserve">This Demurrer is made pursuant to Code of Civil Procedure sections 430.10 and 430.30, and is based upon this Notice, the attached Memorandum of Points and Authorities, the concurrently filed Declaration of </w:t>
      </w:r>
      <w:r>
        <w:rPr>
          <w:rFonts w:ascii="Times New Roman" w:hAnsi="Times New Roman" w:cs="Times New Roman" w:eastAsia="Times New Roman"/>
          <w:sz w:val="24"/>
        </w:rPr>
        <w:t>Daniel R. Marchetti</w:t>
      </w:r>
      <w:r>
        <w:rPr>
          <w:rFonts w:ascii="Times New Roman" w:hAnsi="Times New Roman" w:cs="Times New Roman" w:eastAsia="Times New Roman"/>
          <w:sz w:val="24"/>
        </w:rPr>
        <w:t xml:space="preserve"> regarding the parties' meet-and-confer efforts, the pleadings and records on file in this action, and such further evidence and argument as may be presented at the hearing.</w:t>
      </w:r>
    </w:p>
    <w:p>
      <w:pPr>
        <w:spacing w:line="480" w:lineRule="exact" w:before="0" w:after="0"/>
        <w:ind w:firstLine="720"/>
        <w:jc w:val="both"/>
      </w:pPr>
      <w:r>
        <w:rPr>
          <w:rFonts w:ascii="Times New Roman" w:hAnsi="Times New Roman" w:cs="Times New Roman" w:eastAsia="Times New Roman"/>
          <w:sz w:val="24"/>
        </w:rPr>
        <w:t>The District demurs to the Complaint on the following grounds:</w:t>
      </w:r>
    </w:p>
    <w:p>
      <w:pPr>
        <w:spacing w:line="480" w:lineRule="exact" w:before="0" w:after="0"/>
        <w:ind w:firstLine="720"/>
        <w:jc w:val="both"/>
      </w:pPr>
      <w:r>
        <w:rPr>
          <w:rFonts w:ascii="Times New Roman" w:hAnsi="Times New Roman" w:cs="Times New Roman" w:eastAsia="Times New Roman"/>
          <w:sz w:val="24"/>
        </w:rPr>
        <w:t>The First Cause of Action (Account Stated) fails to state facts sufficient to constitute a cause of action against the District.  (Code Civ. Proc., § 430.10, subd. (e).)</w:t>
      </w:r>
    </w:p>
    <w:p>
      <w:pPr>
        <w:spacing w:line="480" w:lineRule="exact" w:before="0" w:after="0"/>
        <w:ind w:firstLine="720"/>
        <w:jc w:val="both"/>
      </w:pPr>
      <w:r>
        <w:rPr>
          <w:rFonts w:ascii="Times New Roman" w:hAnsi="Times New Roman" w:cs="Times New Roman" w:eastAsia="Times New Roman"/>
          <w:sz w:val="24"/>
        </w:rPr>
        <w:t>The Second Cause of Action (Declaratory Relief) fails to state facts sufficient to constitute a cause of action against the District and is uncertain.  (Code Civ. Proc., § 430.10, subds. (e), (f).)</w:t>
      </w:r>
    </w:p>
    <w:p>
      <w:pPr>
        <w:spacing w:line="480" w:lineRule="exact" w:before="0" w:after="0"/>
        <w:ind w:firstLine="720"/>
        <w:jc w:val="both"/>
      </w:pPr>
      <w:r>
        <w:rPr>
          <w:rFonts w:ascii="Times New Roman" w:hAnsi="Times New Roman" w:cs="Times New Roman" w:eastAsia="Times New Roman"/>
          <w:sz w:val="24"/>
        </w:rPr>
        <w:t>The Third Cause of Action (Equitable Estoppel) fails to state facts sufficient to constitute a cause of action against the District.  (Code Civ. Proc., § 430.10, subd. (e).)</w:t>
      </w:r>
    </w:p>
    <w:p>
      <w:pPr>
        <w:spacing w:line="480" w:lineRule="exact" w:before="0" w:after="0"/>
        <w:ind w:firstLine="720"/>
        <w:jc w:val="both"/>
      </w:pPr>
      <w:r>
        <w:rPr>
          <w:rFonts w:ascii="Times New Roman" w:hAnsi="Times New Roman" w:cs="Times New Roman" w:eastAsia="Times New Roman"/>
          <w:sz w:val="24"/>
        </w:rPr>
        <w:t>This Demurrer is supported by the Memorandum of Points and Authorities set forth below.</w:t>
      </w:r>
    </w:p>
    <w:p>
      <w:pPr>
        <w:spacing w:line="480" w:lineRule="exact" w:before="0" w:after="0"/>
        <w:jc w:val="center"/>
      </w:pPr>
      <w:r>
        <w:rPr>
          <w:rFonts w:ascii="Times New Roman" w:hAnsi="Times New Roman" w:cs="Times New Roman" w:eastAsia="Times New Roman"/>
          <w:b/>
          <w:sz w:val="24"/>
        </w:rPr>
        <w:t>MEMORANDUM OF POINTS AND AUTHORITIES</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I.</w:t>
      </w:r>
    </w:p>
    <w:p>
      <w:pPr>
        <w:spacing w:line="480" w:lineRule="exact" w:before="0" w:after="0"/>
        <w:jc w:val="center"/>
      </w:pPr>
      <w:r>
        <w:rPr>
          <w:rFonts w:ascii="Times New Roman" w:hAnsi="Times New Roman" w:cs="Times New Roman" w:eastAsia="Times New Roman"/>
          <w:b/>
          <w:sz w:val="24"/>
        </w:rPr>
        <w:t>INTRODUCTION</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 xml:space="preserve">This is a construction-contract dispute arising out of a publicly bid school reroofing project.  Plaintiff </w:t>
      </w:r>
      <w:r>
        <w:rPr>
          <w:rFonts w:ascii="Times New Roman" w:hAnsi="Times New Roman" w:cs="Times New Roman" w:eastAsia="Times New Roman"/>
          <w:sz w:val="24"/>
        </w:rPr>
        <w:t>Granite Peak Builders, Inc.</w:t>
      </w:r>
      <w:r>
        <w:rPr>
          <w:rFonts w:ascii="Times New Roman" w:hAnsi="Times New Roman" w:cs="Times New Roman" w:eastAsia="Times New Roman"/>
          <w:sz w:val="24"/>
        </w:rPr>
        <w:t xml:space="preserve"> seeks to recover $187,000 in so-called “punch-list completion” and warranty-extension charges that the District's governing Board never approved, that no authorized change order ever documented, and that the contract itself never contemplated.  The Complaint frames three causes of action against the District:  account stated, declaratory relief, and equitable estoppel.  None states a viable claim.</w:t>
      </w:r>
    </w:p>
    <w:p>
      <w:pPr>
        <w:spacing w:line="480" w:lineRule="exact" w:before="0" w:after="0"/>
        <w:ind w:firstLine="720"/>
        <w:jc w:val="both"/>
      </w:pPr>
      <w:r>
        <w:rPr>
          <w:rFonts w:ascii="Times New Roman" w:hAnsi="Times New Roman" w:cs="Times New Roman" w:eastAsia="Times New Roman"/>
          <w:sz w:val="24"/>
        </w:rPr>
        <w:t>Each challenged cause of action founders on the same bedrock principle:  a public school district contracts only through the means the Legislature has prescribed, and neither an inspector's informal acknowledgment, a post-contractual “implied” warranty theory, nor the doctrine of equitable estoppel may be deployed to circumvent those requirements.  The Demurrer should be sustained without leave to amend.</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II.</w:t>
      </w:r>
    </w:p>
    <w:p>
      <w:pPr>
        <w:spacing w:line="480" w:lineRule="exact" w:before="0" w:after="0"/>
        <w:jc w:val="center"/>
      </w:pPr>
      <w:r>
        <w:rPr>
          <w:rFonts w:ascii="Times New Roman" w:hAnsi="Times New Roman" w:cs="Times New Roman" w:eastAsia="Times New Roman"/>
          <w:b/>
          <w:sz w:val="24"/>
        </w:rPr>
        <w:t>STATEMENT OF FACTS AND RELEVANT ALLEGATIONS</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On or about April 3, 2024, following a competitive public bid process conducted pursuant to Public Contract Code section 20111, the District awarded Plaintiff a contract of approximately $1,600,000 for the full tear-off and replacement of a 32,000-square-foot built-up roof system over the gymnasium at Sierra Vista High School (the “Project”).  (Compl., ¶¶ 8–9.)  The written agreement was executed by the Superintendent pursuant to a written delegation of contracting authority under Education Code section 17605, and was ratified by the District's governing Board by Resolution No. 2023–24-41 on April 23, 2024.  (Compl., ¶ 10.)</w:t>
      </w:r>
    </w:p>
    <w:p>
      <w:pPr>
        <w:spacing w:line="480" w:lineRule="exact" w:before="0" w:after="0"/>
        <w:ind w:firstLine="720"/>
        <w:jc w:val="both"/>
      </w:pPr>
      <w:r>
        <w:rPr>
          <w:rFonts w:ascii="Times New Roman" w:hAnsi="Times New Roman" w:cs="Times New Roman" w:eastAsia="Times New Roman"/>
          <w:sz w:val="24"/>
        </w:rPr>
        <w:t>The written contract contains an integration clause, a two-year workmanship warranty running from final acceptance, and a change-order article providing that “[n]o change in the Work shall be undertaken, and no additional compensation shall be due the Contractor, absent a written change order executed by the District's authorized representative prior to performance of the changed Work.”  (Compl., ¶ 12 &amp; Exh. A [Contract], § 7.3.)  The contract does not incorporate any manufacturer's material warranty, does not contain a five-year warranty term, and does not condition the District's payment obligation on future manufacturer performance.  (</w:t>
      </w:r>
      <w:r>
        <w:rPr>
          <w:rFonts w:ascii="Times New Roman" w:hAnsi="Times New Roman" w:cs="Times New Roman" w:eastAsia="Times New Roman"/>
          <w:i/>
          <w:sz w:val="24"/>
        </w:rPr>
        <w:t>Id.</w:t>
      </w:r>
      <w:r>
        <w:rPr>
          <w:rFonts w:ascii="Times New Roman" w:hAnsi="Times New Roman" w:cs="Times New Roman" w:eastAsia="Times New Roman"/>
          <w:sz w:val="24"/>
        </w:rPr>
        <w:t>, §§ 7.3, 9.1.)</w:t>
      </w:r>
    </w:p>
    <w:p>
      <w:pPr>
        <w:spacing w:line="480" w:lineRule="exact" w:before="0" w:after="0"/>
        <w:ind w:firstLine="720"/>
        <w:jc w:val="both"/>
      </w:pPr>
      <w:r>
        <w:rPr>
          <w:rFonts w:ascii="Times New Roman" w:hAnsi="Times New Roman" w:cs="Times New Roman" w:eastAsia="Times New Roman"/>
          <w:sz w:val="24"/>
        </w:rPr>
        <w:t>Plaintiff alleges that during pre-bid discussions with District personnel it “represented and was understood to have bound the District to” an additional five-year material warranty provided by the membrane manufacturer, which Plaintiff contends became an “implied term” of the written contract that followed.  (Compl., ¶¶ 17–20.)  Plaintiff further alleges that at substantial completion the District's project inspector — an outside consultant retained by the District's construction-management firm — issued a punch-list identifying thirty-seven items of incomplete or defective work, and orally stated during walk-throughs that “the punch-list items would be paid as extras.”  (Compl., ¶¶ 24–27.)  No written change order was ever issued.  (Compl., ¶ 28.)</w:t>
      </w:r>
    </w:p>
    <w:p>
      <w:pPr>
        <w:spacing w:line="480" w:lineRule="exact" w:before="0" w:after="0"/>
        <w:ind w:firstLine="720"/>
        <w:jc w:val="both"/>
      </w:pPr>
      <w:r>
        <w:rPr>
          <w:rFonts w:ascii="Times New Roman" w:hAnsi="Times New Roman" w:cs="Times New Roman" w:eastAsia="Times New Roman"/>
          <w:sz w:val="24"/>
        </w:rPr>
        <w:t>After completing its work, Plaintiff submitted a final invoice including $187,000 in additional charges characterized as “punch-list completion” and “warranty-extension” amounts.  (Compl., ¶ 30.)  Plaintiff alleges that the District's inspector “acknowledged the amounts owed in writing” by initialing a line item on the invoice and by transmitting an email stating that the “figures look correct based on my walkthrough.”  (Compl., ¶¶ 31–32.)  The District's governing Board has never approved, ratified, or authorized payment of those additional amounts.  (Compl., ¶ 34.)  The Complaint quotes the following acknowledgment from the inspector's punch-list walk-through report as the cornerstone of its account-stated claim:</w:t>
      </w:r>
    </w:p>
    <w:p>
      <w:pPr>
        <w:spacing w:line="240" w:lineRule="auto" w:before="0" w:after="240"/>
        <w:ind w:left="720" w:right="720" w:firstLine="0"/>
        <w:jc w:val="both"/>
      </w:pPr>
      <w:r>
        <w:rPr>
          <w:rFonts w:ascii="Times New Roman" w:hAnsi="Times New Roman" w:cs="Times New Roman" w:eastAsia="Times New Roman"/>
          <w:sz w:val="24"/>
        </w:rPr>
        <w:t>I have completed my walk-through of the gymnasium reroofing project and have reviewed Granite Peak Builders' final invoice dated July 18, 2025.  The figures look correct based on my walkthrough, and the punch-list items identified in my May 12, 2025 report should in my view be treated as extras and paid accordingly.  I will forward this confirmation to the District's business office.</w:t>
      </w:r>
    </w:p>
    <w:p>
      <w:pPr>
        <w:spacing w:line="480" w:lineRule="exact" w:before="0" w:after="0"/>
        <w:ind w:firstLine="0"/>
        <w:jc w:val="both"/>
      </w:pPr>
      <w:r>
        <w:rPr>
          <w:rFonts w:ascii="Times New Roman" w:hAnsi="Times New Roman" w:cs="Times New Roman" w:eastAsia="Times New Roman"/>
          <w:sz w:val="24"/>
        </w:rPr>
        <w:t>(Compl., ¶ 32.)</w:t>
      </w:r>
    </w:p>
    <w:p>
      <w:pPr>
        <w:spacing w:line="480" w:lineRule="exact" w:before="0" w:after="0"/>
        <w:ind w:firstLine="720"/>
        <w:jc w:val="both"/>
      </w:pPr>
      <w:r>
        <w:rPr>
          <w:rFonts w:ascii="Times New Roman" w:hAnsi="Times New Roman" w:cs="Times New Roman" w:eastAsia="Times New Roman"/>
          <w:sz w:val="24"/>
        </w:rPr>
        <w:t>The Complaint pleads three causes of action against the District:  (1) account stated, premised on the inspector's alleged acknowledgment; (2) declaratory relief, seeking a judicial declaration that the contract's two-year workmanship warranty implicitly incorporates an additional five-year manufacturer's material warranty; and (3) equitable estoppel, seeking to preclude the District from relying on the written change-order requirement.  (Compl., ¶¶ 40–67.)  All three causes of action are defective on the face of the pleading.</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III.</w:t>
      </w:r>
    </w:p>
    <w:p>
      <w:pPr>
        <w:spacing w:line="480" w:lineRule="exact" w:before="0" w:after="0"/>
        <w:jc w:val="center"/>
      </w:pPr>
      <w:r>
        <w:rPr>
          <w:rFonts w:ascii="Times New Roman" w:hAnsi="Times New Roman" w:cs="Times New Roman" w:eastAsia="Times New Roman"/>
          <w:b/>
          <w:sz w:val="24"/>
        </w:rPr>
        <w:t>LEGAL STANDARD ON DEMURRER</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A demurrer tests the legal sufficiency of the complaint.  On demurrer, the Court accepts as true all material factual allegations properly pleaded, together with those facts that may be implied or inferred from the express allegations.  (</w:t>
      </w:r>
      <w:r>
        <w:rPr>
          <w:rFonts w:ascii="Times New Roman" w:hAnsi="Times New Roman" w:cs="Times New Roman" w:eastAsia="Times New Roman"/>
          <w:i/>
          <w:sz w:val="24"/>
        </w:rPr>
        <w:t>Blank v. Kirwan</w:t>
      </w:r>
      <w:r>
        <w:rPr>
          <w:rFonts w:ascii="Times New Roman" w:hAnsi="Times New Roman" w:cs="Times New Roman" w:eastAsia="Times New Roman"/>
          <w:sz w:val="24"/>
        </w:rPr>
        <w:t xml:space="preserve"> (1985) 39 Cal.3d 311, 318.)  The Court does not, however, “accept contentions, deductions, or conclusions of fact or law” dressed up as allegations of ultimate fact.  (</w:t>
      </w:r>
      <w:r>
        <w:rPr>
          <w:rFonts w:ascii="Times New Roman" w:hAnsi="Times New Roman" w:cs="Times New Roman" w:eastAsia="Times New Roman"/>
          <w:i/>
          <w:sz w:val="24"/>
        </w:rPr>
        <w:t>Zelig v. County of Los Angeles</w:t>
      </w:r>
      <w:r>
        <w:rPr>
          <w:rFonts w:ascii="Times New Roman" w:hAnsi="Times New Roman" w:cs="Times New Roman" w:eastAsia="Times New Roman"/>
          <w:sz w:val="24"/>
        </w:rPr>
        <w:t xml:space="preserve"> (2002) 27 Cal.4th 1112, 1126.)  A demurrer reaches only the face of the complaint and those matters of which the Court may take judicial notice; evidentiary issues are not at play.  (</w:t>
      </w:r>
      <w:r>
        <w:rPr>
          <w:rFonts w:ascii="Times New Roman" w:hAnsi="Times New Roman" w:cs="Times New Roman" w:eastAsia="Times New Roman"/>
          <w:i/>
          <w:sz w:val="24"/>
        </w:rPr>
        <w:t>Aubry v. Tri-City Hospital Dist.</w:t>
      </w:r>
      <w:r>
        <w:rPr>
          <w:rFonts w:ascii="Times New Roman" w:hAnsi="Times New Roman" w:cs="Times New Roman" w:eastAsia="Times New Roman"/>
          <w:sz w:val="24"/>
        </w:rPr>
        <w:t xml:space="preserve"> (1992) 2 Cal.4th 962, 967.)</w:t>
      </w:r>
    </w:p>
    <w:p>
      <w:pPr>
        <w:spacing w:line="480" w:lineRule="exact" w:before="0" w:after="0"/>
        <w:ind w:firstLine="720"/>
        <w:jc w:val="both"/>
      </w:pPr>
      <w:r>
        <w:rPr>
          <w:rFonts w:ascii="Times New Roman" w:hAnsi="Times New Roman" w:cs="Times New Roman" w:eastAsia="Times New Roman"/>
          <w:sz w:val="24"/>
        </w:rPr>
        <w:t>Where a complaint fails to state a cause of action, leave to amend should be denied unless the plaintiff shows a reasonable possibility that the defect can be cured.  The burden of demonstrating amendability rests squarely on the plaintiff.  (</w:t>
      </w:r>
      <w:r>
        <w:rPr>
          <w:rFonts w:ascii="Times New Roman" w:hAnsi="Times New Roman" w:cs="Times New Roman" w:eastAsia="Times New Roman"/>
          <w:i/>
          <w:sz w:val="24"/>
        </w:rPr>
        <w:t>Schifando v. City of Los Angeles</w:t>
      </w:r>
      <w:r>
        <w:rPr>
          <w:rFonts w:ascii="Times New Roman" w:hAnsi="Times New Roman" w:cs="Times New Roman" w:eastAsia="Times New Roman"/>
          <w:sz w:val="24"/>
        </w:rPr>
        <w:t xml:space="preserve"> (2003) 31 Cal.4th 1074, 1081.)  That burden is not discharged by rote assertion; the plaintiff must identify how the pleading defect can be cured and what new facts, if any, would be added.  (</w:t>
      </w:r>
      <w:r>
        <w:rPr>
          <w:rFonts w:ascii="Times New Roman" w:hAnsi="Times New Roman" w:cs="Times New Roman" w:eastAsia="Times New Roman"/>
          <w:i/>
          <w:sz w:val="24"/>
        </w:rPr>
        <w:t>Id.</w:t>
      </w:r>
      <w:r>
        <w:rPr>
          <w:rFonts w:ascii="Times New Roman" w:hAnsi="Times New Roman" w:cs="Times New Roman" w:eastAsia="Times New Roman"/>
          <w:sz w:val="24"/>
        </w:rPr>
        <w:t xml:space="preserve"> at p. 1081.)</w:t>
      </w:r>
    </w:p>
    <w:p>
      <w:pPr>
        <w:spacing w:line="480" w:lineRule="exact" w:before="0" w:after="0"/>
        <w:ind w:firstLine="720"/>
        <w:jc w:val="both"/>
      </w:pPr>
      <w:r>
        <w:rPr>
          <w:rFonts w:ascii="Times New Roman" w:hAnsi="Times New Roman" w:cs="Times New Roman" w:eastAsia="Times New Roman"/>
          <w:sz w:val="24"/>
        </w:rPr>
        <w:t>Those standards are particularly important where, as here, the defendant is a public school district.  California law has long recognized that public entities contract only in the manner prescribed by statute, and strict compliance with those statutory requirements is a jurisdictional condition precedent to any enforceable contractual obligation.  (</w:t>
      </w:r>
      <w:r>
        <w:rPr>
          <w:rFonts w:ascii="Times New Roman" w:hAnsi="Times New Roman" w:cs="Times New Roman" w:eastAsia="Times New Roman"/>
          <w:i/>
          <w:sz w:val="24"/>
        </w:rPr>
        <w:t>G.L. Mezzetta, Inc. v. City of American Canyon</w:t>
      </w:r>
      <w:r>
        <w:rPr>
          <w:rFonts w:ascii="Times New Roman" w:hAnsi="Times New Roman" w:cs="Times New Roman" w:eastAsia="Times New Roman"/>
          <w:sz w:val="24"/>
        </w:rPr>
        <w:t xml:space="preserve"> (2000) 78 Cal.App.4th 1087, 1092; </w:t>
      </w:r>
      <w:r>
        <w:rPr>
          <w:rFonts w:ascii="Times New Roman" w:hAnsi="Times New Roman" w:cs="Times New Roman" w:eastAsia="Times New Roman"/>
          <w:i/>
          <w:sz w:val="24"/>
        </w:rPr>
        <w:t>First Street Plaza Partners v. City of Los Angeles</w:t>
      </w:r>
      <w:r>
        <w:rPr>
          <w:rFonts w:ascii="Times New Roman" w:hAnsi="Times New Roman" w:cs="Times New Roman" w:eastAsia="Times New Roman"/>
          <w:sz w:val="24"/>
        </w:rPr>
        <w:t xml:space="preserve"> (1998) 65 Cal.App.4th 650, 669.)</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IV.</w:t>
      </w:r>
    </w:p>
    <w:p>
      <w:pPr>
        <w:spacing w:line="480" w:lineRule="exact" w:before="0" w:after="0"/>
        <w:jc w:val="center"/>
      </w:pPr>
      <w:r>
        <w:rPr>
          <w:rFonts w:ascii="Times New Roman" w:hAnsi="Times New Roman" w:cs="Times New Roman" w:eastAsia="Times New Roman"/>
          <w:b/>
          <w:sz w:val="24"/>
        </w:rPr>
        <w:t>ARGUMENT</w:t>
      </w:r>
    </w:p>
    <w:p>
      <w:pPr>
        <w:spacing w:line="480" w:lineRule="exact" w:before="0" w:after="0"/>
        <w:jc w:val="left"/>
      </w:pPr>
    </w:p>
    <w:p>
      <w:pPr>
        <w:spacing w:line="480" w:lineRule="exact" w:before="0" w:after="0"/>
        <w:jc w:val="left"/>
      </w:pPr>
      <w:r>
        <w:rPr>
          <w:rFonts w:ascii="Times New Roman" w:hAnsi="Times New Roman" w:cs="Times New Roman" w:eastAsia="Times New Roman"/>
          <w:b/>
          <w:sz w:val="24"/>
        </w:rPr>
        <w:t>A.  THE FIRST CAUSE OF ACTION FOR ACCOUNT STATED FAILS BECAUSE A PROJECT INSPECTOR LACKS AUTHORITY TO ACKNOWLEDGE A DEBT ON BEHALF OF THE DISTRICT.</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An account stated requires previous transactions establishing a debtor-creditor relationship, an express or implied agreement on the amount due, and an express or implied promise by the debtor to pay.  The indispensable element is an acknowledgment of the debt by the party to be charged — here, the District.  Plaintiff's theory that a project inspector acknowledged the claimed $187,000 obligation is a legal impossibility.</w:t>
      </w:r>
    </w:p>
    <w:p>
      <w:pPr>
        <w:spacing w:line="480" w:lineRule="exact" w:before="0" w:after="0"/>
        <w:ind w:firstLine="720"/>
        <w:jc w:val="both"/>
      </w:pPr>
      <w:r>
        <w:rPr>
          <w:rFonts w:ascii="Times New Roman" w:hAnsi="Times New Roman" w:cs="Times New Roman" w:eastAsia="Times New Roman"/>
          <w:sz w:val="24"/>
        </w:rPr>
        <w:t>A California public school district contracts only as authorized by the Education Code and the Public Contract Code.  Education Code section 17604 vests contracting authority in the governing board and requires that any contract entered in advance of board approval be ratified by formal board action before it becomes valid and binding.  Education Code section 17605 permits the board to delegate contracting authority to the superintendent (or to such persons as the superintendent designates in writing), but the delegation must be in writing and must specify the nature and scope of the authority conferred.  The Legislature's evident intent is that a school district's contractual obligations be traceable to an identifiable action of the governing board or an authorized delegee acting within the scope of a written delegation.</w:t>
      </w:r>
    </w:p>
    <w:p>
      <w:pPr>
        <w:spacing w:line="480" w:lineRule="exact" w:before="0" w:after="0"/>
        <w:ind w:firstLine="720"/>
        <w:jc w:val="both"/>
      </w:pPr>
      <w:r>
        <w:rPr>
          <w:rFonts w:ascii="Times New Roman" w:hAnsi="Times New Roman" w:cs="Times New Roman" w:eastAsia="Times New Roman"/>
          <w:sz w:val="24"/>
        </w:rPr>
        <w:t>Public Contract Code section 20118.4 reinforces the same principle in the context of change orders on school-district public works contracts, requiring that changes in scope or price be reduced to writing and executed by an authorized district representative.  (Pub. Cont. Code, section 20118.4, subd. (a).)  California courts enforce those written change-order requirements with full rigor.  (</w:t>
      </w:r>
      <w:r>
        <w:rPr>
          <w:rFonts w:ascii="Times New Roman" w:hAnsi="Times New Roman" w:cs="Times New Roman" w:eastAsia="Times New Roman"/>
          <w:i/>
          <w:sz w:val="24"/>
        </w:rPr>
        <w:t>P&amp;D Consultants, Inc. v. City of Carlsbad</w:t>
      </w:r>
      <w:r>
        <w:rPr>
          <w:rFonts w:ascii="Times New Roman" w:hAnsi="Times New Roman" w:cs="Times New Roman" w:eastAsia="Times New Roman"/>
          <w:sz w:val="24"/>
        </w:rPr>
        <w:t xml:space="preserve"> (2010) 190 Cal.App.4th 1332, 1341.)</w:t>
      </w:r>
    </w:p>
    <w:p>
      <w:pPr>
        <w:spacing w:line="480" w:lineRule="exact" w:before="0" w:after="0"/>
        <w:ind w:firstLine="720"/>
        <w:jc w:val="both"/>
      </w:pPr>
      <w:r>
        <w:rPr>
          <w:rFonts w:ascii="Times New Roman" w:hAnsi="Times New Roman" w:cs="Times New Roman" w:eastAsia="Times New Roman"/>
          <w:sz w:val="24"/>
        </w:rPr>
        <w:t>The Complaint identifies the purported acknowledgor as the “District's project inspector” — an outside consultant retained by the District's construction-management firm to observe and report on the progress of the Work.  (Compl., ¶¶ 24, 31.)  Plaintiff does not allege that the inspector was a member of the District's governing Board, that he held a written delegation of contracting authority under Education Code section 17605, or that he was ever designated as the District's authorized representative for purposes of executing change orders under Public Contract Code section 20118.4.  Plaintiff's own pleading describes the inspector's role in terms categorically inconsistent with any such authority.  (Compl., ¶ 24 [“retained . . . to observe and report”].)</w:t>
      </w:r>
    </w:p>
    <w:p>
      <w:pPr>
        <w:spacing w:line="480" w:lineRule="exact" w:before="0" w:after="0"/>
        <w:ind w:firstLine="720"/>
        <w:jc w:val="both"/>
      </w:pPr>
      <w:r>
        <w:rPr>
          <w:rFonts w:ascii="Times New Roman" w:hAnsi="Times New Roman" w:cs="Times New Roman" w:eastAsia="Times New Roman"/>
          <w:sz w:val="24"/>
        </w:rPr>
        <w:t>California law is unambiguous that a contract with a public entity entered in violation of statutory requirements is void, and the doctrines of quantum meruit and account stated cannot be used to impose a payment obligation the statutes forbid.  (</w:t>
      </w:r>
      <w:r>
        <w:rPr>
          <w:rFonts w:ascii="Times New Roman" w:hAnsi="Times New Roman" w:cs="Times New Roman" w:eastAsia="Times New Roman"/>
          <w:i/>
          <w:sz w:val="24"/>
        </w:rPr>
        <w:t>Miller v. McKinnon</w:t>
      </w:r>
      <w:r>
        <w:rPr>
          <w:rFonts w:ascii="Times New Roman" w:hAnsi="Times New Roman" w:cs="Times New Roman" w:eastAsia="Times New Roman"/>
          <w:sz w:val="24"/>
        </w:rPr>
        <w:t xml:space="preserve"> (1942) 20 Cal.2d 83, 88–89; </w:t>
      </w:r>
      <w:r>
        <w:rPr>
          <w:rFonts w:ascii="Times New Roman" w:hAnsi="Times New Roman" w:cs="Times New Roman" w:eastAsia="Times New Roman"/>
          <w:i/>
          <w:sz w:val="24"/>
        </w:rPr>
        <w:t>Reams v. Cooley</w:t>
      </w:r>
      <w:r>
        <w:rPr>
          <w:rFonts w:ascii="Times New Roman" w:hAnsi="Times New Roman" w:cs="Times New Roman" w:eastAsia="Times New Roman"/>
          <w:sz w:val="24"/>
        </w:rPr>
        <w:t xml:space="preserve"> (1915) 171 Cal. 150, 154.) Contractors who deal with a public agency are charged with knowledge of the contracting statutes and bear the risk of noncompliance.  (</w:t>
      </w:r>
      <w:r>
        <w:rPr>
          <w:rFonts w:ascii="Times New Roman" w:hAnsi="Times New Roman" w:cs="Times New Roman" w:eastAsia="Times New Roman"/>
          <w:i/>
          <w:sz w:val="24"/>
        </w:rPr>
        <w:t>Katsura v. City of San Buenaventura</w:t>
      </w:r>
      <w:r>
        <w:rPr>
          <w:rFonts w:ascii="Times New Roman" w:hAnsi="Times New Roman" w:cs="Times New Roman" w:eastAsia="Times New Roman"/>
          <w:sz w:val="24"/>
        </w:rPr>
        <w:t xml:space="preserve"> (2007) 155 Cal.App.4th 104, 109.)</w:t>
      </w:r>
    </w:p>
    <w:p>
      <w:pPr>
        <w:spacing w:line="480" w:lineRule="exact" w:before="0" w:after="0"/>
        <w:ind w:firstLine="720"/>
        <w:jc w:val="both"/>
      </w:pPr>
      <w:r>
        <w:rPr>
          <w:rFonts w:ascii="Times New Roman" w:hAnsi="Times New Roman" w:cs="Times New Roman" w:eastAsia="Times New Roman"/>
          <w:sz w:val="24"/>
        </w:rPr>
        <w:t>Those principles are dispositive.  If the governing Board never approved the claimed $187,000 obligation, and if no authorized representative ever executed a written change order documenting the claimed scope additions, then the District is not bound to pay those amounts — regardless of what a project inspector wrote on an invoice line or said during a walk-through.  An account stated cannot create a debt the underlying law prohibits.  (</w:t>
      </w:r>
      <w:r>
        <w:rPr>
          <w:rFonts w:ascii="Times New Roman" w:hAnsi="Times New Roman" w:cs="Times New Roman" w:eastAsia="Times New Roman"/>
          <w:i/>
          <w:sz w:val="24"/>
        </w:rPr>
        <w:t>G.L. Mezzetta, Inc.</w:t>
      </w:r>
      <w:r>
        <w:rPr>
          <w:rFonts w:ascii="Times New Roman" w:hAnsi="Times New Roman" w:cs="Times New Roman" w:eastAsia="Times New Roman"/>
          <w:sz w:val="24"/>
        </w:rPr>
        <w:t xml:space="preserve">, 78 Cal.App.4th at p. 1092; </w:t>
      </w:r>
      <w:r>
        <w:rPr>
          <w:rFonts w:ascii="Times New Roman" w:hAnsi="Times New Roman" w:cs="Times New Roman" w:eastAsia="Times New Roman"/>
          <w:i/>
          <w:sz w:val="24"/>
        </w:rPr>
        <w:t>First Street Plaza Partners</w:t>
      </w:r>
      <w:r>
        <w:rPr>
          <w:rFonts w:ascii="Times New Roman" w:hAnsi="Times New Roman" w:cs="Times New Roman" w:eastAsia="Times New Roman"/>
          <w:sz w:val="24"/>
        </w:rPr>
        <w:t xml:space="preserve">, 65 Cal.App.4th at p. 669.)  To hold otherwise would allow the account-stated doctrine to become an end run around Education Code sections 17604 and 17605 and Public Contract Code section 20118.4 </w:t>
      </w:r>
      <w:r>
        <w:rPr>
          <w:rFonts w:ascii="Times New Roman" w:hAnsi="Times New Roman" w:cs="Times New Roman" w:eastAsia="Times New Roman"/>
          <w:sz w:val="24"/>
        </w:rPr>
        <w:t>et seq.</w:t>
      </w:r>
      <w:r>
        <w:rPr>
          <w:rFonts w:ascii="Times New Roman" w:hAnsi="Times New Roman" w:cs="Times New Roman" w:eastAsia="Times New Roman"/>
          <w:sz w:val="24"/>
        </w:rPr>
        <w:t xml:space="preserve">  The statutes foreclose that route.</w:t>
      </w:r>
    </w:p>
    <w:p>
      <w:pPr>
        <w:spacing w:line="480" w:lineRule="exact" w:before="0" w:after="0"/>
        <w:ind w:firstLine="720"/>
        <w:jc w:val="both"/>
      </w:pPr>
      <w:r>
        <w:rPr>
          <w:rFonts w:ascii="Times New Roman" w:hAnsi="Times New Roman" w:cs="Times New Roman" w:eastAsia="Times New Roman"/>
          <w:sz w:val="24"/>
        </w:rPr>
        <w:t xml:space="preserve">The Supreme Court's decision in </w:t>
      </w:r>
      <w:r>
        <w:rPr>
          <w:rFonts w:ascii="Times New Roman" w:hAnsi="Times New Roman" w:cs="Times New Roman" w:eastAsia="Times New Roman"/>
          <w:i/>
          <w:sz w:val="24"/>
        </w:rPr>
        <w:t>Amelco Electric v. City of Thousand Oaks</w:t>
      </w:r>
      <w:r>
        <w:rPr>
          <w:rFonts w:ascii="Times New Roman" w:hAnsi="Times New Roman" w:cs="Times New Roman" w:eastAsia="Times New Roman"/>
          <w:sz w:val="24"/>
        </w:rPr>
        <w:t xml:space="preserve"> (2002) 27 Cal.4th 228, 234, 242–243 confirms the broader rule:  where a contractor seeks to recover amounts beyond the contract sum in circumstances the contract and governing statutes do not authorize, the claim fails as a matter of law.  The First Cause of Action should therefore be sustained without leave to amend; Plaintiff cannot cure the defect by alleging additional inspector statements, because the problem is structural rather than evidentiary.  (</w:t>
      </w:r>
      <w:r>
        <w:rPr>
          <w:rFonts w:ascii="Times New Roman" w:hAnsi="Times New Roman" w:cs="Times New Roman" w:eastAsia="Times New Roman"/>
          <w:i/>
          <w:sz w:val="24"/>
        </w:rPr>
        <w:t>Schifando</w:t>
      </w:r>
      <w:r>
        <w:rPr>
          <w:rFonts w:ascii="Times New Roman" w:hAnsi="Times New Roman" w:cs="Times New Roman" w:eastAsia="Times New Roman"/>
          <w:sz w:val="24"/>
        </w:rPr>
        <w:t>, 31 Cal.4th at p. 1081.)</w:t>
      </w:r>
    </w:p>
    <w:p>
      <w:pPr>
        <w:spacing w:line="480" w:lineRule="exact" w:before="0" w:after="0"/>
        <w:jc w:val="left"/>
      </w:pPr>
    </w:p>
    <w:p>
      <w:pPr>
        <w:spacing w:line="480" w:lineRule="exact" w:before="0" w:after="0"/>
        <w:jc w:val="left"/>
      </w:pPr>
      <w:r>
        <w:rPr>
          <w:rFonts w:ascii="Times New Roman" w:hAnsi="Times New Roman" w:cs="Times New Roman" w:eastAsia="Times New Roman"/>
          <w:b/>
          <w:sz w:val="24"/>
        </w:rPr>
        <w:t>B.  THE SECOND CAUSE OF ACTION FOR DECLARATORY RELIEF FAILS BECAUSE THE IMPLIED COVENANT CANNOT REWRITE THE EXPRESS TERMS OF THE PARTIES' WRITTEN CONTRACT.</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The second cause of action seeks a judicial declaration that the contract's two-year workmanship warranty “implicitly incorporates” a five-year manufacturer's material warranty that Plaintiff allegedly bound the District to accept during pre-bid discussions.  (Compl., ¶¶ 50–55.)  The claim invites the Court to rewrite the parties' written contract through the back door of an implied-covenant theory; California law does not permit that.</w:t>
      </w:r>
    </w:p>
    <w:p>
      <w:pPr>
        <w:spacing w:line="480" w:lineRule="exact" w:before="0" w:after="0"/>
        <w:ind w:firstLine="720"/>
        <w:jc w:val="both"/>
      </w:pPr>
      <w:r>
        <w:rPr>
          <w:rFonts w:ascii="Times New Roman" w:hAnsi="Times New Roman" w:cs="Times New Roman" w:eastAsia="Times New Roman"/>
          <w:sz w:val="24"/>
        </w:rPr>
        <w:t>The essential elements of a contract — parties capable of contracting, mutual consent, a lawful object, and sufficient cause or consideration — are prescribed by Civil Code section 1550, and the requirement of mutual consent is further defined in Civil Code section 1565.  Where the parties have reduced their agreement to a fully integrated writing, California law treats the writing as the complete and exclusive statement of their terms and declines to look behind it to pre-contractual discussions absent grounds recognized by the parol evidence rule.</w:t>
      </w:r>
    </w:p>
    <w:p>
      <w:pPr>
        <w:spacing w:line="480" w:lineRule="exact" w:before="0" w:after="0"/>
        <w:ind w:firstLine="720"/>
        <w:jc w:val="both"/>
      </w:pPr>
      <w:r>
        <w:rPr>
          <w:rFonts w:ascii="Times New Roman" w:hAnsi="Times New Roman" w:cs="Times New Roman" w:eastAsia="Times New Roman"/>
          <w:sz w:val="24"/>
        </w:rPr>
        <w:t>The covenant of good faith and fair dealing — on which Plaintiff's theory ultimately depends — does not provide an escape valve.  The implied covenant cannot be endowed with an existence independent of its contractual underpinnings and cannot impose substantive duties or limits on the contracting parties beyond those incorporated in the specific terms of their agreement.  (</w:t>
      </w:r>
      <w:r>
        <w:rPr>
          <w:rFonts w:ascii="Times New Roman" w:hAnsi="Times New Roman" w:cs="Times New Roman" w:eastAsia="Times New Roman"/>
          <w:i/>
          <w:sz w:val="24"/>
        </w:rPr>
        <w:t>Carma Developers (Cal.), Inc. v. Marathon Development California, Inc.</w:t>
      </w:r>
      <w:r>
        <w:rPr>
          <w:rFonts w:ascii="Times New Roman" w:hAnsi="Times New Roman" w:cs="Times New Roman" w:eastAsia="Times New Roman"/>
          <w:sz w:val="24"/>
        </w:rPr>
        <w:t xml:space="preserve"> (1992) 2 Cal.4th 342, 374.)  The Supreme Court has since reiterated that the implied covenant is limited to assuring compliance with the express terms of the contract and cannot be extended to create substantive terms inconsistent with the written agreement.  (</w:t>
      </w:r>
      <w:r>
        <w:rPr>
          <w:rFonts w:ascii="Times New Roman" w:hAnsi="Times New Roman" w:cs="Times New Roman" w:eastAsia="Times New Roman"/>
          <w:i/>
          <w:sz w:val="24"/>
        </w:rPr>
        <w:t>Guz v. Bechtel National, Inc.</w:t>
      </w:r>
      <w:r>
        <w:rPr>
          <w:rFonts w:ascii="Times New Roman" w:hAnsi="Times New Roman" w:cs="Times New Roman" w:eastAsia="Times New Roman"/>
          <w:sz w:val="24"/>
        </w:rPr>
        <w:t xml:space="preserve"> (2000) 24 Cal.4th 317, 349–350.)</w:t>
      </w:r>
    </w:p>
    <w:p>
      <w:pPr>
        <w:spacing w:line="480" w:lineRule="exact" w:before="0" w:after="0"/>
        <w:ind w:firstLine="720"/>
        <w:jc w:val="both"/>
      </w:pPr>
      <w:r>
        <w:rPr>
          <w:rFonts w:ascii="Times New Roman" w:hAnsi="Times New Roman" w:cs="Times New Roman" w:eastAsia="Times New Roman"/>
          <w:sz w:val="24"/>
        </w:rPr>
        <w:t>Plaintiff's theory runs headlong into those authorities.  The written contract provides a two-year workmanship warranty — not seven years, not five years plus two, not any period derived from extrinsic manufacturer documentation.  (Compl., Exh. A [Contract], § 9.1.)  The contract does not incorporate the manufacturer's warranty by reference, and Plaintiff does not allege that it does.  To hold that the two-year warranty “implicitly incorporates” a separate five-year warranty would not give effect to the contract's terms; it would replace them.  (</w:t>
      </w:r>
      <w:r>
        <w:rPr>
          <w:rFonts w:ascii="Times New Roman" w:hAnsi="Times New Roman" w:cs="Times New Roman" w:eastAsia="Times New Roman"/>
          <w:i/>
          <w:sz w:val="24"/>
        </w:rPr>
        <w:t>Carma</w:t>
      </w:r>
      <w:r>
        <w:rPr>
          <w:rFonts w:ascii="Times New Roman" w:hAnsi="Times New Roman" w:cs="Times New Roman" w:eastAsia="Times New Roman"/>
          <w:sz w:val="24"/>
        </w:rPr>
        <w:t xml:space="preserve">, 2 Cal.4th at p. 374; </w:t>
      </w:r>
      <w:r>
        <w:rPr>
          <w:rFonts w:ascii="Times New Roman" w:hAnsi="Times New Roman" w:cs="Times New Roman" w:eastAsia="Times New Roman"/>
          <w:i/>
          <w:sz w:val="24"/>
        </w:rPr>
        <w:t>Guz</w:t>
      </w:r>
      <w:r>
        <w:rPr>
          <w:rFonts w:ascii="Times New Roman" w:hAnsi="Times New Roman" w:cs="Times New Roman" w:eastAsia="Times New Roman"/>
          <w:sz w:val="24"/>
        </w:rPr>
        <w:t>, 24 Cal.4th at p. 349.)</w:t>
      </w:r>
    </w:p>
    <w:p>
      <w:pPr>
        <w:spacing w:line="480" w:lineRule="exact" w:before="0" w:after="0"/>
        <w:ind w:firstLine="720"/>
        <w:jc w:val="both"/>
      </w:pPr>
      <w:r>
        <w:rPr>
          <w:rFonts w:ascii="Times New Roman" w:hAnsi="Times New Roman" w:cs="Times New Roman" w:eastAsia="Times New Roman"/>
          <w:sz w:val="24"/>
        </w:rPr>
        <w:t>The public-entity dimension of this case deepens the problem.  Plaintiff's theory is not merely that the parties' course of dealing added a warranty term; it is that Plaintiff's pre-bid representations to District personnel became binding on the District notwithstanding the integrated writing.  As applied to a public school district, that theory collides with the contracting statutes:  the District may bind itself to a warranty obligation only through the means prescribed by Education Code sections 17604 and 17605. Pre-bid representations by prospective bidders to district staff are not among those means.  (</w:t>
      </w:r>
      <w:r>
        <w:rPr>
          <w:rFonts w:ascii="Times New Roman" w:hAnsi="Times New Roman" w:cs="Times New Roman" w:eastAsia="Times New Roman"/>
          <w:i/>
          <w:sz w:val="24"/>
        </w:rPr>
        <w:t>First Street Plaza Partners</w:t>
      </w:r>
      <w:r>
        <w:rPr>
          <w:rFonts w:ascii="Times New Roman" w:hAnsi="Times New Roman" w:cs="Times New Roman" w:eastAsia="Times New Roman"/>
          <w:sz w:val="24"/>
        </w:rPr>
        <w:t xml:space="preserve">, 65 Cal.App.4th at p. 669; </w:t>
      </w:r>
      <w:r>
        <w:rPr>
          <w:rFonts w:ascii="Times New Roman" w:hAnsi="Times New Roman" w:cs="Times New Roman" w:eastAsia="Times New Roman"/>
          <w:i/>
          <w:sz w:val="24"/>
        </w:rPr>
        <w:t>G.L. Mezzetta, Inc.</w:t>
      </w:r>
      <w:r>
        <w:rPr>
          <w:rFonts w:ascii="Times New Roman" w:hAnsi="Times New Roman" w:cs="Times New Roman" w:eastAsia="Times New Roman"/>
          <w:sz w:val="24"/>
        </w:rPr>
        <w:t>, 78 Cal.App.4th at p. 1092.)</w:t>
      </w:r>
    </w:p>
    <w:p>
      <w:pPr>
        <w:spacing w:line="480" w:lineRule="exact" w:before="0" w:after="0"/>
        <w:ind w:firstLine="720"/>
        <w:jc w:val="both"/>
      </w:pPr>
      <w:r>
        <w:rPr>
          <w:rFonts w:ascii="Times New Roman" w:hAnsi="Times New Roman" w:cs="Times New Roman" w:eastAsia="Times New Roman"/>
          <w:sz w:val="24"/>
        </w:rPr>
        <w:t>Nor does Government Code section 53060 — the provision generally authorizing public agencies to contract for special services — assist Plaintiff; that section does not displace the specific statutory framework governing school-district construction contracts and does not authorize the agency to be bound by unwritten representations exchanged before a formal contract is executed.  (Gov. Code, § 53060.)  The claim is also uncertain, because Plaintiff does not identify the manufacturer whose warranty is allegedly incorporated, does not attach or quote the text of that warranty, and does not specify which “seam failures” fall within its scope.  A declaratory-relief cause of action that asks the Court to decree the terms of a warranty neither identified nor pleaded is uncertain within the meaning of Code of Civil Procedure section 430.10, subdivision (f).  The Second Cause of Action should be sustained without leave to amend.</w:t>
      </w:r>
    </w:p>
    <w:p>
      <w:pPr>
        <w:spacing w:line="480" w:lineRule="exact" w:before="0" w:after="0"/>
        <w:jc w:val="left"/>
      </w:pPr>
    </w:p>
    <w:p>
      <w:pPr>
        <w:spacing w:line="480" w:lineRule="exact" w:before="0" w:after="0"/>
        <w:jc w:val="left"/>
      </w:pPr>
      <w:r>
        <w:rPr>
          <w:rFonts w:ascii="Times New Roman" w:hAnsi="Times New Roman" w:cs="Times New Roman" w:eastAsia="Times New Roman"/>
          <w:b/>
          <w:sz w:val="24"/>
        </w:rPr>
        <w:t>C.  THE THIRD CAUSE OF ACTION FOR EQUITABLE ESTOPPEL FAILS BECAUSE ESTOPPEL MAY NOT BE USED TO DEFEAT THE STATUTORY BIDDING AND CHANGE-ORDER FRAMEWORK.</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Plaintiff's third cause of action seeks to preclude the District from invoking the written change-order requirement and the bidding and contracting framework, based on the inspector's alleged oral statements that “the punch-list items would be paid as extras.”  (Compl., ¶¶ 60–67.)  Equitable estoppel against a public entity is available, if at all, only in the rarest of circumstances, and it is categorically unavailable where, as here, it would nullify a statutory policy adopted for the protection of the public.</w:t>
      </w:r>
    </w:p>
    <w:p>
      <w:pPr>
        <w:spacing w:line="480" w:lineRule="exact" w:before="0" w:after="0"/>
        <w:ind w:firstLine="720"/>
        <w:jc w:val="both"/>
      </w:pPr>
      <w:r>
        <w:rPr>
          <w:rFonts w:ascii="Times New Roman" w:hAnsi="Times New Roman" w:cs="Times New Roman" w:eastAsia="Times New Roman"/>
          <w:sz w:val="24"/>
        </w:rPr>
        <w:t xml:space="preserve">The governing decision is </w:t>
      </w:r>
      <w:r>
        <w:rPr>
          <w:rFonts w:ascii="Times New Roman" w:hAnsi="Times New Roman" w:cs="Times New Roman" w:eastAsia="Times New Roman"/>
          <w:i/>
          <w:sz w:val="24"/>
        </w:rPr>
        <w:t>City of Long Beach v. Mansell</w:t>
      </w:r>
      <w:r>
        <w:rPr>
          <w:rFonts w:ascii="Times New Roman" w:hAnsi="Times New Roman" w:cs="Times New Roman" w:eastAsia="Times New Roman"/>
          <w:sz w:val="24"/>
        </w:rPr>
        <w:t xml:space="preserve"> (1970) 3 Cal.3d 462, 493, 496–497, in which the Supreme Court recognized that equitable estoppel may, in unusual circumstances, be invoked against a governmental body, but held that estoppel cannot be applied where its effect would be to nullify a strong rule of policy adopted for the benefit of the public.  That two-part framework has governed California public-entity estoppel cases for more than a half century.</w:t>
      </w:r>
    </w:p>
    <w:p>
      <w:pPr>
        <w:spacing w:line="480" w:lineRule="exact" w:before="0" w:after="0"/>
        <w:ind w:firstLine="720"/>
        <w:jc w:val="both"/>
      </w:pPr>
      <w:r>
        <w:rPr>
          <w:rFonts w:ascii="Times New Roman" w:hAnsi="Times New Roman" w:cs="Times New Roman" w:eastAsia="Times New Roman"/>
          <w:sz w:val="24"/>
        </w:rPr>
        <w:t xml:space="preserve">The Supreme Court reaffirmed that rule in </w:t>
      </w:r>
      <w:r>
        <w:rPr>
          <w:rFonts w:ascii="Times New Roman" w:hAnsi="Times New Roman" w:cs="Times New Roman" w:eastAsia="Times New Roman"/>
          <w:i/>
          <w:sz w:val="24"/>
        </w:rPr>
        <w:t>Lentz v. McMahon</w:t>
      </w:r>
      <w:r>
        <w:rPr>
          <w:rFonts w:ascii="Times New Roman" w:hAnsi="Times New Roman" w:cs="Times New Roman" w:eastAsia="Times New Roman"/>
          <w:sz w:val="24"/>
        </w:rPr>
        <w:t xml:space="preserve"> (1989) 49 Cal.3d 393, 399, holding that estoppel may not be invoked against a public entity where doing so would nullify a strong rule of policy adopted for the benefit of the public.  And in </w:t>
      </w:r>
      <w:r>
        <w:rPr>
          <w:rFonts w:ascii="Times New Roman" w:hAnsi="Times New Roman" w:cs="Times New Roman" w:eastAsia="Times New Roman"/>
          <w:i/>
          <w:sz w:val="24"/>
        </w:rPr>
        <w:t>Janis v. California State Lottery Com.</w:t>
      </w:r>
      <w:r>
        <w:rPr>
          <w:rFonts w:ascii="Times New Roman" w:hAnsi="Times New Roman" w:cs="Times New Roman" w:eastAsia="Times New Roman"/>
          <w:sz w:val="24"/>
        </w:rPr>
        <w:t xml:space="preserve"> (1998) 68 Cal.App.4th 824, 829–830, the Court of Appeal reiterated that estoppel against a public entity is rare and limited, reserved for the exceptional case in which its application would not compromise an overriding statutory objective.</w:t>
      </w:r>
    </w:p>
    <w:p>
      <w:pPr>
        <w:spacing w:line="480" w:lineRule="exact" w:before="0" w:after="0"/>
        <w:ind w:firstLine="720"/>
        <w:jc w:val="both"/>
      </w:pPr>
      <w:r>
        <w:rPr>
          <w:rFonts w:ascii="Times New Roman" w:hAnsi="Times New Roman" w:cs="Times New Roman" w:eastAsia="Times New Roman"/>
          <w:sz w:val="24"/>
        </w:rPr>
        <w:t xml:space="preserve">The statutory scheme here embodies precisely the kind of strong public policy the </w:t>
      </w:r>
      <w:r>
        <w:rPr>
          <w:rFonts w:ascii="Times New Roman" w:hAnsi="Times New Roman" w:cs="Times New Roman" w:eastAsia="Times New Roman"/>
          <w:i/>
          <w:sz w:val="24"/>
        </w:rPr>
        <w:t>Mansell</w:t>
      </w:r>
      <w:r>
        <w:rPr>
          <w:rFonts w:ascii="Times New Roman" w:hAnsi="Times New Roman" w:cs="Times New Roman" w:eastAsia="Times New Roman"/>
          <w:sz w:val="24"/>
        </w:rPr>
        <w:t xml:space="preserve"> line of cases protects.  The public-bidding statutes ensure that school-district funds are expended through an open and competitive process, not through private arrangements with favored contractors.  (Pub. Cont. Code, § 20111.)  The written change-order requirement of Public Contract Code section 20118.4 exists so that modifications to publicly bid contracts are documented, traceable, and subject to board review.  (Pub. Cont. Code, § 20118.4, subd. (b).)  And the delegation and ratification provisions of Education Code sections 17604 and 17605 ensure that the District's contractual commitments are made by, or on behalf of, the elected body the statutes designate as the contracting authority.</w:t>
      </w:r>
    </w:p>
    <w:p>
      <w:pPr>
        <w:spacing w:line="480" w:lineRule="exact" w:before="0" w:after="0"/>
        <w:ind w:firstLine="720"/>
        <w:jc w:val="both"/>
      </w:pPr>
      <w:r>
        <w:rPr>
          <w:rFonts w:ascii="Times New Roman" w:hAnsi="Times New Roman" w:cs="Times New Roman" w:eastAsia="Times New Roman"/>
          <w:sz w:val="24"/>
        </w:rPr>
        <w:t xml:space="preserve">Applying estoppel to bar the District from invoking those requirements would disable every one of them.  If an inspector's oral statement can preclude a school district from insisting on a written change order, the change-order statute becomes a dead letter; if pre-bid representations can bind the district despite the absence of board action, the Education Code's delegation and ratification provisions fail in their purpose.  That is exactly the outcome </w:t>
      </w:r>
      <w:r>
        <w:rPr>
          <w:rFonts w:ascii="Times New Roman" w:hAnsi="Times New Roman" w:cs="Times New Roman" w:eastAsia="Times New Roman"/>
          <w:i/>
          <w:sz w:val="24"/>
        </w:rPr>
        <w:t>Mansell</w:t>
      </w:r>
      <w:r>
        <w:rPr>
          <w:rFonts w:ascii="Times New Roman" w:hAnsi="Times New Roman" w:cs="Times New Roman" w:eastAsia="Times New Roman"/>
          <w:sz w:val="24"/>
        </w:rPr>
        <w:t xml:space="preserve">, </w:t>
      </w:r>
      <w:r>
        <w:rPr>
          <w:rFonts w:ascii="Times New Roman" w:hAnsi="Times New Roman" w:cs="Times New Roman" w:eastAsia="Times New Roman"/>
          <w:i/>
          <w:sz w:val="24"/>
        </w:rPr>
        <w:t>Lentz</w:t>
      </w:r>
      <w:r>
        <w:rPr>
          <w:rFonts w:ascii="Times New Roman" w:hAnsi="Times New Roman" w:cs="Times New Roman" w:eastAsia="Times New Roman"/>
          <w:sz w:val="24"/>
        </w:rPr>
        <w:t xml:space="preserve">, and </w:t>
      </w:r>
      <w:r>
        <w:rPr>
          <w:rFonts w:ascii="Times New Roman" w:hAnsi="Times New Roman" w:cs="Times New Roman" w:eastAsia="Times New Roman"/>
          <w:i/>
          <w:sz w:val="24"/>
        </w:rPr>
        <w:t>Janis</w:t>
      </w:r>
      <w:r>
        <w:rPr>
          <w:rFonts w:ascii="Times New Roman" w:hAnsi="Times New Roman" w:cs="Times New Roman" w:eastAsia="Times New Roman"/>
          <w:sz w:val="24"/>
        </w:rPr>
        <w:t xml:space="preserve"> foreclose.  (</w:t>
      </w:r>
      <w:r>
        <w:rPr>
          <w:rFonts w:ascii="Times New Roman" w:hAnsi="Times New Roman" w:cs="Times New Roman" w:eastAsia="Times New Roman"/>
          <w:i/>
          <w:sz w:val="24"/>
        </w:rPr>
        <w:t>Mansell</w:t>
      </w:r>
      <w:r>
        <w:rPr>
          <w:rFonts w:ascii="Times New Roman" w:hAnsi="Times New Roman" w:cs="Times New Roman" w:eastAsia="Times New Roman"/>
          <w:sz w:val="24"/>
        </w:rPr>
        <w:t xml:space="preserve">, 3 Cal.3d at p. 496; </w:t>
      </w:r>
      <w:r>
        <w:rPr>
          <w:rFonts w:ascii="Times New Roman" w:hAnsi="Times New Roman" w:cs="Times New Roman" w:eastAsia="Times New Roman"/>
          <w:i/>
          <w:sz w:val="24"/>
        </w:rPr>
        <w:t>Lentz</w:t>
      </w:r>
      <w:r>
        <w:rPr>
          <w:rFonts w:ascii="Times New Roman" w:hAnsi="Times New Roman" w:cs="Times New Roman" w:eastAsia="Times New Roman"/>
          <w:sz w:val="24"/>
        </w:rPr>
        <w:t xml:space="preserve">, 49 Cal.3d at p. 399; </w:t>
      </w:r>
      <w:r>
        <w:rPr>
          <w:rFonts w:ascii="Times New Roman" w:hAnsi="Times New Roman" w:cs="Times New Roman" w:eastAsia="Times New Roman"/>
          <w:i/>
          <w:sz w:val="24"/>
        </w:rPr>
        <w:t>Janis</w:t>
      </w:r>
      <w:r>
        <w:rPr>
          <w:rFonts w:ascii="Times New Roman" w:hAnsi="Times New Roman" w:cs="Times New Roman" w:eastAsia="Times New Roman"/>
          <w:sz w:val="24"/>
        </w:rPr>
        <w:t>, 68 Cal.App.4th at p. 830.)</w:t>
      </w:r>
    </w:p>
    <w:p>
      <w:pPr>
        <w:spacing w:line="480" w:lineRule="exact" w:before="0" w:after="0"/>
        <w:ind w:firstLine="720"/>
        <w:jc w:val="both"/>
      </w:pPr>
      <w:r>
        <w:rPr>
          <w:rFonts w:ascii="Times New Roman" w:hAnsi="Times New Roman" w:cs="Times New Roman" w:eastAsia="Times New Roman"/>
          <w:sz w:val="24"/>
        </w:rPr>
        <w:t xml:space="preserve">The Court of Appeal's decision in </w:t>
      </w:r>
      <w:r>
        <w:rPr>
          <w:rFonts w:ascii="Times New Roman" w:hAnsi="Times New Roman" w:cs="Times New Roman" w:eastAsia="Times New Roman"/>
          <w:i/>
          <w:sz w:val="24"/>
        </w:rPr>
        <w:t>Air Quality Products, Inc. v. State of California</w:t>
      </w:r>
      <w:r>
        <w:rPr>
          <w:rFonts w:ascii="Times New Roman" w:hAnsi="Times New Roman" w:cs="Times New Roman" w:eastAsia="Times New Roman"/>
          <w:sz w:val="24"/>
        </w:rPr>
        <w:t xml:space="preserve"> (1979) 96 Cal.App.3d 304, 348–349 provides an independent ground for the same conclusion:  estoppel cannot be invoked against a public agency where, as here, the conduct relied on exceeded the agency's statutory authority.  The inspector had no power to execute change orders and no power to bind the District to payment of extras.  (Ed. Code, §§ 17604, 17605; Pub. Cont. Code, § 20118.4.)  When a contractor bids on a school-district public works project, it accepts the contracting rules the Legislature has prescribed; those rules are the contractor's responsibility to know and follow, and noncompliance is the contractor's risk, not the district's.  (</w:t>
      </w:r>
      <w:r>
        <w:rPr>
          <w:rFonts w:ascii="Times New Roman" w:hAnsi="Times New Roman" w:cs="Times New Roman" w:eastAsia="Times New Roman"/>
          <w:i/>
          <w:sz w:val="24"/>
        </w:rPr>
        <w:t>Miller</w:t>
      </w:r>
      <w:r>
        <w:rPr>
          <w:rFonts w:ascii="Times New Roman" w:hAnsi="Times New Roman" w:cs="Times New Roman" w:eastAsia="Times New Roman"/>
          <w:sz w:val="24"/>
        </w:rPr>
        <w:t xml:space="preserve">, 20 Cal.2d at p. 89; </w:t>
      </w:r>
      <w:r>
        <w:rPr>
          <w:rFonts w:ascii="Times New Roman" w:hAnsi="Times New Roman" w:cs="Times New Roman" w:eastAsia="Times New Roman"/>
          <w:i/>
          <w:sz w:val="24"/>
        </w:rPr>
        <w:t>Katsura</w:t>
      </w:r>
      <w:r>
        <w:rPr>
          <w:rFonts w:ascii="Times New Roman" w:hAnsi="Times New Roman" w:cs="Times New Roman" w:eastAsia="Times New Roman"/>
          <w:sz w:val="24"/>
        </w:rPr>
        <w:t>, 155 Cal.App.4th at p. 109.)  Equitable estoppel is not a mechanism for reallocating that risk to the public.  The Third Cause of Action should be sustained without leave to amend.</w:t>
      </w:r>
    </w:p>
    <w:p>
      <w:pPr>
        <w:spacing w:line="480" w:lineRule="exact" w:before="0" w:after="0"/>
        <w:jc w:val="left"/>
      </w:pPr>
    </w:p>
    <w:p>
      <w:pPr>
        <w:spacing w:line="480" w:lineRule="exact" w:before="0" w:after="0"/>
        <w:jc w:val="center"/>
      </w:pPr>
      <w:r>
        <w:rPr>
          <w:rFonts w:ascii="Times New Roman" w:hAnsi="Times New Roman" w:cs="Times New Roman" w:eastAsia="Times New Roman"/>
          <w:b/>
          <w:sz w:val="24"/>
        </w:rPr>
        <w:t>V.</w:t>
      </w:r>
    </w:p>
    <w:p>
      <w:pPr>
        <w:spacing w:line="480" w:lineRule="exact" w:before="0" w:after="0"/>
        <w:jc w:val="center"/>
      </w:pPr>
      <w:r>
        <w:rPr>
          <w:rFonts w:ascii="Times New Roman" w:hAnsi="Times New Roman" w:cs="Times New Roman" w:eastAsia="Times New Roman"/>
          <w:b/>
          <w:sz w:val="24"/>
        </w:rPr>
        <w:t>CONCLUSION</w:t>
      </w:r>
    </w:p>
    <w:p>
      <w:pPr>
        <w:spacing w:line="480" w:lineRule="exact" w:before="0" w:after="0"/>
        <w:jc w:val="left"/>
      </w:pPr>
    </w:p>
    <w:p>
      <w:pPr>
        <w:spacing w:line="480" w:lineRule="exact" w:before="0" w:after="0"/>
        <w:ind w:firstLine="720"/>
        <w:jc w:val="both"/>
      </w:pPr>
      <w:r>
        <w:rPr>
          <w:rFonts w:ascii="Times New Roman" w:hAnsi="Times New Roman" w:cs="Times New Roman" w:eastAsia="Times New Roman"/>
          <w:sz w:val="24"/>
        </w:rPr>
        <w:t>For the reasons set forth above, each of the three challenged causes of action — account stated, declaratory relief, and equitable estoppel — fails as a matter of law on the face of the Complaint, and no amendment can cure the underlying defects.  The District respectfully requests that the Court sustain the Demurrer in its entirety, without leave to amend, and enter judgment in favor of the District on the first, second, and third causes of action.</w:t>
      </w:r>
    </w:p>
    <w:p>
      <w:pPr>
        <w:spacing w:line="480" w:lineRule="exact" w:before="0" w:after="0"/>
        <w:jc w:val="left"/>
      </w:pPr>
    </w:p>
    <w:p>
      <w:pPr>
        <w:spacing w:line="240" w:lineRule="auto" w:before="0" w:after="0"/>
        <w:jc w:val="left"/>
      </w:pPr>
      <w:r>
        <w:rPr>
          <w:rFonts w:ascii="Times New Roman" w:hAnsi="Times New Roman" w:cs="Times New Roman" w:eastAsia="Times New Roman"/>
          <w:sz w:val="24"/>
        </w:rPr>
        <w:t>Dated:  April 23, 2026</w:t>
      </w:r>
    </w:p>
    <w:p>
      <w:pPr>
        <w:spacing w:line="240" w:lineRule="auto" w:before="0" w:after="0"/>
        <w:jc w:val="left"/>
      </w:pPr>
      <w:r>
        <w:rPr>
          <w:rFonts w:ascii="Times New Roman" w:hAnsi="Times New Roman" w:cs="Times New Roman" w:eastAsia="Times New Roman"/>
          <w:sz w:val="24"/>
        </w:rPr>
        <w:t>LOZANO SMITH</w:t>
      </w:r>
    </w:p>
    <w:p>
      <w:pPr>
        <w:spacing w:line="240" w:lineRule="auto" w:before="0" w:after="0"/>
        <w:jc w:val="left"/>
      </w:pPr>
    </w:p>
    <w:p>
      <w:pPr>
        <w:spacing w:line="240" w:lineRule="auto" w:before="0" w:after="0"/>
        <w:jc w:val="left"/>
      </w:pPr>
      <w:r>
        <w:rPr>
          <w:rFonts w:ascii="Times New Roman" w:hAnsi="Times New Roman" w:cs="Times New Roman" w:eastAsia="Times New Roman"/>
          <w:sz w:val="24"/>
        </w:rPr>
        <w:t>By:  ____________________________________</w:t>
      </w:r>
    </w:p>
    <w:p>
      <w:pPr>
        <w:spacing w:line="240" w:lineRule="auto" w:before="0" w:after="0"/>
        <w:jc w:val="left"/>
      </w:pPr>
      <w:r>
        <w:rPr>
          <w:rFonts w:ascii="Times New Roman" w:hAnsi="Times New Roman" w:cs="Times New Roman" w:eastAsia="Times New Roman"/>
          <w:sz w:val="24"/>
        </w:rPr>
        <w:t xml:space="preserve">     Daniel R. Marchetti</w:t>
      </w:r>
    </w:p>
    <w:p>
      <w:pPr>
        <w:spacing w:line="240" w:lineRule="auto" w:before="0" w:after="0"/>
        <w:jc w:val="left"/>
      </w:pPr>
      <w:r>
        <w:rPr>
          <w:rFonts w:ascii="Times New Roman" w:hAnsi="Times New Roman" w:cs="Times New Roman" w:eastAsia="Times New Roman"/>
          <w:sz w:val="24"/>
        </w:rPr>
        <w:t xml:space="preserve">     Priya S. Ramanathan</w:t>
      </w:r>
    </w:p>
    <w:p>
      <w:pPr>
        <w:spacing w:line="240" w:lineRule="auto" w:before="0" w:after="0"/>
        <w:jc w:val="left"/>
      </w:pPr>
      <w:r>
        <w:rPr>
          <w:rFonts w:ascii="Times New Roman" w:hAnsi="Times New Roman" w:cs="Times New Roman" w:eastAsia="Times New Roman"/>
          <w:sz w:val="24"/>
        </w:rPr>
        <w:t xml:space="preserve">     Attorneys for Defendant</w:t>
      </w:r>
    </w:p>
    <w:p>
      <w:pPr>
        <w:spacing w:line="240" w:lineRule="auto" w:before="0" w:after="0"/>
        <w:jc w:val="left"/>
      </w:pPr>
      <w:r>
        <w:rPr>
          <w:rFonts w:ascii="Times New Roman" w:hAnsi="Times New Roman" w:cs="Times New Roman" w:eastAsia="Times New Roman"/>
          <w:sz w:val="24"/>
        </w:rPr>
        <w:t xml:space="preserve">     SIERRA VISTA UNIFIED SCHOOL DISTRICT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