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jc w:val="center"/>
      </w:pPr>
      <w:r>
        <w:rPr>
          <w:rtl w:val="0"/>
          <w:lang w:val="ru-RU"/>
        </w:rPr>
        <w:t>Прямой участок трубопровода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176542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42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7"/>
        <w:gridCol w:w="4388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7931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41"/>
                    <w:szCs w:val="41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41"/>
                    <w:szCs w:val="41"/>
                  </w:rPr>
                  <m:t/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8"/>
                    <w:szCs w:val="38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8"/>
                    <w:szCs w:val="38"/>
                  </w:rPr>
                  <m:t/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{pipe_D_a}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43"/>
                    <w:szCs w:val="43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43"/>
                    <w:szCs w:val="43"/>
                  </w:rPr>
                  <m:t/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c</m:t>
                  </m:r>
                </m:e>
                <m:sub/>
              </m:sSub>
            </m:oMath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прямого участка трубопровода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8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{pipe_s_R}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прямого участка трубопровода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pipe_s_min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{pipe_s}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{pipe_p}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