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52"/>
          <w:szCs w:val="52"/>
          <w:lang w:val="en-US" w:eastAsia="zh-CN"/>
        </w:rPr>
      </w:pPr>
    </w:p>
    <w:p>
      <w:pPr>
        <w:rPr>
          <w:rFonts w:hint="eastAsia"/>
          <w:sz w:val="52"/>
          <w:szCs w:val="52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Task Ten</w:t>
      </w:r>
    </w:p>
    <w:p>
      <w:pPr>
        <w:ind w:firstLine="843" w:firstLineChars="300"/>
        <w:rPr>
          <w:rFonts w:hint="eastAsia" w:eastAsiaTheme="minor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语篇形式</w:t>
      </w:r>
      <w:r>
        <w:rPr>
          <w:rFonts w:hint="eastAsia"/>
          <w:b/>
          <w:bCs/>
          <w:color w:val="0000FF"/>
          <w:sz w:val="28"/>
          <w:szCs w:val="28"/>
          <w:lang w:eastAsia="zh-CN"/>
        </w:rPr>
        <w:t>主要指消息报道，特写文章和新闻评论三种形式。</w:t>
      </w:r>
    </w:p>
    <w:p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>
      <w:pPr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Review or commentaries</w:t>
      </w:r>
    </w:p>
    <w:p>
      <w:pPr>
        <w:jc w:val="center"/>
        <w:rPr>
          <w:rFonts w:hint="eastAsia"/>
          <w:sz w:val="52"/>
          <w:szCs w:val="52"/>
          <w:lang w:val="en-US" w:eastAsia="zh-CN"/>
        </w:rPr>
      </w:pP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color w:val="0000FF"/>
          <w:sz w:val="52"/>
          <w:szCs w:val="52"/>
          <w:lang w:val="en-US" w:eastAsia="zh-CN"/>
        </w:rPr>
        <w:t>新闻述评</w:t>
      </w:r>
      <w:r>
        <w:rPr>
          <w:rFonts w:hint="eastAsia"/>
          <w:sz w:val="32"/>
          <w:szCs w:val="32"/>
          <w:lang w:val="en-US" w:eastAsia="zh-CN"/>
        </w:rPr>
        <w:t>review or commentaries 着重从问题的某一侧面展开论述，给人以深一层的思想启发，夹叙夹议反映并评析较为重要的事件、形势或问题。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>新闻述评的目的</w:t>
      </w:r>
      <w:r>
        <w:rPr>
          <w:rFonts w:hint="eastAsia"/>
          <w:sz w:val="32"/>
          <w:szCs w:val="32"/>
          <w:lang w:val="en-US" w:eastAsia="zh-CN"/>
        </w:rPr>
        <w:t>是要在选择一定的新闻事实基础上，陈述观点、发表意见，通常带有指导性意见或观点，或直接或含蓄地表达报刊所代表的时政立场。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</w:t>
      </w:r>
    </w:p>
    <w:p>
      <w:pPr>
        <w:rPr>
          <w:rFonts w:hint="eastAsia"/>
          <w:sz w:val="32"/>
          <w:szCs w:val="32"/>
          <w:lang w:val="en-US" w:eastAsia="zh-CN"/>
        </w:rPr>
      </w:pPr>
    </w:p>
    <w:p>
      <w:pPr>
        <w:rPr>
          <w:rFonts w:hint="eastAsia"/>
          <w:sz w:val="32"/>
          <w:szCs w:val="32"/>
          <w:lang w:val="en-US" w:eastAsia="zh-CN"/>
        </w:rPr>
      </w:pPr>
    </w:p>
    <w:p>
      <w:pPr>
        <w:rPr>
          <w:rFonts w:hint="eastAsia"/>
          <w:sz w:val="32"/>
          <w:szCs w:val="32"/>
          <w:lang w:val="en-US" w:eastAsia="zh-CN"/>
        </w:rPr>
      </w:pPr>
    </w:p>
    <w:p>
      <w:pPr>
        <w:rPr>
          <w:rFonts w:hint="eastAsia"/>
          <w:sz w:val="32"/>
          <w:szCs w:val="32"/>
          <w:lang w:val="en-US" w:eastAsia="zh-CN"/>
        </w:rPr>
      </w:pPr>
    </w:p>
    <w:p>
      <w:pPr>
        <w:rPr>
          <w:rFonts w:hint="eastAsia"/>
          <w:sz w:val="32"/>
          <w:szCs w:val="32"/>
          <w:lang w:val="en-US" w:eastAsia="zh-CN"/>
        </w:rPr>
      </w:pPr>
    </w:p>
    <w:p>
      <w:pPr>
        <w:rPr>
          <w:rFonts w:hint="eastAsia"/>
          <w:sz w:val="32"/>
          <w:szCs w:val="32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 w:ascii="Times New Roman" w:hAnsi="Times New Roman" w:cs="Times New Roman"/>
          <w:sz w:val="36"/>
          <w:szCs w:val="36"/>
          <w:lang w:val="en-US" w:eastAsia="zh-CN"/>
        </w:rPr>
      </w:pPr>
      <w:r>
        <w:rPr>
          <w:rFonts w:hint="eastAsia" w:ascii="Times New Roman" w:hAnsi="Times New Roman" w:cs="Times New Roman"/>
          <w:sz w:val="36"/>
          <w:szCs w:val="36"/>
          <w:lang w:val="en-US" w:eastAsia="zh-CN"/>
        </w:rPr>
        <w:t>Key Learning points:</w:t>
      </w:r>
    </w:p>
    <w:p>
      <w:pPr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Try to locate the following sentences in the text materials(page 178-184) and give your understanding about them(</w:t>
      </w:r>
      <w:r>
        <w:rPr>
          <w:rFonts w:hint="eastAsia" w:ascii="Times New Roman" w:hAnsi="Times New Roman" w:cs="Times New Roman"/>
          <w:b/>
          <w:bCs/>
          <w:color w:val="FF0000"/>
          <w:sz w:val="30"/>
          <w:szCs w:val="30"/>
          <w:lang w:val="en-US" w:eastAsia="zh-CN"/>
        </w:rPr>
        <w:t>注意句子结构成分的分布特征及句意的表达特点</w:t>
      </w: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)</w:t>
      </w:r>
    </w:p>
    <w:p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But unfortunately, it is Congress that controls the TARP money. </w:t>
      </w:r>
      <w:r>
        <w:rPr>
          <w:rFonts w:hint="eastAsia"/>
          <w:color w:val="0000FF"/>
          <w:sz w:val="28"/>
          <w:szCs w:val="28"/>
          <w:u w:val="single"/>
          <w:lang w:val="en-US" w:eastAsia="zh-CN"/>
        </w:rPr>
        <w:t>And Congress wants blood</w:t>
      </w:r>
      <w:r>
        <w:rPr>
          <w:rFonts w:hint="eastAsia"/>
          <w:sz w:val="28"/>
          <w:szCs w:val="28"/>
          <w:lang w:val="en-US" w:eastAsia="zh-CN"/>
        </w:rPr>
        <w:t xml:space="preserve">. </w:t>
      </w:r>
    </w:p>
    <w:p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OF course, the policy is symbolic and well-intentioned. But </w:t>
      </w:r>
      <w:r>
        <w:rPr>
          <w:rFonts w:hint="eastAsia"/>
          <w:color w:val="FF0000"/>
          <w:sz w:val="28"/>
          <w:szCs w:val="28"/>
          <w:u w:val="single"/>
          <w:lang w:val="en-US" w:eastAsia="zh-CN"/>
        </w:rPr>
        <w:t>like most government tinkering, it</w:t>
      </w:r>
      <w:r>
        <w:rPr>
          <w:rFonts w:hint="default"/>
          <w:color w:val="FF0000"/>
          <w:sz w:val="28"/>
          <w:szCs w:val="28"/>
          <w:u w:val="single"/>
          <w:lang w:val="en-US" w:eastAsia="zh-CN"/>
        </w:rPr>
        <w:t>’</w:t>
      </w:r>
      <w:r>
        <w:rPr>
          <w:rFonts w:hint="eastAsia"/>
          <w:color w:val="FF0000"/>
          <w:sz w:val="28"/>
          <w:szCs w:val="28"/>
          <w:u w:val="single"/>
          <w:lang w:val="en-US" w:eastAsia="zh-CN"/>
        </w:rPr>
        <w:t>s bound to end in disaster.</w:t>
      </w:r>
      <w:r>
        <w:rPr>
          <w:rFonts w:hint="eastAsia"/>
          <w:sz w:val="28"/>
          <w:szCs w:val="28"/>
          <w:lang w:val="en-US" w:eastAsia="zh-CN"/>
        </w:rPr>
        <w:t xml:space="preserve"> </w:t>
      </w:r>
    </w:p>
    <w:p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They</w:t>
      </w:r>
      <w:r>
        <w:rPr>
          <w:rFonts w:hint="default"/>
          <w:sz w:val="28"/>
          <w:szCs w:val="28"/>
          <w:lang w:val="en-US" w:eastAsia="zh-CN"/>
        </w:rPr>
        <w:t>’</w:t>
      </w:r>
      <w:r>
        <w:rPr>
          <w:rFonts w:hint="eastAsia"/>
          <w:sz w:val="28"/>
          <w:szCs w:val="28"/>
          <w:lang w:val="en-US" w:eastAsia="zh-CN"/>
        </w:rPr>
        <w:t xml:space="preserve">ll retain their culture, </w:t>
      </w:r>
      <w:r>
        <w:rPr>
          <w:rFonts w:hint="eastAsia"/>
          <w:color w:val="FF0000"/>
          <w:sz w:val="28"/>
          <w:szCs w:val="28"/>
          <w:u w:val="single"/>
          <w:lang w:val="en-US" w:eastAsia="zh-CN"/>
        </w:rPr>
        <w:t>find their mojo and pay back their government loans sooner rather than later</w:t>
      </w:r>
      <w:r>
        <w:rPr>
          <w:rFonts w:hint="eastAsia"/>
          <w:sz w:val="28"/>
          <w:szCs w:val="28"/>
          <w:lang w:val="en-US" w:eastAsia="zh-CN"/>
        </w:rPr>
        <w:t xml:space="preserve">. </w:t>
      </w:r>
    </w:p>
    <w:p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You can already hear Citi CEO Vikram Pandit and BofA CEO Ken Lewis </w:t>
      </w:r>
      <w:r>
        <w:rPr>
          <w:rFonts w:hint="eastAsia"/>
          <w:color w:val="FF0000"/>
          <w:sz w:val="28"/>
          <w:szCs w:val="28"/>
          <w:u w:val="single"/>
          <w:lang w:val="en-US" w:eastAsia="zh-CN"/>
        </w:rPr>
        <w:t>jawboning their lieutenants on how there is a lot of flexibility in the Treasury guidelines</w:t>
      </w:r>
      <w:r>
        <w:rPr>
          <w:rFonts w:hint="eastAsia"/>
          <w:sz w:val="28"/>
          <w:szCs w:val="28"/>
          <w:lang w:val="en-US" w:eastAsia="zh-CN"/>
        </w:rPr>
        <w:t>. And how all the stuff on clawbacks, caps and vesting won</w:t>
      </w:r>
      <w:r>
        <w:rPr>
          <w:rFonts w:hint="default"/>
          <w:sz w:val="28"/>
          <w:szCs w:val="28"/>
          <w:lang w:val="en-US" w:eastAsia="zh-CN"/>
        </w:rPr>
        <w:t>’</w:t>
      </w:r>
      <w:r>
        <w:rPr>
          <w:rFonts w:hint="eastAsia"/>
          <w:sz w:val="28"/>
          <w:szCs w:val="28"/>
          <w:lang w:val="en-US" w:eastAsia="zh-CN"/>
        </w:rPr>
        <w:t xml:space="preserve">t impede their compensation policy. </w:t>
      </w:r>
    </w:p>
    <w:p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US policymakers will need to find ways to increase domestic savings, shrink the federal deficit, </w:t>
      </w:r>
      <w:r>
        <w:rPr>
          <w:rFonts w:hint="eastAsia"/>
          <w:color w:val="FF0000"/>
          <w:sz w:val="28"/>
          <w:szCs w:val="28"/>
          <w:u w:val="single"/>
          <w:lang w:val="en-US" w:eastAsia="zh-CN"/>
        </w:rPr>
        <w:t xml:space="preserve">reduce the heavy reliance of American consumers on credit </w:t>
      </w:r>
      <w:r>
        <w:rPr>
          <w:rFonts w:hint="eastAsia"/>
          <w:sz w:val="28"/>
          <w:szCs w:val="28"/>
          <w:lang w:val="en-US" w:eastAsia="zh-CN"/>
        </w:rPr>
        <w:t xml:space="preserve">and curb oil imports. </w:t>
      </w:r>
    </w:p>
    <w:p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Frequent financial crises, large trade imbalances, </w:t>
      </w:r>
      <w:r>
        <w:rPr>
          <w:rFonts w:hint="eastAsia"/>
          <w:color w:val="FF0000"/>
          <w:sz w:val="28"/>
          <w:szCs w:val="28"/>
          <w:u w:val="single"/>
          <w:lang w:val="en-US" w:eastAsia="zh-CN"/>
        </w:rPr>
        <w:t xml:space="preserve">a series of outsized budget deficits and failure to put social security and Medicare on a more sound financial footing </w:t>
      </w:r>
      <w:r>
        <w:rPr>
          <w:rFonts w:hint="eastAsia"/>
          <w:sz w:val="28"/>
          <w:szCs w:val="28"/>
          <w:lang w:val="en-US" w:eastAsia="zh-CN"/>
        </w:rPr>
        <w:t xml:space="preserve">could undermine investor confidence. </w:t>
      </w:r>
    </w:p>
    <w:p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This is especially true in energy, </w:t>
      </w:r>
      <w:r>
        <w:rPr>
          <w:rFonts w:hint="eastAsia"/>
          <w:color w:val="FF0000"/>
          <w:sz w:val="28"/>
          <w:szCs w:val="28"/>
          <w:u w:val="single"/>
          <w:lang w:val="en-US" w:eastAsia="zh-CN"/>
        </w:rPr>
        <w:t>where new sources and new technologies are urgently needed</w:t>
      </w:r>
      <w:r>
        <w:rPr>
          <w:rFonts w:hint="eastAsia"/>
          <w:sz w:val="28"/>
          <w:szCs w:val="28"/>
          <w:lang w:val="en-US" w:eastAsia="zh-CN"/>
        </w:rPr>
        <w:t>.</w:t>
      </w:r>
    </w:p>
    <w:p>
      <w:pPr>
        <w:numPr>
          <w:ilvl w:val="0"/>
          <w:numId w:val="1"/>
        </w:numPr>
        <w:tabs>
          <w:tab w:val="clear" w:pos="312"/>
        </w:tabs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Last, the new president must lead the world to</w:t>
      </w:r>
      <w:r>
        <w:rPr>
          <w:rFonts w:hint="eastAsia"/>
          <w:color w:val="FF0000"/>
          <w:sz w:val="28"/>
          <w:szCs w:val="28"/>
          <w:u w:val="single"/>
          <w:lang w:val="en-US" w:eastAsia="zh-CN"/>
        </w:rPr>
        <w:t xml:space="preserve"> a more representative global economic policy architecture</w:t>
      </w:r>
      <w:r>
        <w:rPr>
          <w:rFonts w:hint="eastAsia"/>
          <w:sz w:val="28"/>
          <w:szCs w:val="28"/>
          <w:lang w:val="en-US" w:eastAsia="zh-CN"/>
        </w:rPr>
        <w:t xml:space="preserve"> to reflect the ongoing shifts in financial wealth, commodity power and trade flows. 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The first article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211705" cy="5266055"/>
            <wp:effectExtent l="0" t="0" r="10795" b="17145"/>
            <wp:docPr id="1" name="图片 1" descr="IMG_20210221_141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10221_141655"/>
                    <pic:cNvPicPr>
                      <a:picLocks noChangeAspect="1"/>
                    </pic:cNvPicPr>
                  </pic:nvPicPr>
                  <pic:blipFill>
                    <a:blip r:embed="rId4"/>
                    <a:srcRect l="5800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11705" cy="526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970270" cy="5255895"/>
            <wp:effectExtent l="0" t="0" r="1905" b="11430"/>
            <wp:docPr id="2" name="图片 2" descr="IMG_20210221_141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210221_141749"/>
                    <pic:cNvPicPr>
                      <a:picLocks noChangeAspect="1"/>
                    </pic:cNvPicPr>
                  </pic:nvPicPr>
                  <pic:blipFill>
                    <a:blip r:embed="rId5"/>
                    <a:srcRect t="2496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70270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055" cy="5484495"/>
            <wp:effectExtent l="0" t="0" r="1905" b="10795"/>
            <wp:docPr id="3" name="图片 3" descr="IMG_20210221_141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210221_141818"/>
                    <pic:cNvPicPr>
                      <a:picLocks noChangeAspect="1"/>
                    </pic:cNvPicPr>
                  </pic:nvPicPr>
                  <pic:blipFill>
                    <a:blip r:embed="rId6"/>
                    <a:srcRect b="2875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66055" cy="54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The second article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218305" cy="5266055"/>
            <wp:effectExtent l="0" t="0" r="10795" b="10795"/>
            <wp:docPr id="4" name="图片 4" descr="IMG_20210221_142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210221_142228"/>
                    <pic:cNvPicPr>
                      <a:picLocks noChangeAspect="1"/>
                    </pic:cNvPicPr>
                  </pic:nvPicPr>
                  <pic:blipFill>
                    <a:blip r:embed="rId7"/>
                    <a:srcRect l="1989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218305" cy="526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817870" cy="5208270"/>
            <wp:effectExtent l="0" t="0" r="11430" b="11430"/>
            <wp:docPr id="5" name="图片 5" descr="IMG_20210221_142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0210221_142303"/>
                    <pic:cNvPicPr>
                      <a:picLocks noChangeAspect="1"/>
                    </pic:cNvPicPr>
                  </pic:nvPicPr>
                  <pic:blipFill>
                    <a:blip r:embed="rId8"/>
                    <a:srcRect t="2966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81787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694680" cy="5275580"/>
            <wp:effectExtent l="0" t="0" r="1270" b="1270"/>
            <wp:docPr id="6" name="图片 6" descr="IMG_20210221_142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0210221_142334"/>
                    <pic:cNvPicPr>
                      <a:picLocks noChangeAspect="1"/>
                    </pic:cNvPicPr>
                  </pic:nvPicPr>
                  <pic:blipFill>
                    <a:blip r:embed="rId9"/>
                    <a:srcRect b="3183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69468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049D1D5"/>
    <w:multiLevelType w:val="singleLevel"/>
    <w:tmpl w:val="8049D1D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1B224D"/>
    <w:rsid w:val="199673E4"/>
    <w:rsid w:val="3DB63477"/>
    <w:rsid w:val="532B6A10"/>
    <w:rsid w:val="5F1B7399"/>
    <w:rsid w:val="664B6833"/>
    <w:rsid w:val="671B224D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Office_10.1.0.7520_F1E327BC-269C-435d-A152-05C5408002CA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2020-12-16T05:21:00Z</dcterms:created>
  <dc:creator>Administrator</dc:creator>
  <cp:lastModifiedBy>Administrator</cp:lastModifiedBy>
  <dcterms:modified xsi:type="dcterms:W3CDTF">2021-03-20T07:23:23Z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