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52"/>
          <w:szCs w:val="52"/>
          <w:lang w:val="en-US" w:eastAsia="zh-CN"/>
        </w:rPr>
      </w:pPr>
    </w:p>
    <w:p>
      <w:pPr>
        <w:jc w:val="center"/>
        <w:rPr>
          <w:rFonts w:hint="eastAsia"/>
          <w:sz w:val="52"/>
          <w:szCs w:val="52"/>
          <w:lang w:val="en-US" w:eastAsia="zh-CN"/>
        </w:rPr>
      </w:pPr>
    </w:p>
    <w:p>
      <w:pPr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Task Nine</w:t>
      </w:r>
    </w:p>
    <w:p>
      <w:pPr>
        <w:ind w:firstLine="843" w:firstLineChars="300"/>
        <w:rPr>
          <w:rFonts w:hint="eastAsia" w:eastAsiaTheme="minor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语篇形式</w:t>
      </w:r>
      <w:r>
        <w:rPr>
          <w:rFonts w:hint="eastAsia"/>
          <w:b/>
          <w:bCs/>
          <w:color w:val="0000FF"/>
          <w:sz w:val="28"/>
          <w:szCs w:val="28"/>
          <w:lang w:eastAsia="zh-CN"/>
        </w:rPr>
        <w:t>主要指消息报道，特写文章和新闻评论三种形式。</w:t>
      </w:r>
    </w:p>
    <w:p>
      <w:pPr>
        <w:jc w:val="center"/>
        <w:rPr>
          <w:rFonts w:hint="eastAsia"/>
          <w:sz w:val="52"/>
          <w:szCs w:val="52"/>
          <w:lang w:val="en-US" w:eastAsia="zh-CN"/>
        </w:rPr>
      </w:pPr>
    </w:p>
    <w:p>
      <w:pPr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新闻评论</w:t>
      </w:r>
    </w:p>
    <w:p>
      <w:pPr>
        <w:jc w:val="center"/>
        <w:rPr>
          <w:rFonts w:hint="eastAsia"/>
          <w:sz w:val="52"/>
          <w:szCs w:val="52"/>
          <w:lang w:val="en-US" w:eastAsia="zh-CN"/>
        </w:rPr>
      </w:pPr>
    </w:p>
    <w:p>
      <w:pPr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52"/>
          <w:szCs w:val="52"/>
        </w:rPr>
        <w:t>新闻评论</w:t>
      </w:r>
      <w:r>
        <w:rPr>
          <w:rFonts w:hint="eastAsia"/>
          <w:b/>
          <w:bCs/>
          <w:sz w:val="36"/>
          <w:szCs w:val="36"/>
          <w:lang w:eastAsia="zh-CN"/>
        </w:rPr>
        <w:t>是英文报刊的灵魂，以议论见长，据事说理兼具新闻性和政论性，通常由引论</w:t>
      </w:r>
      <w:r>
        <w:rPr>
          <w:rFonts w:hint="eastAsia"/>
          <w:b/>
          <w:bCs/>
          <w:sz w:val="36"/>
          <w:szCs w:val="36"/>
          <w:lang w:val="en-US" w:eastAsia="zh-CN"/>
        </w:rPr>
        <w:t>theme论证demonstration和结论conclusion组成，主要分社论editorial述评review和专栏文章column三类。</w:t>
      </w:r>
    </w:p>
    <w:p>
      <w:pPr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color w:val="0000FF"/>
          <w:sz w:val="52"/>
          <w:szCs w:val="52"/>
          <w:lang w:val="en-US" w:eastAsia="zh-CN"/>
        </w:rPr>
        <w:t>社论editorial</w:t>
      </w:r>
      <w:r>
        <w:rPr>
          <w:rFonts w:hint="eastAsia"/>
          <w:b/>
          <w:bCs/>
          <w:sz w:val="44"/>
          <w:szCs w:val="44"/>
          <w:lang w:val="en-US" w:eastAsia="zh-CN"/>
        </w:rPr>
        <w:t>代表报社就某一重大问题发表权威性的言论，往往代表某一党派社团的立场或观点。</w:t>
      </w:r>
    </w:p>
    <w:p>
      <w:pPr>
        <w:ind w:firstLine="562" w:firstLineChars="200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ind w:firstLine="562" w:firstLineChars="200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ind w:firstLine="562" w:firstLineChars="200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ind w:firstLine="562" w:firstLineChars="200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rPr>
          <w:rFonts w:hint="eastAsia" w:ascii="Times New Roman" w:hAnsi="Times New Roman" w:cs="Times New Roman"/>
          <w:sz w:val="36"/>
          <w:szCs w:val="36"/>
          <w:lang w:val="en-US" w:eastAsia="zh-CN"/>
        </w:rPr>
      </w:pPr>
      <w:r>
        <w:rPr>
          <w:rFonts w:hint="eastAsia" w:ascii="Times New Roman" w:hAnsi="Times New Roman" w:cs="Times New Roman"/>
          <w:sz w:val="36"/>
          <w:szCs w:val="36"/>
          <w:lang w:val="en-US" w:eastAsia="zh-CN"/>
        </w:rPr>
        <w:t>Key Learning points:</w:t>
      </w:r>
    </w:p>
    <w:p>
      <w:pPr>
        <w:rPr>
          <w:rFonts w:hint="eastAsia" w:ascii="Times New Roman" w:hAnsi="Times New Roman" w:cs="Times New Roman"/>
          <w:sz w:val="44"/>
          <w:szCs w:val="44"/>
          <w:lang w:val="en-US" w:eastAsia="zh-CN"/>
        </w:rPr>
      </w:pPr>
      <w:r>
        <w:rPr>
          <w:rFonts w:hint="eastAsia" w:ascii="Times New Roman" w:hAnsi="Times New Roman" w:cs="Times New Roman"/>
          <w:sz w:val="36"/>
          <w:szCs w:val="36"/>
          <w:lang w:val="en-US" w:eastAsia="zh-CN"/>
        </w:rPr>
        <w:t>Try to locate the following sentences in the text materials(page 169-180) and give your understanding about them</w:t>
      </w:r>
      <w:r>
        <w:rPr>
          <w:rFonts w:hint="eastAsia" w:ascii="Times New Roman" w:hAnsi="Times New Roman" w:cs="Times New Roman"/>
          <w:sz w:val="44"/>
          <w:szCs w:val="44"/>
          <w:lang w:val="en-US" w:eastAsia="zh-CN"/>
        </w:rPr>
        <w:t>(</w:t>
      </w:r>
      <w:r>
        <w:rPr>
          <w:rFonts w:hint="eastAsia" w:ascii="Times New Roman" w:hAnsi="Times New Roman" w:cs="Times New Roman"/>
          <w:b/>
          <w:bCs/>
          <w:color w:val="FF0000"/>
          <w:sz w:val="24"/>
          <w:szCs w:val="24"/>
          <w:lang w:val="en-US" w:eastAsia="zh-CN"/>
        </w:rPr>
        <w:t>注意句子结构成分的分布特征及句意的表达特点</w:t>
      </w:r>
      <w:r>
        <w:rPr>
          <w:rFonts w:hint="eastAsia" w:ascii="Times New Roman" w:hAnsi="Times New Roman" w:cs="Times New Roman"/>
          <w:sz w:val="44"/>
          <w:szCs w:val="44"/>
          <w:lang w:val="en-US" w:eastAsia="zh-CN"/>
        </w:rPr>
        <w:t>)</w:t>
      </w:r>
    </w:p>
    <w:p>
      <w:pPr>
        <w:numPr>
          <w:ilvl w:val="0"/>
          <w:numId w:val="1"/>
        </w:num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That would be a point at which</w:t>
      </w:r>
      <w:r>
        <w:rPr>
          <w:rFonts w:hint="eastAsia"/>
          <w:b w:val="0"/>
          <w:bCs w:val="0"/>
          <w:color w:val="0000FF"/>
          <w:sz w:val="28"/>
          <w:szCs w:val="28"/>
          <w:u w:val="single"/>
          <w:lang w:val="en-US" w:eastAsia="zh-CN"/>
        </w:rPr>
        <w:t xml:space="preserve"> transient fluctuations in oil prices were not jarring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, and at which US policy would accept the reality of a permanent shift from $30-a-barrel oil to $130-a-barrel oil.</w:t>
      </w:r>
    </w:p>
    <w:p>
      <w:pPr>
        <w:numPr>
          <w:ilvl w:val="0"/>
          <w:numId w:val="1"/>
        </w:num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Economic recovery alone w</w:t>
      </w:r>
      <w:r>
        <w:rPr>
          <w:rFonts w:hint="eastAsia"/>
          <w:b w:val="0"/>
          <w:bCs w:val="0"/>
          <w:color w:val="0000FF"/>
          <w:sz w:val="28"/>
          <w:szCs w:val="28"/>
          <w:u w:val="single"/>
          <w:lang w:val="en-US" w:eastAsia="zh-CN"/>
        </w:rPr>
        <w:t>ould soar up much of the excess in the oil market.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Another war or revolution in the Gulf----which any prudent person must consider possible----could send the oil-importing nations back into crisis.</w:t>
      </w:r>
    </w:p>
    <w:p>
      <w:pPr>
        <w:numPr>
          <w:ilvl w:val="0"/>
          <w:numId w:val="1"/>
        </w:num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The administration uses this improvement to</w:t>
      </w:r>
      <w:r>
        <w:rPr>
          <w:rFonts w:hint="eastAsia"/>
          <w:b w:val="0"/>
          <w:bCs w:val="0"/>
          <w:color w:val="0000FF"/>
          <w:sz w:val="28"/>
          <w:szCs w:val="28"/>
          <w:u w:val="single"/>
          <w:lang w:val="en-US" w:eastAsia="zh-CN"/>
        </w:rPr>
        <w:t xml:space="preserve"> buttress its case for dissolving the Energy Department. </w:t>
      </w:r>
    </w:p>
    <w:p>
      <w:pPr>
        <w:numPr>
          <w:ilvl w:val="0"/>
          <w:numId w:val="1"/>
        </w:num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0000FF"/>
          <w:sz w:val="28"/>
          <w:szCs w:val="28"/>
          <w:u w:val="single"/>
          <w:lang w:val="en-US" w:eastAsia="zh-CN"/>
        </w:rPr>
        <w:t>The price of oil has been decontrolled,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the strategic petroleum reserve is finally being filled, industry is using energy much more efficiently and the gas guzzler is an endangered species. </w:t>
      </w:r>
    </w:p>
    <w:p>
      <w:pPr>
        <w:numPr>
          <w:ilvl w:val="0"/>
          <w:numId w:val="1"/>
        </w:num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But the real issue is </w:t>
      </w:r>
      <w:r>
        <w:rPr>
          <w:rFonts w:hint="eastAsia"/>
          <w:b w:val="0"/>
          <w:bCs w:val="0"/>
          <w:color w:val="0000FF"/>
          <w:sz w:val="28"/>
          <w:szCs w:val="28"/>
          <w:u w:val="single"/>
          <w:lang w:val="en-US" w:eastAsia="zh-CN"/>
        </w:rPr>
        <w:t>how much of what would be economically beneficial is not happening ,and will not happen, under current policies.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</w:t>
      </w:r>
    </w:p>
    <w:p>
      <w:pPr>
        <w:numPr>
          <w:ilvl w:val="0"/>
          <w:numId w:val="1"/>
        </w:num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0000FF"/>
          <w:sz w:val="28"/>
          <w:szCs w:val="28"/>
          <w:u w:val="single"/>
          <w:lang w:val="en-US" w:eastAsia="zh-CN"/>
        </w:rPr>
        <w:t>To abandon conservation programs and dismantle research efforts now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is to save small amounts of federal dollars</w:t>
      </w:r>
      <w:r>
        <w:rPr>
          <w:rFonts w:hint="eastAsia"/>
          <w:b w:val="0"/>
          <w:bCs w:val="0"/>
          <w:color w:val="0000FF"/>
          <w:sz w:val="28"/>
          <w:szCs w:val="28"/>
          <w:u w:val="single"/>
          <w:lang w:val="en-US" w:eastAsia="zh-CN"/>
        </w:rPr>
        <w:t xml:space="preserve"> at a very large longer-range cost to the economy.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</w:t>
      </w:r>
    </w:p>
    <w:p>
      <w:pPr>
        <w:numPr>
          <w:ilvl w:val="0"/>
          <w:numId w:val="1"/>
        </w:num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And</w:t>
      </w:r>
      <w:r>
        <w:rPr>
          <w:rFonts w:hint="eastAsia"/>
          <w:b w:val="0"/>
          <w:bCs w:val="0"/>
          <w:color w:val="0000FF"/>
          <w:sz w:val="28"/>
          <w:szCs w:val="28"/>
          <w:u w:val="single"/>
          <w:lang w:val="en-US" w:eastAsia="zh-CN"/>
        </w:rPr>
        <w:t xml:space="preserve"> hopeful talk about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the end of the energy crisis</w:t>
      </w:r>
      <w:r>
        <w:rPr>
          <w:rFonts w:hint="eastAsia"/>
          <w:b w:val="0"/>
          <w:bCs w:val="0"/>
          <w:color w:val="0000FF"/>
          <w:sz w:val="28"/>
          <w:szCs w:val="28"/>
          <w:u w:val="single"/>
          <w:lang w:val="en-US" w:eastAsia="zh-CN"/>
        </w:rPr>
        <w:t xml:space="preserve"> ignores the painful lessons of the past decade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.</w:t>
      </w:r>
    </w:p>
    <w:p>
      <w:pPr>
        <w:numPr>
          <w:ilvl w:val="0"/>
          <w:numId w:val="1"/>
        </w:num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They tend to favor incumbents with their campaign contributions , and a result, Mr.Green says, is that </w:t>
      </w:r>
      <w:r>
        <w:rPr>
          <w:rFonts w:hint="eastAsia"/>
          <w:b w:val="0"/>
          <w:bCs w:val="0"/>
          <w:color w:val="0000FF"/>
          <w:sz w:val="28"/>
          <w:szCs w:val="28"/>
          <w:u w:val="single"/>
          <w:lang w:val="en-US" w:eastAsia="zh-CN"/>
        </w:rPr>
        <w:t>it takes a wealthy challenger to make a face of things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. 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The first article 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2351405" cy="5266055"/>
            <wp:effectExtent l="0" t="0" r="10795" b="10795"/>
            <wp:docPr id="1" name="图片 1" descr="IMG_20210221_141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10221_141344"/>
                    <pic:cNvPicPr>
                      <a:picLocks noChangeAspect="1"/>
                    </pic:cNvPicPr>
                  </pic:nvPicPr>
                  <pic:blipFill>
                    <a:blip r:embed="rId4"/>
                    <a:srcRect l="2258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51405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6778625" cy="5313680"/>
            <wp:effectExtent l="0" t="0" r="1270" b="3175"/>
            <wp:docPr id="2" name="图片 2" descr="IMG_20210221_141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10221_141433"/>
                    <pic:cNvPicPr>
                      <a:picLocks noChangeAspect="1"/>
                    </pic:cNvPicPr>
                  </pic:nvPicPr>
                  <pic:blipFill>
                    <a:blip r:embed="rId5"/>
                    <a:srcRect b="2766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778625" cy="53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The second article 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5266055" cy="2132330"/>
            <wp:effectExtent l="0" t="0" r="10795" b="1270"/>
            <wp:docPr id="3" name="图片 3" descr="IMG_20210221_141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10221_141454"/>
                    <pic:cNvPicPr>
                      <a:picLocks noChangeAspect="1"/>
                    </pic:cNvPicPr>
                  </pic:nvPicPr>
                  <pic:blipFill>
                    <a:blip r:embed="rId6"/>
                    <a:srcRect t="5950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5427980" cy="6447155"/>
            <wp:effectExtent l="0" t="0" r="1270" b="10795"/>
            <wp:docPr id="4" name="图片 4" descr="IMG_20210221_141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210221_141530"/>
                    <pic:cNvPicPr>
                      <a:picLocks noChangeAspect="1"/>
                    </pic:cNvPicPr>
                  </pic:nvPicPr>
                  <pic:blipFill>
                    <a:blip r:embed="rId7"/>
                    <a:srcRect l="26950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644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5341620" cy="6656705"/>
            <wp:effectExtent l="0" t="0" r="11430" b="10795"/>
            <wp:docPr id="5" name="图片 5" descr="IMG_20210221_141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0210221_141609"/>
                    <pic:cNvPicPr>
                      <a:picLocks noChangeAspect="1"/>
                    </pic:cNvPicPr>
                  </pic:nvPicPr>
                  <pic:blipFill>
                    <a:blip r:embed="rId8"/>
                    <a:srcRect r="26408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66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5266055" cy="5266055"/>
            <wp:effectExtent l="0" t="0" r="10795" b="10795"/>
            <wp:docPr id="6" name="图片 6" descr="IMG_20210221_141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0210221_1416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23DC96C"/>
    <w:multiLevelType w:val="singleLevel"/>
    <w:tmpl w:val="B23DC96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F32D50"/>
    <w:rsid w:val="00CB013E"/>
    <w:rsid w:val="09B57700"/>
    <w:rsid w:val="0FF32D50"/>
    <w:rsid w:val="51565B17"/>
    <w:rsid w:val="64DE03AD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Office_10.1.0.7520_F1E327BC-269C-435d-A152-05C5408002CA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2021-01-05T00:26:00Z</dcterms:created>
  <dc:creator>Administrator</dc:creator>
  <cp:lastModifiedBy>Administrator</cp:lastModifiedBy>
  <dcterms:modified xsi:type="dcterms:W3CDTF">2021-03-20T07:22:07Z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