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KnowledgeOS 建模助手使用指导书</w:t>
      </w:r>
    </w:p>
    <w:p>
      <w:r>
        <w:rPr>
          <w:b w:val="0"/>
        </w:rPr>
        <w:t>适用版本 4.0.0    指导书版本 1.0    2026年10月12日</w:t>
      </w:r>
    </w:p>
    <w:p>
      <w:r>
        <w:rPr>
          <w:b w:val="0"/>
        </w:rPr>
        <w:t>这份指导书帮助业务专家、本体维护人员和审核人完成概念建模、术语维护、标准导出及人机协作。第一次使用时，先按照第01至第07节建立一个“检验报告”概念；高级 Agent 操作可稍后阅读。</w:t>
      </w:r>
    </w:p>
    <w:p>
      <w:r>
        <w:rPr>
          <w:b w:val="0"/>
        </w:rPr>
        <w:t>建模助手的普通表单采用确定性模板生成草稿。外部大模型或 Agent 可通过导出的请求或 API 提出概念、属性和关系变更，服务端仍执行校验与治理。</w:t>
      </w:r>
    </w:p>
    <w:p>
      <w:pPr>
        <w:pStyle w:val="Heading2"/>
      </w:pPr>
      <w:r>
        <w:t>一次完整操作的顺序</w:t>
      </w:r>
    </w:p>
    <w:p>
      <w:r>
        <w:rPr>
          <w:b w:val="0"/>
        </w:rPr>
        <w:t>登录 → 打开结构白板 → 填写对象 → 检查草稿 → 提交审核 → 独立审核人批准 → 发布人应用到真源 → 验证发布。</w:t>
      </w:r>
    </w:p>
    <w:p>
      <w:pPr>
        <w:pStyle w:val="Heading2"/>
      </w:pPr>
      <w:r>
        <w:t>按需要选择阅读路线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12"/>
      </w:tblGrid>
      <w:tr>
        <w:trPr>
          <w:tblHeader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AF0F5"/>
          </w:tcPr>
          <w:p>
            <w:pPr>
              <w:spacing w:after="60" w:before="60" w:line="269" w:lineRule="auto"/>
            </w:pPr>
            <w:r>
              <w:rPr>
                <w:b/>
                <w:sz w:val="21"/>
              </w:rPr>
              <w:t>你要完成的事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AF0F5"/>
          </w:tcPr>
          <w:p>
            <w:pPr>
              <w:spacing w:after="60" w:before="60" w:line="269" w:lineRule="auto"/>
            </w:pPr>
            <w:r>
              <w:rPr>
                <w:b/>
                <w:sz w:val="21"/>
              </w:rPr>
              <w:t>阅读位置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第一次建立业务概念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第01至第07节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统一名称和别名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第08节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让外部 Agent 参与建模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第09至第11节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一次审核多项变更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第12和第13节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检查或导出标准格式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第14节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解决卡住的问题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第15和第16节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通过接口接入工具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第17节</w:t>
            </w:r>
          </w:p>
        </w:tc>
      </w:tr>
    </w:tbl>
    <w:p>
      <w:pPr>
        <w:spacing w:after="20"/>
      </w:pPr>
    </w:p>
    <w:p>
      <w:pPr>
        <w:pStyle w:val="Heading2"/>
      </w:pPr>
      <w:r>
        <w:t>角色与权限</w:t>
      </w:r>
    </w:p>
    <w:p>
      <w:r>
        <w:rPr>
          <w:b w:val="0"/>
        </w:rPr>
        <w:t>提案人需要 propose 权限；审核人需要 review 权限；应用与发布需要 publish 权限。只读检查和导出需要 read 权限。助手生成的本体和术语提案为高风险，须由提案人以外的身份审核。</w:t>
      </w:r>
    </w:p>
    <w:p>
      <w:r>
        <w:rPr>
          <w:b w:val="0"/>
        </w:rPr>
        <w:t>截图中的 local:admin 和 local:reviewer 为隔离演示身份。正式环境使用管理员分配的个人访问凭证。所有教学样例均在独立演示工作区执行。</w:t>
      </w:r>
    </w:p>
    <w:p>
      <w:pPr>
        <w:pStyle w:val="Heading1"/>
        <w:pageBreakBefore/>
      </w:pPr>
      <w:r>
        <w:t>01 登录并打开建模助手</w:t>
      </w:r>
    </w:p>
    <w:p>
      <w:r>
        <w:rPr>
          <w:b/>
        </w:rPr>
        <w:t xml:space="preserve">1. </w:t>
      </w:r>
      <w:r>
        <w:t>打开工作台，通常为 http://127.0.0.1:5173；部署环境使用团队提供的网址。点击右上角“登录”。</w:t>
      </w:r>
    </w:p>
    <w:p>
      <w:r>
        <w:rPr>
          <w:b/>
        </w:rPr>
        <w:t xml:space="preserve">2. </w:t>
      </w:r>
      <w:r>
        <w:t>输入个人访问凭证并登录。看到账户名称和“已连接”后，进入“结构白板”。</w:t>
      </w:r>
    </w:p>
    <w:p>
      <w:r>
        <w:rPr>
          <w:b/>
        </w:rPr>
        <w:t xml:space="preserve">3. </w:t>
      </w:r>
      <w:r>
        <w:t>点击白板工具栏的“建模助手”。窄屏可能仅显示带问号的图标；移动布局的主导航位于页面下方。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2387212"/>
            <wp:docPr id="1" name="Picture 1" descr="图1 登录窗口不保存凭证，刷新页面后需要重新登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87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登录窗口不保存凭证，刷新页面后需要重新登录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2" name="Picture 2" descr="图2 建模助手位于结构白板工具栏右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ntry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建模助手位于结构白板工具栏右侧</w:t>
      </w:r>
    </w:p>
    <w:p>
      <w:r>
        <w:rPr>
          <w:b w:val="0"/>
        </w:rPr>
        <w:t>助手包含“辅助建模”“业务术语”“检查与导出”三个面板。后端连接失败时，先恢复连接再提交。表单和未提交的检查结果保留于当前页面，刷新可能丢失；已提交的 ChangeSet 会持久保存。</w:t>
      </w:r>
    </w:p>
    <w:p>
      <w:pPr>
        <w:pStyle w:val="Heading1"/>
        <w:pageBreakBefore/>
      </w:pPr>
      <w:r>
        <w:t>02 填写一个新的业务概念</w:t>
      </w:r>
    </w:p>
    <w:p>
      <w:r>
        <w:rPr>
          <w:b w:val="0"/>
        </w:rPr>
        <w:t>示例目标是定义“检验报告”这一对象类型，不录入某一张报告的真实业务数据。</w:t>
      </w:r>
    </w:p>
    <w:p>
      <w:r>
        <w:rPr>
          <w:b/>
        </w:rPr>
        <w:t xml:space="preserve">1. </w:t>
      </w:r>
      <w:r>
        <w:t>对象名称填写“检验报告”。在“它表示什么？”中写明含义和适用范围。</w:t>
      </w:r>
    </w:p>
    <w:p>
      <w:r>
        <w:rPr>
          <w:b/>
        </w:rPr>
        <w:t xml:space="preserve">2. </w:t>
      </w:r>
      <w:r>
        <w:t>在属性查找框输入 summary，勾选 Summary summary。勾选已有属性只建立绑定。</w:t>
      </w:r>
    </w:p>
    <w:p>
      <w:r>
        <w:rPr>
          <w:b/>
        </w:rPr>
        <w:t xml:space="preserve">3. </w:t>
      </w:r>
      <w:r>
        <w:t>变更原因填写“统一质量检验信息的建模方式”。确认输入后，点击“检查草稿”。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470357"/>
            <wp:docPr id="3" name="Picture 3" descr="图3 用自然语言说明业务含义，并选择已注册的 summary 属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odel-form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70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用自然语言说明业务含义，并选择已注册的 summary 属性</w:t>
      </w:r>
    </w:p>
    <w:p>
      <w:r>
        <w:rPr>
          <w:b w:val="0"/>
        </w:rPr>
        <w:t>本例说明：记录一次质量检验的结论和说明，适用于产品出厂检验。普通表单创建的属性绑定默认可选，基数继承已有谓词定义。</w:t>
      </w:r>
    </w:p>
    <w:p>
      <w:pPr>
        <w:pStyle w:val="Heading1"/>
        <w:pageBreakBefore/>
      </w:pPr>
      <w:r>
        <w:t>03 字段填写规则与建模边界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08"/>
      </w:tblGrid>
      <w:tr>
        <w:trPr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AF0F5"/>
          </w:tcPr>
          <w:p>
            <w:pPr>
              <w:spacing w:after="60" w:before="60" w:line="269" w:lineRule="auto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AF0F5"/>
          </w:tcPr>
          <w:p>
            <w:pPr>
              <w:spacing w:after="60" w:before="60" w:line="269" w:lineRule="auto"/>
            </w:pPr>
            <w:r>
              <w:rPr>
                <w:b/>
                <w:sz w:val="21"/>
              </w:rPr>
              <w:t>怎样填写及实际作用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对象名称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必填。用业务熟悉的名称，例如“检验报告”。中文名称可以自动生成稳定 ID。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它表示什么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必填。说明对象类型、用途和适用范围，避免只写名称或一条真实记录。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已有属性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可不选，也可多选。列表只显示 active 的已注册谓词；新属性要在白板创建或交由 Agent 提出。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查找属性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按属性显示名称或 ID 查找。更改查找文字不会取消已选属性；清空搜索可查看其他属性。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变更原因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可选。说明维护动机。为空时系统自动生成原因；不会成为概念定义的业务事实。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稳定标识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位于更多选项。留空时按名称生成；自定义须以小写字母开头，后续可含小写字母、数字、下划线和短横线，最长64字符。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建模依据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位于更多选项。可粘贴规范或定义。未填写时，普通草稿使用名称、说明、属性组成的材料；外部 Agent 应使用明确依据。</w:t>
            </w:r>
          </w:p>
        </w:tc>
      </w:tr>
    </w:tbl>
    <w:p>
      <w:pPr>
        <w:spacing w:after="20"/>
      </w:pPr>
    </w:p>
    <w:p>
      <w:pPr>
        <w:pStyle w:val="Heading2"/>
      </w:pPr>
      <w:r>
        <w:t>如何写清楚定义</w:t>
      </w:r>
    </w:p>
    <w:p>
      <w:r>
        <w:rPr>
          <w:b w:val="0"/>
        </w:rPr>
        <w:t>可采用“它是什么，记录或描述什么，适用于哪里”的句式。例如“检验报告记录一次质量检验的结论和说明，适用于产品出厂检验”。“报告123合格”是实例事实，不适合作为概念定义。</w:t>
      </w:r>
    </w:p>
    <w:p>
      <w:pPr>
        <w:pStyle w:val="Heading2"/>
      </w:pPr>
      <w:r>
        <w:t>哪些修改需要白板或 Agent</w:t>
      </w:r>
    </w:p>
    <w:p>
      <w:r>
        <w:rPr>
          <w:b w:val="0"/>
        </w:rPr>
        <w:t>普通助手表单用于新建概念。已有概念的修改、必填属性、单值或多值约束、关系端点及关系承载方式，在白板中选中定义后维护，或通过 Agent 的 update 操作提出。普通表单中指定一个已存在的概念 ID 会被拒绝。</w:t>
      </w:r>
    </w:p>
    <w:p>
      <w:r>
        <w:rPr>
          <w:b w:val="0"/>
        </w:rPr>
        <w:t>名称是给人看的标签，稳定 ID 用于引用与标准 IRI。发布后改变业务名称通常应修改原定义的标签，保持 ID 不变；创建另一个 ID 会形成另一个概念。</w:t>
      </w:r>
    </w:p>
    <w:p>
      <w:pPr>
        <w:pStyle w:val="Heading1"/>
        <w:pageBreakBefore/>
      </w:pPr>
      <w:r>
        <w:t>04 阅读检查结果并提交审核</w:t>
      </w:r>
    </w:p>
    <w:p>
      <w:r>
        <w:rPr>
          <w:b/>
        </w:rPr>
        <w:t xml:space="preserve">1. </w:t>
      </w:r>
      <w:r>
        <w:t>等待“检查通过，可提交审核”。页面显示候选操作数量和参与验证的现有实体数量。</w:t>
      </w:r>
    </w:p>
    <w:p>
      <w:r>
        <w:rPr>
          <w:b/>
        </w:rPr>
        <w:t xml:space="preserve">2. </w:t>
      </w:r>
      <w:r>
        <w:t>展开“查看变更内容”，核对目标 ID、名称、属性绑定和来源路径。出现问题时先修改，再检查。</w:t>
      </w:r>
    </w:p>
    <w:p>
      <w:r>
        <w:rPr>
          <w:b/>
        </w:rPr>
        <w:t xml:space="preserve">3. </w:t>
      </w:r>
      <w:r>
        <w:t>填写或确认变更原因，点击“提交审核”。收到提交成功提示后，到“治理审核”查看记录。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470357"/>
            <wp:docPr id="4" name="Picture 4" descr="图4 检查通过后才允许提交，按钮在对话框下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review-submi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70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检查通过后才允许提交，按钮在对话框下部</w:t>
      </w:r>
    </w:p>
    <w:p>
      <w:r>
        <w:rPr>
          <w:b w:val="0"/>
        </w:rPr>
        <w:t>检查会在隔离环境编译候选定义、重放已保存的连接器记录，并运行配置的核心问题。它不会把候选写入当前控制源。检查通过说明候选兼容已有契约和数据，业务定义仍需人工判断。</w:t>
      </w:r>
    </w:p>
    <w:p>
      <w:r>
        <w:rPr>
          <w:b w:val="0"/>
        </w:rPr>
        <w:t>修改名称、说明、稳定 ID、建模依据或属性选择后，旧检查结果会失效。重新检查后再提交。对话框可滚动，窄屏上的原因和提交按钮可能位于下方。</w:t>
      </w:r>
    </w:p>
    <w:p>
      <w:pPr>
        <w:pStyle w:val="Heading1"/>
        <w:pageBreakBefore/>
      </w:pPr>
      <w:r>
        <w:t>05 独立审核人检查提案</w:t>
      </w:r>
    </w:p>
    <w:p>
      <w:r>
        <w:rPr>
          <w:b/>
        </w:rPr>
        <w:t xml:space="preserve">1. </w:t>
      </w:r>
      <w:r>
        <w:t>审核人登录自己的账户，进入“治理审核”，展开“审核队列”并选择对应记录。</w:t>
      </w:r>
    </w:p>
    <w:p>
      <w:r>
        <w:rPr>
          <w:b/>
        </w:rPr>
        <w:t xml:space="preserve">2. </w:t>
      </w:r>
      <w:r>
        <w:t>核对标题、变更原因、提案人、来源文件和字段差异。确认对象定义清楚，属性已经注册，变更符合业务。</w:t>
      </w:r>
    </w:p>
    <w:p>
      <w:r>
        <w:rPr>
          <w:b/>
        </w:rPr>
        <w:t xml:space="preserve">3. </w:t>
      </w:r>
      <w:r>
        <w:t>展开“校验与发布要求”查看限制。高风险提案不能由提案人使用同一身份批准。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5" name="Picture 5" descr="图5 待审核提案保留结构化差异，概念默认生命周期为 draf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view-pending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待审核提案保留结构化差异，概念默认生命周期为 draft</w:t>
      </w:r>
    </w:p>
    <w:p>
      <w:pPr>
        <w:pStyle w:val="Heading2"/>
      </w:pPr>
      <w:r>
        <w:t>审核决定</w:t>
      </w:r>
    </w:p>
    <w:p>
      <w:r>
        <w:rPr>
          <w:b w:val="0"/>
        </w:rPr>
        <w:t>单项界面提供“批准”和“驳回”。当前单项按钮会记录预设审核意见；需要自己填写审核意见或选择“要求修改”时，可用第12节的批量审核窗口，仅选择这一项即可。</w:t>
      </w:r>
    </w:p>
    <w:p>
      <w:r>
        <w:rPr>
          <w:b w:val="0"/>
        </w:rPr>
        <w:t>驳回或要求修改后，提案人根据意见修正并重新生成提案。不要把“已提议”或“待审核”当作已经改变本体真源。</w:t>
      </w:r>
    </w:p>
    <w:p>
      <w:pPr>
        <w:pStyle w:val="Heading1"/>
        <w:pageBreakBefore/>
      </w:pPr>
      <w:r>
        <w:t>06 批准后应用到真源</w:t>
      </w:r>
    </w:p>
    <w:p>
      <w:r>
        <w:rPr>
          <w:b/>
        </w:rPr>
        <w:t xml:space="preserve">1. </w:t>
      </w:r>
      <w:r>
        <w:t>独立审核人点击“批准”，记录变为“已批准”。审批本身尚未完成发布。</w:t>
      </w:r>
    </w:p>
    <w:p>
      <w:r>
        <w:rPr>
          <w:b/>
        </w:rPr>
        <w:t xml:space="preserve">2. </w:t>
      </w:r>
      <w:r>
        <w:t>具有发布权限的人员点击“应用到真源”。系统再次检查来源修订和候选影响，然后写入控制文件。</w:t>
      </w:r>
    </w:p>
    <w:p>
      <w:r>
        <w:rPr>
          <w:b/>
        </w:rPr>
        <w:t xml:space="preserve">3. </w:t>
      </w:r>
      <w:r>
        <w:t>应用成功后，“待验证 source revision”会自动填入 sha256 修订值；随后使用该值验证发布。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 descr="图6 已批准后出现应用到真源与验证发布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pprove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 已批准后出现应用到真源与验证发布入口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 descr="图7 应用完成后自动填入源修订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pplie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图7 应用完成后自动填入源修订值</w:t>
      </w:r>
    </w:p>
    <w:p>
      <w:r>
        <w:rPr>
          <w:b w:val="0"/>
        </w:rPr>
        <w:t>不要随意填写一个提交号来代替当前修订。正常操作使用应用成功返回的值。若其他人改变了相关控制定义，应先同步并重新评估。</w:t>
      </w:r>
    </w:p>
    <w:p>
      <w:pPr>
        <w:pStyle w:val="Heading1"/>
        <w:pageBreakBefore/>
      </w:pPr>
      <w:r>
        <w:t>07 完成发布并检查概念生命周期</w:t>
      </w:r>
    </w:p>
    <w:p>
      <w:r>
        <w:rPr>
          <w:b/>
        </w:rPr>
        <w:t xml:space="preserve">1. </w:t>
      </w:r>
      <w:r>
        <w:t>保留自动填入的 source revision，点击“验证发布”。后端编译真源并登记修订。</w:t>
      </w:r>
    </w:p>
    <w:p>
      <w:r>
        <w:rPr>
          <w:b/>
        </w:rPr>
        <w:t xml:space="preserve">2. </w:t>
      </w:r>
      <w:r>
        <w:t>记录显示“已发布”并出现发布记录后，再到结构白板查看新概念。</w:t>
      </w:r>
    </w:p>
    <w:p>
      <w:r>
        <w:rPr>
          <w:b/>
        </w:rPr>
        <w:t xml:space="preserve">3. </w:t>
      </w:r>
      <w:r>
        <w:t>核对概念名称、ID和属性。需要投入正式维护时，按白板的生命周期编辑流程，将概念从 draft 调整为 active，并再次提交治理。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8" name="Picture 8" descr="图8 变更已发布表明真源已应用并通过编译验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ublishe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图8 变更已发布表明真源已应用并通过编译验证</w:t>
      </w:r>
    </w:p>
    <w:p>
      <w:pPr>
        <w:pStyle w:val="Heading2"/>
      </w:pPr>
      <w:r>
        <w:t>两个状态要分别判断</w:t>
      </w:r>
    </w:p>
    <w:p>
      <w:r>
        <w:rPr>
          <w:b w:val="0"/>
        </w:rPr>
        <w:t>ChangeSet 的“已发布”描述这一笔变更的治理结果。概念的 draft、active、deprecated 描述定义自身的生命周期。助手普通表单始终先生成 draft，因此创建变更发布后，概念仍可能是草稿。</w:t>
      </w:r>
    </w:p>
    <w:p>
      <w:r>
        <w:rPr>
          <w:b w:val="0"/>
        </w:rPr>
        <w:t>在白板中选中概念，右侧“详情面板”点击“编辑”，在“生命周期”选择 active，点击“完成”。随后使用白板下方的“审核差异”，在“生成 ChangeSet”窗口填写原因并提交；再次批准、应用、验证。企业运营记录仍通过连接器进入，不因概念发布而自动创建。</w:t>
      </w:r>
    </w:p>
    <w:p>
      <w:r>
        <w:rPr>
          <w:b w:val="0"/>
        </w:rPr>
        <w:t>当前界面的“发布记录”区域可能沿用先前审核意见。判断是否完成时，以“已发布”状态及实际源修订结果为准，不仅看这段意见文字。</w:t>
      </w:r>
    </w:p>
    <w:p>
      <w:pPr>
        <w:pStyle w:val="Heading1"/>
        <w:pageBreakBefore/>
      </w:pPr>
      <w:r>
        <w:t>08 维护业务术语</w:t>
      </w:r>
    </w:p>
    <w:p>
      <w:r>
        <w:rPr>
          <w:b/>
        </w:rPr>
        <w:t xml:space="preserve">1. </w:t>
      </w:r>
      <w:r>
        <w:t>打开建模助手，切换到“业务术语”。选择术语表，再选择已经注册的业务对象。</w:t>
      </w:r>
    </w:p>
    <w:p>
      <w:r>
        <w:rPr>
          <w:b/>
        </w:rPr>
        <w:t xml:space="preserve">2. </w:t>
      </w:r>
      <w:r>
        <w:t>填写常用名称、其他叫法和含义与适用范围。别名可用中文逗号、英文逗号、顿号或换行分隔。</w:t>
      </w:r>
    </w:p>
    <w:p>
      <w:r>
        <w:rPr>
          <w:b/>
        </w:rPr>
        <w:t xml:space="preserve">3. </w:t>
      </w:r>
      <w:r>
        <w:t>点击“提交术语审核”。该操作会增加词表版本并形成高风险提案；批准、应用、发布步骤与本体提案相同。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470357"/>
            <wp:docPr id="9" name="Picture 9" descr="图9 为检验报告建立常用名称和两个别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term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70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图9 为检验报告建立常用名称和两个别名</w:t>
      </w:r>
    </w:p>
    <w:p>
      <w:r>
        <w:rPr>
          <w:b w:val="0"/>
        </w:rPr>
        <w:t>示例常用名称为“检验报告”，别名为“质检报告、出厂检验报告”。定义说明它是一种产品出厂检验报告类型。新建概念须先应用到真源并同步，才能在业务对象列表中选择。</w:t>
      </w:r>
    </w:p>
    <w:p>
      <w:r>
        <w:rPr>
          <w:b w:val="0"/>
        </w:rPr>
        <w:t>维护术语保留同一条目中的其他语言名称和词表中的其他条目。常用名称、别名不改变本体概念 ID，也不自动建立两个概念等价关系。</w:t>
      </w:r>
    </w:p>
    <w:p>
      <w:pPr>
        <w:pStyle w:val="Heading1"/>
        <w:pageBreakBefore/>
      </w:pPr>
      <w:r>
        <w:t>08 业务术语的补充规则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200"/>
      </w:tblGrid>
      <w:tr>
        <w:trPr>
          <w:tblHeader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AF0F5"/>
          </w:tcPr>
          <w:p>
            <w:pPr>
              <w:spacing w:after="60" w:before="60" w:line="269" w:lineRule="auto"/>
            </w:pPr>
            <w:r>
              <w:rPr>
                <w:b/>
                <w:sz w:val="21"/>
              </w:rPr>
              <w:t>要检查的内容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AF0F5"/>
          </w:tcPr>
          <w:p>
            <w:pPr>
              <w:spacing w:after="60" w:before="60" w:line="269" w:lineRule="auto"/>
            </w:pPr>
            <w:r>
              <w:rPr>
                <w:b/>
                <w:sz w:val="21"/>
              </w:rPr>
              <w:t>处理方法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名称与含义为空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常用名称和定义必填；补全后提交按钮才可用。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同一语言首选名称重复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同一词表的中文首选名称应唯一；使用更明确的名称区分不同概念。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把首选名称又写成别名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删除重复项，首选名称和同语种别名应不同。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找不到新对象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先完成本体提案的应用与发布，再同步控制面后重开助手。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提交原因需要特别说明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术语面板沿用辅助建模面板的可选变更原因；为空时自动生成维护原因。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切换术语表后字段为空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重新选择业务对象，加载该词表对应条目，再填写。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需要多语言或上位术语关系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当前普通面板编辑中文名称、别名和定义；完整语言标签、broader、scope_note、close_matches 由维护人员在版本化词表中维护。</w:t>
            </w:r>
          </w:p>
        </w:tc>
      </w:tr>
    </w:tbl>
    <w:p>
      <w:pPr>
        <w:spacing w:after="20"/>
      </w:pPr>
    </w:p>
    <w:p>
      <w:pPr>
        <w:pStyle w:val="Heading2"/>
      </w:pPr>
      <w:r>
        <w:t>用术语统一表达</w:t>
      </w:r>
    </w:p>
    <w:p>
      <w:r>
        <w:rPr>
          <w:b w:val="0"/>
        </w:rPr>
        <w:t>一个本体概念可关联一个术语条目：中文首选名称供业务人员使用，别名记录常见叫法，定义解释含义。SKOS条目与本体类的标准 IRI 分开保存，关联并不意味着类、实例或外部术语完全相同。</w:t>
      </w:r>
    </w:p>
    <w:p>
      <w:pPr>
        <w:pStyle w:val="Heading2"/>
      </w:pPr>
      <w:r>
        <w:t>修改提交之后</w:t>
      </w:r>
    </w:p>
    <w:p>
      <w:r>
        <w:rPr>
          <w:b w:val="0"/>
        </w:rPr>
        <w:t>审核中心的术语提案显示完整词表变更。审核人应特别核对原有语言标签、其他词条和版本是否保留。批准只记录决定，仍需要发布人应用与验证。</w:t>
      </w:r>
    </w:p>
    <w:p>
      <w:pPr>
        <w:pStyle w:val="Heading1"/>
        <w:pageBreakBefore/>
      </w:pPr>
      <w:r>
        <w:t>09 导出供 Agent 使用的建模请求</w:t>
      </w:r>
    </w:p>
    <w:p>
      <w:r>
        <w:rPr>
          <w:b w:val="0"/>
        </w:rPr>
        <w:t>需要批量建立概念、创建新属性、维护关系或修改已有定义时，可让外部 Agent 依据请求生成结构化草稿。当前普通助手不会在后台调用一个未配置的大模型。</w:t>
      </w:r>
    </w:p>
    <w:p>
      <w:r>
        <w:rPr>
          <w:b/>
        </w:rPr>
        <w:t xml:space="preserve">1. </w:t>
      </w:r>
      <w:r>
        <w:t>在辅助建模填入目标名称和说明，展开“更多选项与 Agent 草稿”。</w:t>
      </w:r>
    </w:p>
    <w:p>
      <w:r>
        <w:rPr>
          <w:b/>
        </w:rPr>
        <w:t xml:space="preserve">2. </w:t>
      </w:r>
      <w:r>
        <w:t>按需要指定稳定 ID，并粘贴完整建模依据。点击“导出 Agent 请求”，下载 knowledgeos-modeling-request.json。</w:t>
      </w:r>
    </w:p>
    <w:p>
      <w:r>
        <w:rPr>
          <w:b/>
        </w:rPr>
        <w:t xml:space="preserve">3. </w:t>
      </w:r>
      <w:r>
        <w:t>把完整请求交给能够理解本体建模的模型或 Agent，要求按其中 output_schema 返回 JSON。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470357"/>
            <wp:docPr id="10" name="Picture 10" descr="图10 更多选项包含稳定标识、建模依据与请求导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gent-option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70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图10 更多选项包含稳定标识、建模依据与请求导出</w:t>
      </w:r>
    </w:p>
    <w:p>
      <w:r>
        <w:rPr>
          <w:b w:val="0"/>
        </w:rPr>
        <w:t>请求包含目标、依据片段、语义契约、当前定义示例、输出格式和注册指纹。保持当前页面不刷新，便于把返回草稿导入同一份请求。</w:t>
      </w:r>
    </w:p>
    <w:p>
      <w:pPr>
        <w:pStyle w:val="Heading1"/>
        <w:pageBreakBefore/>
      </w:pPr>
      <w:r>
        <w:t>10 导入并检查 Agent 草稿</w:t>
      </w:r>
    </w:p>
    <w:p>
      <w:r>
        <w:rPr>
          <w:b/>
        </w:rPr>
        <w:t xml:space="preserve">1. </w:t>
      </w:r>
      <w:r>
        <w:t>从模型返回中取出纯 JSON，粘贴到“导入 Agent 返回的 JSON 草稿”。不要包含 Markdown 代码围栏、注释或前后说明。</w:t>
      </w:r>
    </w:p>
    <w:p>
      <w:r>
        <w:rPr>
          <w:b/>
        </w:rPr>
        <w:t xml:space="preserve">2. </w:t>
      </w:r>
      <w:r>
        <w:t>点击“检查 Agent 草稿”。服务端检查格式、请求 ID、材料引文、注册定义以及候选对现有数据的影响。</w:t>
      </w:r>
    </w:p>
    <w:p>
      <w:r>
        <w:rPr>
          <w:b/>
        </w:rPr>
        <w:t xml:space="preserve">3. </w:t>
      </w:r>
      <w:r>
        <w:t>看到检查通过后，核对变更内容，再点击面板下方“提交审核”。Agent 提案走同一独立审核和发布流程。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470357"/>
            <wp:docPr id="11" name="Picture 11" descr="图11 Agent 返回草稿经过来源与兼容性检查后才可提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gent-preview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70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图11 Agent 返回草稿经过来源与兼容性检查后才可提交</w:t>
      </w:r>
    </w:p>
    <w:p>
      <w:r>
        <w:rPr>
          <w:b w:val="0"/>
        </w:rPr>
        <w:t>导入模式使用“检查 Agent 草稿”。普通“检查草稿”会按当前表单重新生成模板候选，可能替换外部 Agent 的多项操作。</w:t>
      </w:r>
    </w:p>
    <w:p>
      <w:r>
        <w:rPr>
          <w:b w:val="0"/>
        </w:rPr>
        <w:t>注册定义变化、页面刷新或建模依据调整后，请重新导出请求，并让 Agent 基于新请求返回结果。不要把旧 request_id 或旧引文直接复制到新请求。截图使用结构化返回示例验证流程，没有调用外部模型服务。</w:t>
      </w:r>
    </w:p>
    <w:p>
      <w:pPr>
        <w:pStyle w:val="Heading1"/>
        <w:pageBreakBefore/>
      </w:pPr>
      <w:r>
        <w:t>11 Agent 返回格式与可复用示例</w:t>
      </w:r>
    </w:p>
    <w:p>
      <w:pPr>
        <w:pStyle w:val="Heading2"/>
      </w:pPr>
      <w:r>
        <w:t>可以提出哪些操作</w:t>
      </w:r>
    </w:p>
    <w:p>
      <w:r>
        <w:rPr>
          <w:b w:val="0"/>
        </w:rPr>
        <w:t>每份返回支持1至20项 create、update、deprecate 操作，目标为 concept、predicate、relation。每项须引用请求中 material:1 的原文。目标和 after 中的 ID、kind 必须一致，sourcePath 必须位于对应 control 根目录。</w:t>
      </w:r>
    </w:p>
    <w:p>
      <w:r>
        <w:rPr>
          <w:b w:val="0"/>
        </w:rPr>
        <w:t>创建概念先引用已注册谓词。创建新谓词时，必须声明值类型、基数、存储方式和完整策略契约；可以在同一批操作中先创建谓词再绑定概念。更新已有定义时，应参考 definition_examples 保留原字段并给出 before 和 after。</w:t>
      </w:r>
    </w:p>
    <w:p>
      <w:pPr>
        <w:pStyle w:val="Heading2"/>
      </w:pPr>
      <w:r>
        <w:t>给外部模型的提示示例</w:t>
      </w:r>
    </w:p>
    <w:p>
      <w:r>
        <w:rPr>
          <w:b w:val="0"/>
        </w:rPr>
        <w:t>请读取附带的 KnowledgeOS 建模请求，使用其现有定义和 output_schema。根据 segments 提出批次检验报告概念，绑定已有 summary 属性。每项操作引用材料原文，保持稳定 ID 与来源路径。仅返回 JSON 提案，不执行写入或审批。</w:t>
      </w:r>
    </w:p>
    <w:p>
      <w:pPr>
        <w:pStyle w:val="Heading2"/>
      </w:pPr>
      <w:r>
        <w:t>随书示例文件</w:t>
      </w:r>
    </w:p>
    <w:p>
      <w:r>
        <w:rPr>
          <w:b w:val="0"/>
        </w:rPr>
        <w:t>examples/modeling-material.txt 提供演示依据；examples/agent-response-template.json 提供完整的概念创建返回模板。填写同样材料并导出新请求，将模板 request_id 的占位值替换为导出请求的 request_id，然后导入检查。模板中的 batch_inspection_report 如果已存在，需要换一个新的稳定 ID，或按 update 流程修改原定义。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92"/>
      </w:tblGrid>
      <w:tr>
        <w:trPr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AF0F5"/>
          </w:tcPr>
          <w:p>
            <w:pPr>
              <w:spacing w:after="60" w:before="60" w:line="269" w:lineRule="auto"/>
            </w:pPr>
            <w:r>
              <w:rPr>
                <w:b/>
                <w:sz w:val="21"/>
              </w:rPr>
              <w:t>返回部分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AF0F5"/>
          </w:tcPr>
          <w:p>
            <w:pPr>
              <w:spacing w:after="60" w:before="60" w:line="269" w:lineRule="auto"/>
            </w:pPr>
            <w:r>
              <w:rPr>
                <w:b/>
                <w:sz w:val="21"/>
              </w:rPr>
              <w:t>本例内容与作用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protocol_version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knowledgeos.ontology-assist.v1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request_id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必须复制自本次导出的请求。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operation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create；targetKind 为 concept；targetId 为 batch_inspection_report。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after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概念名称、说明、draft 生命周期和 control/ontology/core.yaml 来源；bindings 引用 summary。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evidence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segment_id 为 material:1；quote 为材料中的完整原文或精确连续片段。</w:t>
            </w:r>
          </w:p>
        </w:tc>
      </w:tr>
    </w:tbl>
    <w:p>
      <w:pPr>
        <w:spacing w:after="20"/>
      </w:pPr>
    </w:p>
    <w:p>
      <w:r>
        <w:rPr>
          <w:b w:val="0"/>
        </w:rPr>
        <w:t>自动检查能验证引文存在、格式和兼容性，不能证明模型对业务材料的理解正确。审核人仍须判断概念边界和拟议关系。</w:t>
      </w:r>
    </w:p>
    <w:p>
      <w:pPr>
        <w:pStyle w:val="Heading1"/>
        <w:pageBreakBefore/>
      </w:pPr>
      <w:r>
        <w:t>12 选择记录并填写批量审核意见</w:t>
      </w:r>
    </w:p>
    <w:p>
      <w:r>
        <w:rPr>
          <w:b/>
        </w:rPr>
        <w:t xml:space="preserve">1. </w:t>
      </w:r>
      <w:r>
        <w:t>审核人进入“治理审核”，点击“批量审核”。窗口只列出已提议或待审核的记录。</w:t>
      </w:r>
    </w:p>
    <w:p>
      <w:r>
        <w:rPr>
          <w:b/>
        </w:rPr>
        <w:t xml:space="preserve">2. </w:t>
      </w:r>
      <w:r>
        <w:t>选择本次要处理的记录，最多50项；然后选择“批准”“要求修改”或“驳回”。</w:t>
      </w:r>
    </w:p>
    <w:p>
      <w:r>
        <w:rPr>
          <w:b/>
        </w:rPr>
        <w:t xml:space="preserve">3. </w:t>
      </w:r>
      <w:r>
        <w:t>填写审核意见，说明判断依据。先点击“预览 N 项”，此时尚未执行任何审核决定。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225766"/>
            <wp:docPr id="12" name="Picture 12" descr="图12 两项变更被选中，审核人填写自己的判断依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batch-selection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25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图12 两项变更被选中，审核人填写自己的判断依据</w:t>
      </w:r>
    </w:p>
    <w:p>
      <w:r>
        <w:rPr>
          <w:b w:val="0"/>
        </w:rPr>
        <w:t>也可只选择一项，用此窗口填写个性化审核意见或记录“要求修改”。建模与术语提案仍需要独立审核；专家工艺模板继续使用单独权限与流程。</w:t>
      </w:r>
    </w:p>
    <w:p>
      <w:pPr>
        <w:pStyle w:val="Heading1"/>
        <w:pageBreakBefore/>
      </w:pPr>
      <w:r>
        <w:t>13 确认批量审核并继续发布</w:t>
      </w:r>
    </w:p>
    <w:p>
      <w:r>
        <w:rPr>
          <w:b/>
        </w:rPr>
        <w:t xml:space="preserve">1. </w:t>
      </w:r>
      <w:r>
        <w:t>阅读预览中的记录数量、来源与风险分组，以及逐项阻塞信息。</w:t>
      </w:r>
    </w:p>
    <w:p>
      <w:r>
        <w:rPr>
          <w:b/>
        </w:rPr>
        <w:t xml:space="preserve">2. </w:t>
      </w:r>
      <w:r>
        <w:t>权限和版本检查通过，并填写意见后，点击“确认批准”“确认要求修改”或“确认驳回”。</w:t>
      </w:r>
    </w:p>
    <w:p>
      <w:r>
        <w:rPr>
          <w:b/>
        </w:rPr>
        <w:t xml:space="preserve">3. </w:t>
      </w:r>
      <w:r>
        <w:t>确认成功后，回到队列检查每项记录的新状态。被批准的记录仍要逐项应用到真源并验证发布。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13742" cy="5852159"/>
            <wp:docPr id="13" name="Picture 13" descr="图13 预览通过后才允许确认本次批量决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batch-preview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3742" cy="5852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图13 预览通过后才允许确认本次批量决定</w:t>
      </w:r>
    </w:p>
    <w:p>
      <w:r>
        <w:rPr>
          <w:b w:val="0"/>
        </w:rPr>
        <w:t>预览会绑定当前来源版本和记录版本。预览后若提案被他人审核、来源发生变化，旧确认会被拒绝；重新预览再确认。批量决定在事务内执行，一项不满足条件时不会留下半批成功。</w:t>
      </w:r>
    </w:p>
    <w:p>
      <w:r>
        <w:rPr>
          <w:b w:val="0"/>
        </w:rPr>
        <w:t>批量审核不自动应用或发布。多份本体提案的来源相互影响时，先发布其中一份可能使另一份基线过期，需要重新生成后续提案。建议让同一组互相关联的定义进入一个 Agent 批次。</w:t>
      </w:r>
    </w:p>
    <w:p>
      <w:pPr>
        <w:pStyle w:val="Heading1"/>
        <w:pageBreakBefore/>
      </w:pPr>
      <w:r>
        <w:t>14 检查核心问题并导出标准格式</w:t>
      </w:r>
    </w:p>
    <w:p>
      <w:r>
        <w:rPr>
          <w:b/>
        </w:rPr>
        <w:t xml:space="preserve">1. </w:t>
      </w:r>
      <w:r>
        <w:t>在助手中切换到“检查与导出”，点击“运行兼容性检查”。</w:t>
      </w:r>
    </w:p>
    <w:p>
      <w:r>
        <w:rPr>
          <w:b/>
        </w:rPr>
        <w:t xml:space="preserve">2. </w:t>
      </w:r>
      <w:r>
        <w:t>阅读通过数和各个问题的结果。当前核心套件包含企业法定名称、项目包含任务、实体标识映射还原三项。</w:t>
      </w:r>
    </w:p>
    <w:p>
      <w:r>
        <w:rPr>
          <w:b/>
        </w:rPr>
        <w:t xml:space="preserve">3. </w:t>
      </w:r>
      <w:r>
        <w:t>按接收方需要点击“导出 JSON-LD”或“导出 Turtle”，在浏览器下载目录找到生成的文件。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95011"/>
            <wp:docPr id="14" name="Picture 14" descr="图14 核心问题检查通过，标准导出入口位于同一面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checks-export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5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图14 核心问题检查通过，标准导出入口位于同一面板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352"/>
      </w:tblGrid>
      <w:tr>
        <w:trPr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AF0F5"/>
          </w:tcPr>
          <w:p>
            <w:pPr>
              <w:spacing w:after="60" w:before="60" w:line="269" w:lineRule="auto"/>
            </w:pPr>
            <w:r>
              <w:rPr>
                <w:b/>
                <w:sz w:val="21"/>
              </w:rPr>
              <w:t>格式</w:t>
            </w:r>
          </w:p>
        </w:tc>
        <w:tc>
          <w:tcPr>
            <w:tcW w:type="dxa" w:w="83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AF0F5"/>
          </w:tcPr>
          <w:p>
            <w:pPr>
              <w:spacing w:after="60" w:before="60" w:line="269" w:lineRule="auto"/>
            </w:pPr>
            <w:r>
              <w:rPr>
                <w:b/>
                <w:sz w:val="21"/>
              </w:rPr>
              <w:t>下载文件及用途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JSON-LD</w:t>
            </w:r>
          </w:p>
        </w:tc>
        <w:tc>
          <w:tcPr>
            <w:tcW w:type="dxa" w:w="83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knowledgeos-control.jsonld；适合支持 JSON-LD 的程序与语义工具。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Turtle</w:t>
            </w:r>
          </w:p>
        </w:tc>
        <w:tc>
          <w:tcPr>
            <w:tcW w:type="dxa" w:w="83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knowledgeos-control.ttl；适合人工阅读 RDF 文本或接入 RDF 工具。</w:t>
            </w:r>
          </w:p>
        </w:tc>
      </w:tr>
    </w:tbl>
    <w:p>
      <w:pPr>
        <w:spacing w:after="20"/>
      </w:pPr>
    </w:p>
    <w:p>
      <w:r>
        <w:rPr>
          <w:b w:val="0"/>
        </w:rPr>
        <w:t>导出包含控制面的本体、谓词与关系、术语及生成的校验 Shapes。未提交草稿和待审核提案不会写入导出。已应用而尚未验证发布的控制文件可能已被读取，因此正式对外导出宜在发布完成后进行。</w:t>
      </w:r>
    </w:p>
    <w:p>
      <w:r>
        <w:rPr>
          <w:b w:val="0"/>
        </w:rPr>
        <w:t>3项通过只代表配置的核心问题通过；完整数据校验在草稿预览和编译时执行。此处不提供任意 RDF 导入、实体 CRUD、完整 OWL/SWRL 推理或任意 SPARQL执行。</w:t>
      </w:r>
    </w:p>
    <w:p>
      <w:pPr>
        <w:pStyle w:val="Heading1"/>
        <w:pageBreakBefore/>
      </w:pPr>
      <w:r>
        <w:t>15 按钮不可用时怎样处理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840"/>
      </w:tblGrid>
      <w:tr>
        <w:trPr>
          <w:tblHeader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AF0F5"/>
          </w:tcPr>
          <w:p>
            <w:pPr>
              <w:spacing w:after="60" w:before="60" w:line="269" w:lineRule="auto"/>
            </w:pPr>
            <w:r>
              <w:rPr>
                <w:b/>
                <w:sz w:val="21"/>
              </w:rPr>
              <w:t>你看到的情况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AF0F5"/>
          </w:tcPr>
          <w:p>
            <w:pPr>
              <w:spacing w:after="60" w:before="60" w:line="269" w:lineRule="auto"/>
            </w:pPr>
            <w:r>
              <w:rPr>
                <w:b/>
                <w:sz w:val="21"/>
              </w:rPr>
              <w:t>检查与下一步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检查草稿不能点击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确认名称和说明非空，已登录且具有 propose 权限，并等待正在执行的动作结束。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提交审核不能点击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先执行相应的草稿检查。候选必须兼容；修改字段后需重查。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检查 Agent 草稿不能点击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先导出请求以建立当前请求，再填写 JSON 返回；页面刷新后重新导出。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提交术语审核不能点击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确认已加载词表、常用名称和定义非空，并具有 propose 权限。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批量审核不能点击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确认具有 review 权限，且存在已提议或待审核记录。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预览按钮不能点击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至少选择1项，最多50项；等待当前操作结束。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确认审核不能点击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完成预览，处理所有阻塞项，并填写审核意见。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应用到真源没有出现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记录必须已批准，目标来源须受当前应用机制支持，操作人需要 publish 权限。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验证发布不能点击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先应用到真源，取得真实 source revision；输入非空后才可验证。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导出按钮不能点击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确认已登录、语义摘要成功加载，并等待当前动作结束。</w:t>
            </w:r>
          </w:p>
        </w:tc>
      </w:tr>
    </w:tbl>
    <w:p>
      <w:pPr>
        <w:spacing w:after="20"/>
      </w:pPr>
    </w:p>
    <w:p>
      <w:pPr>
        <w:pStyle w:val="Heading2"/>
      </w:pPr>
      <w:r>
        <w:t>准备刷新页面之前</w:t>
      </w:r>
    </w:p>
    <w:p>
      <w:r>
        <w:rPr>
          <w:b w:val="0"/>
        </w:rPr>
        <w:t>未提交的表单、外部 Agent 返回和当前请求先复制到本地文件。凭证只在页面内存中，刷新后重新登录。已提交记录到审核队列查找；出现网络超时先确认是否已提交，避免马上重建重复概念。</w:t>
      </w:r>
    </w:p>
    <w:p>
      <w:pPr>
        <w:pStyle w:val="Heading1"/>
        <w:pageBreakBefore/>
      </w:pPr>
      <w:r>
        <w:t>16 校验错误与常见误解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840"/>
      </w:tblGrid>
      <w:tr>
        <w:trPr>
          <w:tblHeader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AF0F5"/>
          </w:tcPr>
          <w:p>
            <w:pPr>
              <w:spacing w:after="60" w:before="60" w:line="269" w:lineRule="auto"/>
            </w:pPr>
            <w:r>
              <w:rPr>
                <w:b/>
                <w:sz w:val="21"/>
              </w:rPr>
              <w:t>错误或疑问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AF0F5"/>
          </w:tcPr>
          <w:p>
            <w:pPr>
              <w:spacing w:after="60" w:before="60" w:line="269" w:lineRule="auto"/>
            </w:pPr>
            <w:r>
              <w:rPr>
                <w:b/>
                <w:sz w:val="21"/>
              </w:rPr>
              <w:t>原因和处理方法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该对象已存在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稳定 ID 已有定义。普通表单用于新建；选中原定义从白板修改，或用 Agent update。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ontology request is stale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注册定义已变化。同步控制面，重新导出请求并重新生成返回。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request id mismatch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返回属于另一份请求。重新核对导出的 request_id。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evidence must quote exactly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quote 不是材料的连续原文，或 segment_id 不存在。按导出的 segments 原文引用。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Agent predicate drafts require complete contracts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新谓词缺少完整值、存储或策略配置。参考当前 predicate 示例和已注册策略补全。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候选编译失败或影响不兼容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候选破坏现有引用、类型、必填约束或核心问题。根据报错修正定义；必要时先安排数据迁移，再生成提案。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high-risk independent reviewer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提案人与审核人相同。交给另一位有审核权限的人员处理。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预览或提案版本过期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来源或记录状态在预览后变化。同步并重新预览；本体提案基线变化时重新生成。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检查通过是否业务正确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检查保障规定范围内的格式、引用与兼容性；业务含义仍需审核。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术语别名是否合并实体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别名用于概念表达；不会把不同实体合并，也不自动建立 OWL 等价。</w:t>
            </w:r>
          </w:p>
        </w:tc>
      </w:tr>
    </w:tbl>
    <w:p>
      <w:pPr>
        <w:spacing w:after="20"/>
      </w:pPr>
    </w:p>
    <w:p>
      <w:pPr>
        <w:pStyle w:val="Heading2"/>
      </w:pPr>
      <w:r>
        <w:t>先分清定义和事实</w:t>
      </w:r>
    </w:p>
    <w:p>
      <w:r>
        <w:rPr>
          <w:b w:val="0"/>
        </w:rPr>
        <w:t>“检验报告需要摘要”是建模问题；“报告123于昨天合格”是运营事实。后者由连接器采集并保留来源，不在助手中写成控制定义或企业事实 Markdown。单位、金额、工期和权限等由既有确定性代码负责计算和判断。</w:t>
      </w:r>
    </w:p>
    <w:p>
      <w:pPr>
        <w:pStyle w:val="Heading1"/>
        <w:pageBreakBefore/>
      </w:pPr>
      <w:r>
        <w:t>17 接口接入与交付检查</w:t>
      </w:r>
    </w:p>
    <w:p>
      <w:r>
        <w:rPr>
          <w:b w:val="0"/>
        </w:rPr>
        <w:t>本节供接入外部 Agent 或工具的维护人员阅读。普通用户可直接按前面界面步骤操作。HTTP 接口使用现有 Bearer 身份，actor 和 reviewer 由服务器确定。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5472"/>
      </w:tblGrid>
      <w:tr>
        <w:trPr>
          <w:tblHeader/>
        </w:trPr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AF0F5"/>
          </w:tcPr>
          <w:p>
            <w:pPr>
              <w:spacing w:after="60" w:before="60" w:line="269" w:lineRule="auto"/>
            </w:pPr>
            <w:r>
              <w:rPr>
                <w:b/>
                <w:sz w:val="21"/>
              </w:rPr>
              <w:t>接口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AF0F5"/>
          </w:tcPr>
          <w:p>
            <w:pPr>
              <w:spacing w:after="60" w:before="60" w:line="269" w:lineRule="auto"/>
            </w:pPr>
            <w:r>
              <w:rPr>
                <w:b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POST /v1/ontology/request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准备目标与依据材料，返回请求契约。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POST /v1/ontology/preview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检查 request 与 model_output，返回操作和影响。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POST /v1/ontology/propose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在预览兼容后提出高风险 ChangeSet；支持 idempotency_key。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POST /v1/semantics/vocabulary/propose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提交完整词表候选及 base_revision。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POST /v1/changesets/review-batch/preview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传 ids 和 decision，生成批量预览。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POST /v1/changesets/review-batch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提交预览指纹、意见和明确决定。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GET /v1/semantics/evaluate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运行当前配置的核心问题。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GET /v1/semantics/export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21"/>
              </w:rPr>
              <w:t>按 format=turtle 或 json-ld 导出控制图。</w:t>
            </w:r>
          </w:p>
        </w:tc>
      </w:tr>
    </w:tbl>
    <w:p>
      <w:pPr>
        <w:spacing w:after="20"/>
      </w:pPr>
    </w:p>
    <w:p>
      <w:r>
        <w:rPr>
          <w:b w:val="0"/>
        </w:rPr>
        <w:t>目标最多4000字符，依据材料最多30000字符，Agent 返回最多20项操作。接入时以当前请求携带的 output_schema 和 definition_examples 为准，不自行修改请求指纹。</w:t>
      </w:r>
    </w:p>
    <w:p>
      <w:pPr>
        <w:pStyle w:val="Heading2"/>
      </w:pPr>
      <w:r>
        <w:t>完成一次建模后核对</w:t>
      </w:r>
    </w:p>
    <w:p>
      <w:pPr>
        <w:pStyle w:val="ListBullet"/>
      </w:pPr>
      <w:r>
        <w:t>审核队列中的记录已发布，发布记录和源修订可追溯。</w:t>
      </w:r>
    </w:p>
    <w:p>
      <w:pPr>
        <w:pStyle w:val="ListBullet"/>
      </w:pPr>
      <w:r>
        <w:t>白板中可以找到目标 ID，名称、说明、生命周期及属性符合预期。</w:t>
      </w:r>
    </w:p>
    <w:p>
      <w:pPr>
        <w:pStyle w:val="ListBullet"/>
      </w:pPr>
      <w:r>
        <w:t>需要统一叫法时，术语提案也已完成应用与发布。</w:t>
      </w:r>
    </w:p>
    <w:p>
      <w:pPr>
        <w:pStyle w:val="ListBullet"/>
      </w:pPr>
      <w:r>
        <w:t>标准对外交换文件从已完成发布的控制源导出。</w:t>
      </w:r>
    </w:p>
    <w:p>
      <w:r>
        <w:rPr>
          <w:b w:val="0"/>
        </w:rPr>
        <w:t>本指导书基于 KnowledgeOS 4.0.0 的实际界面与源码 b9d7718，包含14张实操截图。截图示例在隔离工作区中执行了模板建模、Agent格式检查、术语提案、独立审核、应用、发布及批量审核；生产工作区没有新增教学提案。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KnowledgeOS 4.0  使用指导书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eastAsia="Heiti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 w:before="0"/>
    </w:pPr>
    <w:rPr>
      <w:rFonts w:ascii="Arial" w:hAnsi="Arial" w:eastAsia="Hei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 w:line="293" w:lineRule="auto"/>
      <w:outlineLvl w:val="0"/>
    </w:pPr>
    <w:rPr>
      <w:rFonts w:cstheme="majorBidi" w:ascii="Arial" w:hAnsi="Arial" w:eastAsia="Heiti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60" w:line="293" w:lineRule="auto"/>
      <w:outlineLvl w:val="1"/>
    </w:pPr>
    <w:rPr>
      <w:rFonts w:cstheme="majorBidi" w:ascii="Arial" w:hAnsi="Arial" w:eastAsia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 w:line="293" w:lineRule="auto"/>
      <w:outlineLvl w:val="2"/>
    </w:pPr>
    <w:rPr>
      <w:rFonts w:cstheme="majorBidi" w:ascii="Arial" w:hAnsi="Arial" w:eastAsia="Heiti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eastAsia="Hei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eastAsia="Hei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eastAsia="Hei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eastAsia="Hei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eastAsia="Hei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eastAsia="Hei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eastAsia="Heiti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eastAsia="Heiti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eastAsia="Heiti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93" w:lineRule="auto" w:before="0"/>
      <w:contextualSpacing/>
    </w:pPr>
    <w:rPr>
      <w:rFonts w:cstheme="majorBidi" w:ascii="Arial" w:hAnsi="Arial" w:eastAsia="Heiti SC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eastAsia="Heiti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93" w:lineRule="auto" w:after="120" w:before="0"/>
    </w:pPr>
    <w:rPr>
      <w:rFonts w:cstheme="majorBidi" w:ascii="Arial" w:hAnsi="Arial" w:eastAsia="Heiti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eastAsia="Heiti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93" w:lineRule="auto" w:after="120" w:before="0"/>
      <w:contextualSpacing/>
    </w:pPr>
    <w:rPr>
      <w:rFonts w:ascii="Arial" w:hAnsi="Arial" w:eastAsia="Heiti SC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93" w:lineRule="auto" w:after="120" w:before="0"/>
      <w:contextualSpacing/>
    </w:pPr>
    <w:rPr>
      <w:rFonts w:ascii="Arial" w:hAnsi="Arial" w:eastAsia="Heiti SC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Hei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Heiti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eastAsia="Heiti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eastAsia="Heiti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eastAsia="Heiti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eastAsia="Heiti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eastAsia="Heiti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eastAsia="Heiti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after="160" w:before="0"/>
    </w:pPr>
    <w:rPr>
      <w:rFonts w:ascii="Arial" w:hAnsi="Arial" w:eastAsia="Heiti SC"/>
      <w:b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KnowledgeOS 建模助手使用指导书</dc:title>
  <dc:subject>KnowledgeOS 4.0 建模助手与治理流程操作说明</dc:subject>
  <dc:creator>KnowledgeOS</dc:creator>
  <cp:keywords>建模助手 业务术语 Agent 审核 发布 SHACL SKOS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