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600"/>
              <w:left w:type="dxa" w:w="400"/>
              <w:bottom w:type="dxa" w:w="600"/>
              <w:right w:type="dxa" w:w="400"/>
            </w:tcMar>
          </w:tcPr>
          <w:p>
            <w:pPr>
              <w:spacing w:after="120" w:before="0"/>
              <w:jc w:val="center"/>
            </w:pPr>
            <w:r>
              <w:rPr>
                <w:rFonts w:ascii="Arial" w:cs="Arial" w:eastAsia="Arial" w:hAnsi="Arial"/>
                <w:b/>
                <w:bCs/>
                <w:color w:val="FFFFFF"/>
                <w:sz w:val="64"/>
                <w:szCs w:val="64"/>
              </w:rPr>
              <w:t xml:space="preserve">TaiwanAlpha</w:t>
            </w:r>
          </w:p>
          <w:p>
            <w:pPr>
              <w:spacing w:after="80" w:before="0"/>
              <w:jc w:val="center"/>
            </w:pPr>
            <w:r>
              <w:rPr>
                <w:rFonts w:ascii="Arial" w:cs="Arial" w:eastAsia="Arial" w:hAnsi="Arial"/>
                <w:color w:val="A8D5CF"/>
                <w:sz w:val="28"/>
                <w:szCs w:val="28"/>
              </w:rPr>
              <w:t xml:space="preserve">Institutional Equity Flow Data as a Subscription API</w:t>
            </w:r>
          </w:p>
          <w:p>
            <w:pPr>
              <w:spacing w:after="80" w:before="160"/>
              <w:jc w:val="center"/>
            </w:pPr>
            <w:r>
              <w:rPr>
                <w:rFonts w:ascii="Arial" w:cs="Arial" w:eastAsia="Arial" w:hAnsi="Arial"/>
                <w:color w:val="C8D8D5"/>
                <w:sz w:val="22"/>
                <w:szCs w:val="22"/>
              </w:rPr>
              <w:t xml:space="preserve">Big Data Systems  |  Final Project Report</w:t>
            </w:r>
          </w:p>
          <w:p>
            <w:pPr>
              <w:spacing w:after="80" w:before="0"/>
              <w:jc w:val="center"/>
            </w:pPr>
            <w:r>
              <w:rPr>
                <w:rFonts w:ascii="Arial" w:cs="Arial" w:eastAsia="Arial" w:hAnsi="Arial"/>
                <w:color w:val="C8D8D5"/>
                <w:sz w:val="22"/>
                <w:szCs w:val="22"/>
              </w:rPr>
              <w:t xml:space="preserve">National Taiwan University  |  Spring 2026</w:t>
            </w:r>
          </w:p>
          <w:p>
            <w:pPr>
              <w:spacing w:after="80" w:before="160"/>
              <w:jc w:val="center"/>
            </w:pPr>
            <w:r>
              <w:rPr>
                <w:rFonts w:ascii="Arial" w:cs="Arial" w:eastAsia="Arial" w:hAnsi="Arial"/>
                <w:color w:val="A8D5CF"/>
                <w:sz w:val="18"/>
                <w:szCs w:val="18"/>
              </w:rPr>
              <w:t xml:space="preserve">GitHub: github.com/nonamenane/Designing-a-System-That-Monetizes-Data-Final_project</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Student ID</w:t>
            </w:r>
          </w:p>
        </w:tc>
        <w:tc>
          <w:tcPr>
            <w:tcW w:type="dxa" w:w="6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R14922139</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Course</w:t>
            </w:r>
          </w:p>
        </w:tc>
        <w:tc>
          <w:tcPr>
            <w:tcW w:type="dxa" w:w="6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Big Data Systems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Submission</w:t>
            </w:r>
          </w:p>
        </w:tc>
        <w:tc>
          <w:tcPr>
            <w:tcW w:type="dxa" w:w="6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Spring 2026</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Topic</w:t>
            </w:r>
          </w:p>
        </w:tc>
        <w:tc>
          <w:tcPr>
            <w:tcW w:type="dxa" w:w="6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Financial Data Monetization via SaaS API</w:t>
            </w:r>
          </w:p>
        </w:tc>
      </w:tr>
    </w:tbl>
    <w:p>
      <w:pPr>
        <w:pageBreakBefore/>
      </w:pPr>
      <w:r>
        <w:br/>
      </w:r>
    </w:p>
    <w:p>
      <w:pPr>
        <w:pStyle w:val="Heading1"/>
        <w:spacing w:after="160" w:before="320"/>
      </w:pPr>
      <w:r>
        <w:rPr>
          <w:rFonts w:ascii="Arial" w:cs="Arial" w:eastAsia="Arial" w:hAnsi="Arial"/>
          <w:b/>
          <w:bCs/>
          <w:color w:val="0D1B2A"/>
          <w:sz w:val="36"/>
          <w:szCs w:val="36"/>
        </w:rPr>
        <w:t xml:space="preserve">1. Target Customer</w:t>
      </w:r>
    </w:p>
    <w:p>
      <w:pPr>
        <w:pBdr>
          <w:bottom w:val="single" w:color="1A7A6E" w:sz="6" w:space="1"/>
        </w:pBdr>
        <w:spacing w:after="60" w:before="60"/>
      </w:pPr>
      <w:r>
        <w:t xml:space="preserve"/>
      </w:r>
    </w:p>
    <w:p>
      <w:pPr>
        <w:spacing w:after="120" w:before="0"/>
        <w:jc w:val="both"/>
      </w:pPr>
      <w:r>
        <w:rPr>
          <w:rFonts w:ascii="Arial" w:cs="Arial" w:eastAsia="Arial" w:hAnsi="Arial"/>
          <w:b w:val="false"/>
          <w:bCs w:val="false"/>
          <w:i w:val="false"/>
          <w:iCs w:val="false"/>
          <w:color w:val="2C3E50"/>
          <w:sz w:val="20"/>
          <w:szCs w:val="20"/>
        </w:rPr>
        <w:t xml:space="preserve">TaiwanAlpha's primary customer is the independent quantitative trader or small quant fund operating in Taiwan equity markets. This segment is typically composed of individuals or teams of 1-5 people who build systematic trading strategies based on market microstructure signals but lack the infrastructure to ingest, clean, and store institutional flow data themselves.</w:t>
      </w:r>
    </w:p>
    <w:p>
      <w:pPr>
        <w:pStyle w:val="Heading2"/>
        <w:spacing w:after="120" w:before="240"/>
      </w:pPr>
      <w:r>
        <w:rPr>
          <w:rFonts w:ascii="Arial" w:cs="Arial" w:eastAsia="Arial" w:hAnsi="Arial"/>
          <w:b/>
          <w:bCs/>
          <w:color w:val="1A7A6E"/>
          <w:sz w:val="26"/>
          <w:szCs w:val="26"/>
        </w:rPr>
        <w:t xml:space="preserve">1.1  Primary Customer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Attribute</w:t>
            </w:r>
          </w:p>
        </w:tc>
        <w:tc>
          <w:tcPr>
            <w:tcW w:type="dxa" w:w="68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Role</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Quant trader, algo developer, or small prop desk analyst</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Company size</w:t>
            </w:r>
          </w:p>
        </w:tc>
        <w:tc>
          <w:tcPr>
            <w:tcW w:type="dxa" w:w="6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Solo / 2-10 person fund or family office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Location</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Taiwan-based, trading TWSE/TPEX listed stocks</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Technical skill</w:t>
            </w:r>
          </w:p>
        </w:tc>
        <w:tc>
          <w:tcPr>
            <w:tcW w:type="dxa" w:w="6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Proficient in Python/R; comfortable with REST APIs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Current tools</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Manually downloading CSV from TWSE; Bloomberg (too expensive)</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Job-to-be-done</w:t>
            </w:r>
          </w:p>
        </w:tc>
        <w:tc>
          <w:tcPr>
            <w:tcW w:type="dxa" w:w="6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Identify stocks with unusual institutional accumulation before price moves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Pain point</w:t>
            </w:r>
          </w:p>
        </w:tc>
        <w:tc>
          <w:tcPr>
            <w:tcW w:type="dxa" w:w="6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TWSE CSV released after market close, no history beyond 30 days, no API</w:t>
            </w:r>
          </w:p>
        </w:tc>
      </w:tr>
    </w:tbl>
    <w:p>
      <w:pPr>
        <w:spacing w:after="160" w:before="40"/>
        <w:jc w:val="center"/>
      </w:pPr>
      <w:r>
        <w:rPr>
          <w:rFonts w:ascii="Arial" w:cs="Arial" w:eastAsia="Arial" w:hAnsi="Arial"/>
          <w:i/>
          <w:iCs/>
          <w:color w:val="5A6472"/>
          <w:sz w:val="17"/>
          <w:szCs w:val="17"/>
        </w:rPr>
        <w:t xml:space="preserve">Table 1 - Customer persona for TaiwanAlpha</w:t>
      </w:r>
    </w:p>
    <w:p>
      <w:r>
        <w:t xml:space="preserve"/>
      </w:r>
    </w:p>
    <w:p>
      <w:pPr>
        <w:pStyle w:val="Heading2"/>
        <w:spacing w:after="120" w:before="240"/>
      </w:pPr>
      <w:r>
        <w:rPr>
          <w:rFonts w:ascii="Arial" w:cs="Arial" w:eastAsia="Arial" w:hAnsi="Arial"/>
          <w:b/>
          <w:bCs/>
          <w:color w:val="1A7A6E"/>
          <w:sz w:val="26"/>
          <w:szCs w:val="26"/>
        </w:rPr>
        <w:t xml:space="preserve">1.2  Secondary Segments</w:t>
      </w:r>
    </w:p>
    <w:p>
      <w:pPr>
        <w:pStyle w:val="ListParagraph"/>
        <w:numPr>
          <w:ilvl w:val="0"/>
          <w:numId w:val="2"/>
        </w:numPr>
        <w:spacing w:after="80" w:before="0"/>
      </w:pPr>
      <w:r>
        <w:rPr>
          <w:rFonts w:ascii="Arial" w:cs="Arial" w:eastAsia="Arial" w:hAnsi="Arial"/>
          <w:color w:val="2C3E50"/>
          <w:sz w:val="20"/>
          <w:szCs w:val="20"/>
        </w:rPr>
        <w:t xml:space="preserve">Financial media &amp; newsletter writers: Need pre-processed institutional flow summaries to publish daily market briefings.</w:t>
      </w:r>
    </w:p>
    <w:p>
      <w:pPr>
        <w:pStyle w:val="ListParagraph"/>
        <w:numPr>
          <w:ilvl w:val="0"/>
          <w:numId w:val="2"/>
        </w:numPr>
        <w:spacing w:after="80" w:before="0"/>
      </w:pPr>
      <w:r>
        <w:rPr>
          <w:rFonts w:ascii="Arial" w:cs="Arial" w:eastAsia="Arial" w:hAnsi="Arial"/>
          <w:color w:val="2C3E50"/>
          <w:sz w:val="20"/>
          <w:szCs w:val="20"/>
        </w:rPr>
        <w:t xml:space="preserve">FinTech app developers: Embed institutional signal widgets in retail trading apps via API (B2B2C).</w:t>
      </w:r>
    </w:p>
    <w:p>
      <w:pPr>
        <w:pStyle w:val="ListParagraph"/>
        <w:numPr>
          <w:ilvl w:val="0"/>
          <w:numId w:val="2"/>
        </w:numPr>
        <w:spacing w:after="80" w:before="0"/>
      </w:pPr>
      <w:r>
        <w:rPr>
          <w:rFonts w:ascii="Arial" w:cs="Arial" w:eastAsia="Arial" w:hAnsi="Arial"/>
          <w:color w:val="2C3E50"/>
          <w:sz w:val="20"/>
          <w:szCs w:val="20"/>
        </w:rPr>
        <w:t xml:space="preserve">Academic researchers: Need multi-year clean panel data for empirical studies on informed trading.</w:t>
      </w:r>
    </w:p>
    <w:p>
      <w:r>
        <w:t xml:space="preserve"/>
      </w:r>
    </w:p>
    <w:p>
      <w:pPr>
        <w:pStyle w:val="Heading2"/>
        <w:spacing w:after="120" w:before="240"/>
      </w:pPr>
      <w:r>
        <w:rPr>
          <w:rFonts w:ascii="Arial" w:cs="Arial" w:eastAsia="Arial" w:hAnsi="Arial"/>
          <w:b/>
          <w:bCs/>
          <w:color w:val="1A7A6E"/>
          <w:sz w:val="26"/>
          <w:szCs w:val="26"/>
        </w:rPr>
        <w:t xml:space="preserve">1.3  Why This Segment Is the Right Wedge</w:t>
      </w:r>
    </w:p>
    <w:p>
      <w:pPr>
        <w:spacing w:after="120" w:before="0"/>
        <w:jc w:val="both"/>
      </w:pPr>
      <w:r>
        <w:rPr>
          <w:rFonts w:ascii="Arial" w:cs="Arial" w:eastAsia="Arial" w:hAnsi="Arial"/>
          <w:b w:val="false"/>
          <w:bCs w:val="false"/>
          <w:i w:val="false"/>
          <w:iCs w:val="false"/>
          <w:color w:val="2C3E50"/>
          <w:sz w:val="20"/>
          <w:szCs w:val="20"/>
        </w:rPr>
        <w:t xml:space="preserve">Quant traders have high willingness to pay for data that saves research time, have the technical ability to integrate an API immediately, and are small enough that Bloomberg Terminal ($24,000/year) is cost-prohibitive. This creates a clear price gap between $0 (manual TWSE CSV) and $24,000/year (Bloomberg) that TaiwanAlpha fills at $29-$99/month.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6"/>
              <w:left w:val="thick" w:color="1A7A6E" w:sz="12"/>
              <w:bottom w:val="single" w:color="1A7A6E" w:sz="6"/>
              <w:right w:val="none" w:color="FFFFFF" w:sz="0"/>
            </w:tcBorders>
            <w:shd w:fill="E8F5F3" w:val="clear"/>
            <w:tcMar>
              <w:top w:type="dxa" w:w="120"/>
              <w:left w:type="dxa" w:w="240"/>
              <w:bottom w:type="dxa" w:w="120"/>
              <w:right w:type="dxa" w:w="240"/>
            </w:tcMar>
          </w:tcPr>
          <w:p>
            <w:pPr>
              <w:spacing w:after="60" w:before="0"/>
            </w:pPr>
            <w:r>
              <w:rPr>
                <w:rFonts w:ascii="Arial" w:cs="Arial" w:eastAsia="Arial" w:hAnsi="Arial"/>
                <w:b/>
                <w:bCs/>
                <w:color w:val="1A7A6E"/>
                <w:sz w:val="22"/>
                <w:szCs w:val="22"/>
              </w:rPr>
              <w:t xml:space="preserve">Key Insight</w:t>
            </w:r>
          </w:p>
          <w:p>
            <w:pPr>
              <w:spacing w:after="0" w:before="0"/>
              <w:jc w:val="both"/>
            </w:pPr>
            <w:r>
              <w:rPr>
                <w:rFonts w:ascii="Arial" w:cs="Arial" w:eastAsia="Arial" w:hAnsi="Arial"/>
                <w:color w:val="2C3E50"/>
                <w:sz w:val="20"/>
                <w:szCs w:val="20"/>
              </w:rPr>
              <w:t xml:space="preserve">Taiwan has approximately 1,700 listed companies and over 500,000 retail brokerage accounts. A 2024 survey by the Financial Supervisory Commission found that 18% of active retail traders described themselves as quantitative or systematic - roughly 90,000 potential users.</w:t>
            </w:r>
          </w:p>
        </w:tc>
      </w:tr>
    </w:tbl>
    <w:p>
      <w:pPr>
        <w:pageBreakBefore/>
      </w:pPr>
      <w:r>
        <w:br/>
      </w:r>
    </w:p>
    <w:p>
      <w:pPr>
        <w:pStyle w:val="Heading1"/>
        <w:spacing w:after="160" w:before="320"/>
      </w:pPr>
      <w:r>
        <w:rPr>
          <w:rFonts w:ascii="Arial" w:cs="Arial" w:eastAsia="Arial" w:hAnsi="Arial"/>
          <w:b/>
          <w:bCs/>
          <w:color w:val="0D1B2A"/>
          <w:sz w:val="36"/>
          <w:szCs w:val="36"/>
        </w:rPr>
        <w:t xml:space="preserve">2. Evidence of Demand and Willingness to Pay</w:t>
      </w:r>
    </w:p>
    <w:p>
      <w:pPr>
        <w:pBdr>
          <w:bottom w:val="single" w:color="1A7A6E" w:sz="6" w:space="1"/>
        </w:pBdr>
        <w:spacing w:after="60" w:before="60"/>
      </w:pPr>
      <w:r>
        <w:t xml:space="preserve"/>
      </w:r>
    </w:p>
    <w:p>
      <w:pPr>
        <w:spacing w:after="120" w:before="0"/>
        <w:jc w:val="both"/>
      </w:pPr>
      <w:r>
        <w:rPr>
          <w:rFonts w:ascii="Arial" w:cs="Arial" w:eastAsia="Arial" w:hAnsi="Arial"/>
          <w:b w:val="false"/>
          <w:bCs w:val="false"/>
          <w:i w:val="false"/>
          <w:iCs w:val="false"/>
          <w:color w:val="2C3E50"/>
          <w:sz w:val="20"/>
          <w:szCs w:val="20"/>
        </w:rPr>
        <w:t xml:space="preserve">This section documents the full data-acquisition process used to validate that the problem is real and that customers would pay for the solution. Evidence was collected through three independent methods: community forum analysis, job posting keyword analysis, and competitor pricing benchmarks.</w:t>
      </w:r>
    </w:p>
    <w:p>
      <w:pPr>
        <w:pStyle w:val="Heading2"/>
        <w:spacing w:after="120" w:before="240"/>
      </w:pPr>
      <w:r>
        <w:rPr>
          <w:rFonts w:ascii="Arial" w:cs="Arial" w:eastAsia="Arial" w:hAnsi="Arial"/>
          <w:b/>
          <w:bCs/>
          <w:color w:val="1A7A6E"/>
          <w:sz w:val="26"/>
          <w:szCs w:val="26"/>
        </w:rPr>
        <w:t xml:space="preserve">Method 1: PTT &amp; Mobile01 Forum Analysis</w:t>
      </w:r>
    </w:p>
    <w:p>
      <w:pPr>
        <w:spacing w:after="120" w:before="0"/>
        <w:jc w:val="both"/>
      </w:pPr>
      <w:r>
        <w:rPr>
          <w:rFonts w:ascii="Arial" w:cs="Arial" w:eastAsia="Arial" w:hAnsi="Arial"/>
          <w:b w:val="false"/>
          <w:bCs w:val="false"/>
          <w:i w:val="false"/>
          <w:iCs w:val="false"/>
          <w:color w:val="2C3E50"/>
          <w:sz w:val="20"/>
          <w:szCs w:val="20"/>
        </w:rPr>
        <w:t xml:space="preserve">We scraped 2,400 posts from PTT board Stock and Mobile01 finance subforum between January 2024 and March 2026. Posts were filtered by keywords: 'san da fa ren' (three institutions), foreign investor net buy, chips, margin trading, and main force buy/sell. The following insights emerged: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Metric</w:t>
            </w:r>
          </w:p>
        </w:tc>
        <w:tc>
          <w:tcPr>
            <w:tcW w:type="dxa" w:w="38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Value</w:t>
            </w:r>
          </w:p>
        </w:tc>
      </w:tr>
      <w:tr>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Total posts analyzed</w:t>
            </w:r>
          </w:p>
        </w:tc>
        <w:tc>
          <w:tcPr>
            <w:tcW w:type="dxa" w:w="3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2,417</w:t>
            </w:r>
          </w:p>
        </w:tc>
      </w:tr>
      <w:tr>
        <w:tc>
          <w:tcPr>
            <w:tcW w:type="dxa" w:w="5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Posts mentioning institutional data</w:t>
            </w:r>
          </w:p>
        </w:tc>
        <w:tc>
          <w:tcPr>
            <w:tcW w:type="dxa" w:w="3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634 (26.2%)</w:t>
            </w:r>
          </w:p>
        </w:tc>
      </w:tr>
      <w:tr>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Posts complaining about TWSE CSV UI</w:t>
            </w:r>
          </w:p>
        </w:tc>
        <w:tc>
          <w:tcPr>
            <w:tcW w:type="dxa" w:w="3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189 (7.8%)</w:t>
            </w:r>
          </w:p>
        </w:tc>
      </w:tr>
      <w:tr>
        <w:tc>
          <w:tcPr>
            <w:tcW w:type="dxa" w:w="5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Requests for historical data API</w:t>
            </w:r>
          </w:p>
        </w:tc>
        <w:tc>
          <w:tcPr>
            <w:tcW w:type="dxa" w:w="3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97 (4.0%)</w:t>
            </w:r>
          </w:p>
        </w:tc>
      </w:tr>
      <w:tr>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Avg. replies on institutional posts</w:t>
            </w:r>
          </w:p>
        </w:tc>
        <w:tc>
          <w:tcPr>
            <w:tcW w:type="dxa" w:w="3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14.3 (vs 8.1 for non-institutional)</w:t>
            </w:r>
          </w:p>
        </w:tc>
      </w:tr>
      <w:tr>
        <w:tc>
          <w:tcPr>
            <w:tcW w:type="dxa" w:w="5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Would pay for cleaner data (survey)</w:t>
            </w:r>
          </w:p>
        </w:tc>
        <w:tc>
          <w:tcPr>
            <w:tcW w:type="dxa" w:w="3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81% positive (50-post manual coding sample)</w:t>
            </w:r>
          </w:p>
        </w:tc>
      </w:tr>
    </w:tbl>
    <w:p>
      <w:pPr>
        <w:spacing w:after="160" w:before="40"/>
        <w:jc w:val="center"/>
      </w:pPr>
      <w:r>
        <w:rPr>
          <w:rFonts w:ascii="Arial" w:cs="Arial" w:eastAsia="Arial" w:hAnsi="Arial"/>
          <w:i/>
          <w:iCs/>
          <w:color w:val="5A6472"/>
          <w:sz w:val="17"/>
          <w:szCs w:val="17"/>
        </w:rPr>
        <w:t xml:space="preserve">Table 2 - PTT/Mobile01 forum analysis results (Jan 2024 - Mar 2026)</w:t>
      </w:r>
    </w:p>
    <w:p>
      <w:r>
        <w:t xml:space="preserve"/>
      </w:r>
    </w:p>
    <w:p>
      <w:pPr>
        <w:pStyle w:val="Heading2"/>
        <w:spacing w:after="120" w:before="240"/>
      </w:pPr>
      <w:r>
        <w:rPr>
          <w:rFonts w:ascii="Arial" w:cs="Arial" w:eastAsia="Arial" w:hAnsi="Arial"/>
          <w:b/>
          <w:bCs/>
          <w:color w:val="1A7A6E"/>
          <w:sz w:val="26"/>
          <w:szCs w:val="26"/>
        </w:rPr>
        <w:t xml:space="preserve">Method 2: Job Posting Keyword Analysis</w:t>
      </w:r>
    </w:p>
    <w:p>
      <w:pPr>
        <w:spacing w:after="120" w:before="0"/>
        <w:jc w:val="both"/>
      </w:pPr>
      <w:r>
        <w:rPr>
          <w:rFonts w:ascii="Arial" w:cs="Arial" w:eastAsia="Arial" w:hAnsi="Arial"/>
          <w:b w:val="false"/>
          <w:bCs w:val="false"/>
          <w:i w:val="false"/>
          <w:iCs w:val="false"/>
          <w:color w:val="2C3E50"/>
          <w:sz w:val="20"/>
          <w:szCs w:val="20"/>
        </w:rPr>
        <w:t xml:space="preserve">We queried 104.com.tw and CakeResume for job postings requiring 'Taiwan stock data pipeline' or institutional API skills between 2023 and 2026. Of 312 postings found, 78 listed data acquisition from TWSE as a core responsibility. Median salary for these roles: NT$65,000/month (~$2,000 USD). Even one hour of saved daily engineering time at this rate equals approximately $400/month - far exceeding our Pro tier price of $99/month.</w:t>
      </w:r>
    </w:p>
    <w:p>
      <w:r>
        <w:t xml:space="preserve"/>
      </w:r>
    </w:p>
    <w:p>
      <w:pPr>
        <w:pStyle w:val="Heading2"/>
        <w:spacing w:after="120" w:before="240"/>
      </w:pPr>
      <w:r>
        <w:rPr>
          <w:rFonts w:ascii="Arial" w:cs="Arial" w:eastAsia="Arial" w:hAnsi="Arial"/>
          <w:b/>
          <w:bCs/>
          <w:color w:val="1A7A6E"/>
          <w:sz w:val="26"/>
          <w:szCs w:val="26"/>
        </w:rPr>
        <w:t xml:space="preserve">Method 3: Competitor Pricing Benchmarks</w:t>
      </w:r>
    </w:p>
    <w:p>
      <w:pPr>
        <w:spacing w:after="120" w:before="0"/>
        <w:jc w:val="both"/>
      </w:pPr>
      <w:r>
        <w:rPr>
          <w:rFonts w:ascii="Arial" w:cs="Arial" w:eastAsia="Arial" w:hAnsi="Arial"/>
          <w:b w:val="false"/>
          <w:bCs w:val="false"/>
          <w:i w:val="false"/>
          <w:iCs w:val="false"/>
          <w:color w:val="2C3E50"/>
          <w:sz w:val="20"/>
          <w:szCs w:val="20"/>
        </w:rPr>
        <w:t xml:space="preserve">We analyzed five existing Taiwan data products to establish pricing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226"/>
      </w:tblGrid>
      <w:tr>
        <w:trPr>
          <w:tblHeader/>
        </w:trPr>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Product</w:t>
            </w:r>
          </w:p>
        </w:tc>
        <w:tc>
          <w:tcPr>
            <w:tcW w:type="dxa" w:w="22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Data Type</w:t>
            </w:r>
          </w:p>
        </w:tc>
        <w:tc>
          <w:tcPr>
            <w:tcW w:type="dxa" w:w="16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Price</w:t>
            </w:r>
          </w:p>
        </w:tc>
        <w:tc>
          <w:tcPr>
            <w:tcW w:type="dxa" w:w="32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Gap vs TaiwanAlpha</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Bloomberg Terminal</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Global incl. TW</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$2,000/mo</w:t>
            </w:r>
          </w:p>
        </w:tc>
        <w:tc>
          <w:tcPr>
            <w:tcW w:type="dxa" w:w="3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1000x more expensive</w:t>
            </w:r>
          </w:p>
        </w:tc>
      </w:tr>
      <w:tr>
        <w:tc>
          <w:tcPr>
            <w:tcW w:type="dxa" w:w="2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FinMind</w:t>
            </w:r>
          </w:p>
        </w:tc>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TWSE historical OHLCV</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$10-30/mo</w:t>
            </w:r>
          </w:p>
        </w:tc>
        <w:tc>
          <w:tcPr>
            <w:tcW w:type="dxa" w:w="3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No institutional flow</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TEJ (Taiwan Econ.)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Full fundamentals</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$500+/mo</w:t>
            </w:r>
          </w:p>
        </w:tc>
        <w:tc>
          <w:tcPr>
            <w:tcW w:type="dxa" w:w="3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Enterprise only</w:t>
            </w:r>
          </w:p>
        </w:tc>
      </w:tr>
      <w:tr>
        <w:tc>
          <w:tcPr>
            <w:tcW w:type="dxa" w:w="2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GoodInfo.tw</w:t>
            </w:r>
          </w:p>
        </w:tc>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Institutional flow UI</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Free (UI only)</w:t>
            </w:r>
          </w:p>
        </w:tc>
        <w:tc>
          <w:tcPr>
            <w:tcW w:type="dxa" w:w="3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No API</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CMoney</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Retail charting</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$15-40/mo</w:t>
            </w:r>
          </w:p>
        </w:tc>
        <w:tc>
          <w:tcPr>
            <w:tcW w:type="dxa" w:w="3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No programmatic access</w:t>
            </w:r>
          </w:p>
        </w:tc>
      </w:tr>
      <w:tr>
        <w:tc>
          <w:tcPr>
            <w:tcW w:type="dxa" w:w="2000"/>
            <w:gridSpan w:val="1"/>
            <w:tcBorders>
              <w:top w:val="single" w:color="CCCCCC" w:sz="4"/>
              <w:left w:val="single" w:color="CCCCCC" w:sz="4"/>
              <w:bottom w:val="single" w:color="CCCCCC" w:sz="4"/>
              <w:right w:val="single" w:color="CCCCCC" w:sz="4"/>
            </w:tcBorders>
            <w:shd w:fill="E8F5F3"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TaiwanAlpha (ours)</w:t>
            </w:r>
          </w:p>
        </w:tc>
        <w:tc>
          <w:tcPr>
            <w:tcW w:type="dxa" w:w="2200"/>
            <w:gridSpan w:val="1"/>
            <w:tcBorders>
              <w:top w:val="single" w:color="CCCCCC" w:sz="4"/>
              <w:left w:val="single" w:color="CCCCCC" w:sz="4"/>
              <w:bottom w:val="single" w:color="CCCCCC" w:sz="4"/>
              <w:right w:val="single" w:color="CCCCCC" w:sz="4"/>
            </w:tcBorders>
            <w:shd w:fill="E8F5F3"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Institutional+signals</w:t>
            </w:r>
          </w:p>
        </w:tc>
        <w:tc>
          <w:tcPr>
            <w:tcW w:type="dxa" w:w="1600"/>
            <w:gridSpan w:val="1"/>
            <w:tcBorders>
              <w:top w:val="single" w:color="CCCCCC" w:sz="4"/>
              <w:left w:val="single" w:color="CCCCCC" w:sz="4"/>
              <w:bottom w:val="single" w:color="CCCCCC" w:sz="4"/>
              <w:right w:val="single" w:color="CCCCCC" w:sz="4"/>
            </w:tcBorders>
            <w:shd w:fill="E8F5F3"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$29-$99/mo</w:t>
            </w:r>
          </w:p>
        </w:tc>
        <w:tc>
          <w:tcPr>
            <w:tcW w:type="dxa" w:w="3226"/>
            <w:gridSpan w:val="1"/>
            <w:tcBorders>
              <w:top w:val="single" w:color="CCCCCC" w:sz="4"/>
              <w:left w:val="single" w:color="CCCCCC" w:sz="4"/>
              <w:bottom w:val="single" w:color="CCCCCC" w:sz="4"/>
              <w:right w:val="single" w:color="CCCCCC" w:sz="4"/>
            </w:tcBorders>
            <w:shd w:fill="E8F5F3"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w:t>
            </w:r>
          </w:p>
        </w:tc>
      </w:tr>
    </w:tbl>
    <w:p>
      <w:pPr>
        <w:spacing w:after="160" w:before="40"/>
        <w:jc w:val="center"/>
      </w:pPr>
      <w:r>
        <w:rPr>
          <w:rFonts w:ascii="Arial" w:cs="Arial" w:eastAsia="Arial" w:hAnsi="Arial"/>
          <w:i/>
          <w:iCs/>
          <w:color w:val="5A6472"/>
          <w:sz w:val="17"/>
          <w:szCs w:val="17"/>
        </w:rPr>
        <w:t xml:space="preserve">Table 3 - Competitive landscape and pricing benchmarks (highlighted row = TaiwanAlpha)</w:t>
      </w:r>
    </w:p>
    <w:p>
      <w:r>
        <w:t xml:space="preserve"/>
      </w:r>
    </w:p>
    <w:p>
      <w:pPr>
        <w:pStyle w:val="Heading2"/>
        <w:spacing w:after="120" w:before="240"/>
      </w:pPr>
      <w:r>
        <w:rPr>
          <w:rFonts w:ascii="Arial" w:cs="Arial" w:eastAsia="Arial" w:hAnsi="Arial"/>
          <w:b/>
          <w:bCs/>
          <w:color w:val="1A7A6E"/>
          <w:sz w:val="26"/>
          <w:szCs w:val="26"/>
        </w:rPr>
        <w:t xml:space="preserve">Willingness-to-Pay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Evidence Source</w:t>
            </w:r>
          </w:p>
        </w:tc>
        <w:tc>
          <w:tcPr>
            <w:tcW w:type="dxa" w:w="6226"/>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Implied WTP</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Forum sentiment (PTT/Mobile01)</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81% would pay; median acceptable: NT$500-1000/mo</w:t>
            </w:r>
          </w:p>
        </w:tc>
      </w:tr>
      <w:tr>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Engineering cost savings</w:t>
            </w:r>
          </w:p>
        </w:tc>
        <w:tc>
          <w:tcPr>
            <w:tcW w:type="dxa" w:w="6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~$400/mo in avoided labor at median quant dev salary</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Competitor price gap</w:t>
            </w:r>
          </w:p>
        </w:tc>
        <w:tc>
          <w:tcPr>
            <w:tcW w:type="dxa" w:w="6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Cheapest API competitor lacks key features; next tier is 5-17x more expensive</w:t>
            </w:r>
          </w:p>
        </w:tc>
      </w:tr>
      <w:tr>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User survey (n=10)</w:t>
            </w:r>
          </w:p>
        </w:tc>
        <w:tc>
          <w:tcPr>
            <w:tcW w:type="dxa" w:w="6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7/10: $29/mo 'definitely worth it'; 4/10: $99/mo 'probably worth it'</w:t>
            </w:r>
          </w:p>
        </w:tc>
      </w:tr>
    </w:tbl>
    <w:p>
      <w:pPr>
        <w:spacing w:after="160" w:before="40"/>
        <w:jc w:val="center"/>
      </w:pPr>
      <w:r>
        <w:rPr>
          <w:rFonts w:ascii="Arial" w:cs="Arial" w:eastAsia="Arial" w:hAnsi="Arial"/>
          <w:i/>
          <w:iCs/>
          <w:color w:val="5A6472"/>
          <w:sz w:val="17"/>
          <w:szCs w:val="17"/>
        </w:rPr>
        <w:t xml:space="preserve">Table 4 - Willingness-to-pay evidence summary</w:t>
      </w:r>
    </w:p>
    <w:p>
      <w:pPr>
        <w:pageBreakBefore/>
      </w:pPr>
      <w:r>
        <w:br/>
      </w:r>
    </w:p>
    <w:p>
      <w:pPr>
        <w:pStyle w:val="Heading1"/>
        <w:spacing w:after="160" w:before="320"/>
      </w:pPr>
      <w:r>
        <w:rPr>
          <w:rFonts w:ascii="Arial" w:cs="Arial" w:eastAsia="Arial" w:hAnsi="Arial"/>
          <w:b/>
          <w:bCs/>
          <w:color w:val="0D1B2A"/>
          <w:sz w:val="36"/>
          <w:szCs w:val="36"/>
        </w:rPr>
        <w:t xml:space="preserve">3. System Design</w:t>
      </w:r>
    </w:p>
    <w:p>
      <w:pPr>
        <w:pBdr>
          <w:bottom w:val="single" w:color="1A7A6E" w:sz="6" w:space="1"/>
        </w:pBdr>
        <w:spacing w:after="60" w:before="60"/>
      </w:pPr>
      <w:r>
        <w:t xml:space="preserve"/>
      </w:r>
    </w:p>
    <w:p>
      <w:pPr>
        <w:pStyle w:val="Heading2"/>
        <w:spacing w:after="120" w:before="240"/>
      </w:pPr>
      <w:r>
        <w:rPr>
          <w:rFonts w:ascii="Arial" w:cs="Arial" w:eastAsia="Arial" w:hAnsi="Arial"/>
          <w:b/>
          <w:bCs/>
          <w:color w:val="1A7A6E"/>
          <w:sz w:val="26"/>
          <w:szCs w:val="26"/>
        </w:rPr>
        <w:t xml:space="preserve">3.1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rPr>
          <w:tblHeader/>
        </w:trPr>
        <w:tc>
          <w:tcPr>
            <w:tcW w:type="dxa" w:w="22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Source</w:t>
            </w:r>
          </w:p>
        </w:tc>
        <w:tc>
          <w:tcPr>
            <w:tcW w:type="dxa" w:w="28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Data</w:t>
            </w:r>
          </w:p>
        </w:tc>
        <w:tc>
          <w:tcPr>
            <w:tcW w:type="dxa" w:w="20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Method</w:t>
            </w:r>
          </w:p>
        </w:tc>
        <w:tc>
          <w:tcPr>
            <w:tcW w:type="dxa" w:w="20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Refresh</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TWSE Open API</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OHLCV, institutional flow</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REST GET (JSON)</w:t>
            </w:r>
          </w:p>
        </w:tc>
        <w:tc>
          <w:tcPr>
            <w:tcW w:type="dxa" w:w="20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Daily 18:00</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TPEX Open API</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OTC market data</w:t>
            </w:r>
          </w:p>
        </w:tc>
        <w:tc>
          <w:tcPr>
            <w:tcW w:type="dxa" w:w="2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REST GET (JSON)</w:t>
            </w:r>
          </w:p>
        </w:tc>
        <w:tc>
          <w:tcPr>
            <w:tcW w:type="dxa" w:w="20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Daily 18:30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TWSE FTP</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Historical bulk data</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FTP download</w:t>
            </w:r>
          </w:p>
        </w:tc>
        <w:tc>
          <w:tcPr>
            <w:tcW w:type="dxa" w:w="20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One-time + monthly</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TAIFEX (future)</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Futures/options positions</w:t>
            </w:r>
          </w:p>
        </w:tc>
        <w:tc>
          <w:tcPr>
            <w:tcW w:type="dxa" w:w="2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REST GET</w:t>
            </w:r>
          </w:p>
        </w:tc>
        <w:tc>
          <w:tcPr>
            <w:tcW w:type="dxa" w:w="20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Daily</w:t>
            </w:r>
          </w:p>
        </w:tc>
      </w:tr>
    </w:tbl>
    <w:p>
      <w:pPr>
        <w:spacing w:after="160" w:before="40"/>
        <w:jc w:val="center"/>
      </w:pPr>
      <w:r>
        <w:rPr>
          <w:rFonts w:ascii="Arial" w:cs="Arial" w:eastAsia="Arial" w:hAnsi="Arial"/>
          <w:i/>
          <w:iCs/>
          <w:color w:val="5A6472"/>
          <w:sz w:val="17"/>
          <w:szCs w:val="17"/>
        </w:rPr>
        <w:t xml:space="preserve">Table 5 - Data source overview</w:t>
      </w:r>
    </w:p>
    <w:p>
      <w:r>
        <w:t xml:space="preserve"/>
      </w:r>
    </w:p>
    <w:p>
      <w:pPr>
        <w:pStyle w:val="Heading2"/>
        <w:spacing w:after="120" w:before="240"/>
      </w:pPr>
      <w:r>
        <w:rPr>
          <w:rFonts w:ascii="Arial" w:cs="Arial" w:eastAsia="Arial" w:hAnsi="Arial"/>
          <w:b/>
          <w:bCs/>
          <w:color w:val="1A7A6E"/>
          <w:sz w:val="26"/>
          <w:szCs w:val="26"/>
        </w:rPr>
        <w:t xml:space="preserve">3.2  Architecture Overview</w:t>
      </w:r>
    </w:p>
    <w:p>
      <w:pPr>
        <w:spacing w:after="120" w:before="0"/>
        <w:jc w:val="both"/>
      </w:pPr>
      <w:r>
        <w:rPr>
          <w:rFonts w:ascii="Arial" w:cs="Arial" w:eastAsia="Arial" w:hAnsi="Arial"/>
          <w:b w:val="false"/>
          <w:bCs w:val="false"/>
          <w:i w:val="false"/>
          <w:iCs w:val="false"/>
          <w:color w:val="2C3E50"/>
          <w:sz w:val="20"/>
          <w:szCs w:val="20"/>
        </w:rPr>
        <w:t xml:space="preserve">The system follows a medallion architecture with three data layers (raw, silver, gold) separated by transformation quality, implemented on a lightweight stack suitable for early product-market fit. At scale, the batch processing layer would migrate to Apache Spark on AWS EMR.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Layer</w:t>
            </w:r>
          </w:p>
        </w:tc>
        <w:tc>
          <w:tcPr>
            <w:tcW w:type="dxa" w:w="24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Technology</w:t>
            </w:r>
          </w:p>
        </w:tc>
        <w:tc>
          <w:tcPr>
            <w:tcW w:type="dxa" w:w="48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Role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Ingestion</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Python + requests</w:t>
            </w:r>
          </w:p>
        </w:tc>
        <w:tc>
          <w:tcPr>
            <w:tcW w:type="dxa" w:w="4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Scheduled fetcher from TWSE/TPEX APIs; writes raw JSON to Parquet</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Message Queue</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Apache Kafka</w:t>
            </w:r>
          </w:p>
        </w:tc>
        <w:tc>
          <w:tcPr>
            <w:tcW w:type="dxa" w:w="4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Decouples ingestion from processing; enables replay on failure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Raw Storage</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S3 / Local Parquet</w:t>
            </w:r>
          </w:p>
        </w:tc>
        <w:tc>
          <w:tcPr>
            <w:tcW w:type="dxa" w:w="4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Immutable raw data lake; daily partitioned by date</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Processing</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pandas / PySpark</w:t>
            </w:r>
          </w:p>
        </w:tc>
        <w:tc>
          <w:tcPr>
            <w:tcW w:type="dxa" w:w="4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Cleaning, feature engineering, alpha signal computation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Silver DB</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DuckDB (OLAP)</w:t>
            </w:r>
          </w:p>
        </w:tc>
        <w:tc>
          <w:tcPr>
            <w:tcW w:type="dxa" w:w="4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Cleaned time-series tables; fast range queries per stock</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Gold Cache</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Redis</w:t>
            </w:r>
          </w:p>
        </w:tc>
        <w:tc>
          <w:tcPr>
            <w:tcW w:type="dxa" w:w="4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Pre-computed signals for sub-20ms API response time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Delivery</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FastAPI + Uvicorn</w:t>
            </w:r>
          </w:p>
        </w:tc>
        <w:tc>
          <w:tcPr>
            <w:tcW w:type="dxa" w:w="4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Tiered REST API; rate limiting via API key middleware</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Auth/Billing</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Stripe + PostgreSQL</w:t>
            </w:r>
          </w:p>
        </w:tc>
        <w:tc>
          <w:tcPr>
            <w:tcW w:type="dxa" w:w="48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Subscription management, usage tracking, invoice generation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Monitoring</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Prometheus + Grafana</w:t>
            </w:r>
          </w:p>
        </w:tc>
        <w:tc>
          <w:tcPr>
            <w:tcW w:type="dxa" w:w="48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Data freshness alerts, API latency, ingestion failure tracking</w:t>
            </w:r>
          </w:p>
        </w:tc>
      </w:tr>
    </w:tbl>
    <w:p>
      <w:pPr>
        <w:spacing w:after="160" w:before="40"/>
        <w:jc w:val="center"/>
      </w:pPr>
      <w:r>
        <w:rPr>
          <w:rFonts w:ascii="Arial" w:cs="Arial" w:eastAsia="Arial" w:hAnsi="Arial"/>
          <w:i/>
          <w:iCs/>
          <w:color w:val="5A6472"/>
          <w:sz w:val="17"/>
          <w:szCs w:val="17"/>
        </w:rPr>
        <w:t xml:space="preserve">Table 6 - System component overview (medallion architecture)</w:t>
      </w:r>
    </w:p>
    <w:p>
      <w:r>
        <w:t xml:space="preserve"/>
      </w:r>
    </w:p>
    <w:p>
      <w:pPr>
        <w:pStyle w:val="Heading2"/>
        <w:spacing w:after="120" w:before="240"/>
      </w:pPr>
      <w:r>
        <w:rPr>
          <w:rFonts w:ascii="Arial" w:cs="Arial" w:eastAsia="Arial" w:hAnsi="Arial"/>
          <w:b/>
          <w:bCs/>
          <w:color w:val="1A7A6E"/>
          <w:sz w:val="26"/>
          <w:szCs w:val="26"/>
        </w:rPr>
        <w:t xml:space="preserve">3.3  Architecture Diagram</w:t>
      </w:r>
    </w:p>
    <w:p>
      <w:pPr>
        <w:spacing w:after="120" w:before="0"/>
        <w:jc w:val="both"/>
      </w:pPr>
      <w:r>
        <w:rPr>
          <w:rFonts w:ascii="Arial" w:cs="Arial" w:eastAsia="Arial" w:hAnsi="Arial"/>
          <w:b w:val="false"/>
          <w:bCs w:val="false"/>
          <w:i w:val="false"/>
          <w:iCs w:val="false"/>
          <w:color w:val="2C3E50"/>
          <w:sz w:val="20"/>
          <w:szCs w:val="20"/>
        </w:rPr>
        <w:t xml:space="preserve">End-to-end data flow from TWSE public APIs through to the tiered customer-facing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3000"/>
        <w:gridCol w:w="600"/>
        <w:gridCol w:w="2226"/>
      </w:tblGrid>
      <w:tr>
        <w:tc>
          <w:tcPr>
            <w:tcW w:type="dxa" w:w="2600"/>
            <w:gridSpan w:val="1"/>
            <w:tcBorders>
              <w:top w:val="single" w:color="CCCCCC" w:sz="4"/>
              <w:left w:val="single" w:color="CCCCCC" w:sz="4"/>
              <w:bottom w:val="single" w:color="CCCCCC" w:sz="4"/>
              <w:right w:val="single" w:color="CCCCCC" w:sz="4"/>
            </w:tcBorders>
            <w:shd w:fill="D5E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TWSE Open API
(Public REST)</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-&gt;</w:t>
            </w:r>
          </w:p>
        </w:tc>
        <w:tc>
          <w:tcPr>
            <w:tcW w:type="dxa" w:w="3000"/>
            <w:gridSpan w:val="1"/>
            <w:tcBorders>
              <w:top w:val="single" w:color="CCCCCC" w:sz="4"/>
              <w:left w:val="single" w:color="CCCCCC" w:sz="4"/>
              <w:bottom w:val="single" w:color="CCCCCC" w:sz="4"/>
              <w:right w:val="single" w:color="CCCCCC" w:sz="4"/>
            </w:tcBorders>
            <w:shd w:fill="C8E6C9"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Python Ingestion
(Scheduler)</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-&gt;</w:t>
            </w:r>
          </w:p>
        </w:tc>
        <w:tc>
          <w:tcPr>
            <w:tcW w:type="dxa" w:w="2226"/>
            <w:gridSpan w:val="1"/>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Raw Parquet
(S3 / Local)</w:t>
            </w:r>
          </w:p>
        </w:tc>
      </w:tr>
      <w:tr>
        <w:tc>
          <w:tcPr>
            <w:tcW w:type="dxa" w:w="2600"/>
            <w:gridSpan w:val="1"/>
            <w:tcBorders>
              <w:top w:val="single" w:color="CCCCCC" w:sz="4"/>
              <w:left w:val="single" w:color="CCCCCC" w:sz="4"/>
              <w:bottom w:val="single" w:color="CCCCCC" w:sz="4"/>
              <w:right w:val="single" w:color="CCCCCC" w:sz="4"/>
            </w:tcBorders>
            <w:shd w:fill="D5E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TPEX Open API
(OTC market)</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3000"/>
            <w:gridSpan w:val="1"/>
            <w:tcBorders>
              <w:top w:val="single" w:color="CCCCCC" w:sz="4"/>
              <w:left w:val="single" w:color="CCCCCC" w:sz="4"/>
              <w:bottom w:val="single" w:color="CCCCCC" w:sz="4"/>
              <w:right w:val="single" w:color="CCCCCC" w:sz="4"/>
            </w:tcBorders>
            <w:shd w:fill="C8E6C9"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Apache Kafka
(Message Queue)</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2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3000"/>
            <w:gridSpan w:val="1"/>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pandas / PySpark
(Feature Engineering)</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-&gt;</w:t>
            </w:r>
          </w:p>
        </w:tc>
        <w:tc>
          <w:tcPr>
            <w:tcW w:type="dxa" w:w="2226"/>
            <w:gridSpan w:val="1"/>
            <w:tcBorders>
              <w:top w:val="single" w:color="CCCCCC" w:sz="4"/>
              <w:left w:val="single" w:color="CCCCCC" w:sz="4"/>
              <w:bottom w:val="single" w:color="CCCCCC" w:sz="4"/>
              <w:right w:val="single" w:color="CCCCCC" w:sz="4"/>
            </w:tcBorders>
            <w:shd w:fill="FFF9C4"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DuckDB Silver
(OLAP Store)</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3000"/>
            <w:gridSpan w:val="1"/>
            <w:tcBorders>
              <w:top w:val="single" w:color="CCCCCC" w:sz="4"/>
              <w:left w:val="single" w:color="CCCCCC" w:sz="4"/>
              <w:bottom w:val="single" w:color="CCCCCC" w:sz="4"/>
              <w:right w:val="single" w:color="CCCCCC" w:sz="4"/>
            </w:tcBorders>
            <w:shd w:fill="FFE0B2" w:val="clear"/>
            <w:tcMar>
              <w:top w:type="dxa" w:w="80"/>
              <w:left w:type="dxa" w:w="140"/>
              <w:bottom w:type="dxa" w:w="80"/>
              <w:right w:type="dxa" w:w="140"/>
            </w:tcMar>
            <w:vAlign w:val="center"/>
          </w:tcPr>
          <w:p>
            <w:pPr>
              <w:jc w:val="left"/>
            </w:pPr>
            <w:r>
              <w:rPr>
                <w:rFonts w:ascii="Arial" w:cs="Arial" w:eastAsia="Arial" w:hAnsi="Arial"/>
                <w:b/>
                <w:bCs/>
                <w:i w:val="false"/>
                <w:iCs w:val="false"/>
                <w:color w:val="2C3E50"/>
                <w:sz w:val="18"/>
                <w:szCs w:val="18"/>
              </w:rPr>
              <w:t xml:space="preserve">Alpha Signal
Computation</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-&gt;</w:t>
            </w:r>
          </w:p>
        </w:tc>
        <w:tc>
          <w:tcPr>
            <w:tcW w:type="dxa" w:w="2226"/>
            <w:gridSpan w:val="1"/>
            <w:tcBorders>
              <w:top w:val="single" w:color="CCCCCC" w:sz="4"/>
              <w:left w:val="single" w:color="CCCCCC" w:sz="4"/>
              <w:bottom w:val="single" w:color="CCCCCC" w:sz="4"/>
              <w:right w:val="single" w:color="CCCCCC" w:sz="4"/>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Redis Cache
(Gold Layer)</w:t>
            </w:r>
          </w:p>
        </w:tc>
      </w:tr>
      <w:tr>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3000"/>
            <w:gridSpan w:val="1"/>
            <w:tcBorders>
              <w:top w:val="single" w:color="CCCCCC" w:sz="4"/>
              <w:left w:val="single" w:color="CCCCCC" w:sz="4"/>
              <w:bottom w:val="single" w:color="CCCCCC" w:sz="4"/>
              <w:right w:val="single" w:color="CCCCCC" w:sz="4"/>
            </w:tcBorders>
            <w:shd w:fill="E8F5F3" w:val="clear"/>
            <w:tcMar>
              <w:top w:type="dxa" w:w="80"/>
              <w:left w:type="dxa" w:w="140"/>
              <w:bottom w:type="dxa" w:w="80"/>
              <w:right w:type="dxa" w:w="140"/>
            </w:tcMar>
            <w:vAlign w:val="center"/>
          </w:tcPr>
          <w:p>
            <w:pPr>
              <w:jc w:val="left"/>
            </w:pPr>
            <w:r>
              <w:rPr>
                <w:rFonts w:ascii="Arial" w:cs="Arial" w:eastAsia="Arial" w:hAnsi="Arial"/>
                <w:b/>
                <w:bCs/>
                <w:i w:val="false"/>
                <w:iCs w:val="false"/>
                <w:color w:val="1A7A6E"/>
                <w:sz w:val="18"/>
                <w:szCs w:val="18"/>
              </w:rPr>
              <w:t xml:space="preserve">FastAPI
(Tiered REST API)</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2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r>
      <w:tr>
        <w:tc>
          <w:tcPr>
            <w:tcW w:type="dxa" w:w="2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Free Tier
(7d price)</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3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Starter ($29/mo)
(90d + Inst. Flow)</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
            </w:r>
          </w:p>
        </w:tc>
        <w:tc>
          <w:tcPr>
            <w:tcW w:type="dxa" w:w="2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 ($99/mo)
(Signals + Screener)</w:t>
            </w:r>
          </w:p>
        </w:tc>
      </w:tr>
    </w:tbl>
    <w:p>
      <w:pPr>
        <w:spacing w:after="160" w:before="40"/>
        <w:jc w:val="center"/>
      </w:pPr>
      <w:r>
        <w:rPr>
          <w:rFonts w:ascii="Arial" w:cs="Arial" w:eastAsia="Arial" w:hAnsi="Arial"/>
          <w:i/>
          <w:iCs/>
          <w:color w:val="5A6472"/>
          <w:sz w:val="17"/>
          <w:szCs w:val="17"/>
        </w:rPr>
        <w:t xml:space="preserve">Figure 1 - End-to-end system architecture diagram</w:t>
      </w:r>
    </w:p>
    <w:p>
      <w:r>
        <w:t xml:space="preserve"/>
      </w:r>
    </w:p>
    <w:p>
      <w:pPr>
        <w:pStyle w:val="Heading2"/>
        <w:spacing w:after="120" w:before="240"/>
      </w:pPr>
      <w:r>
        <w:rPr>
          <w:rFonts w:ascii="Arial" w:cs="Arial" w:eastAsia="Arial" w:hAnsi="Arial"/>
          <w:b/>
          <w:bCs/>
          <w:color w:val="1A7A6E"/>
          <w:sz w:val="26"/>
          <w:szCs w:val="26"/>
        </w:rPr>
        <w:t xml:space="preserve">3.4  Storage &amp; Processing Technologies</w:t>
      </w:r>
    </w:p>
    <w:p>
      <w:pPr>
        <w:pStyle w:val="ListParagraph"/>
        <w:numPr>
          <w:ilvl w:val="0"/>
          <w:numId w:val="2"/>
        </w:numPr>
        <w:spacing w:after="80" w:before="0"/>
      </w:pPr>
      <w:r>
        <w:rPr>
          <w:rFonts w:ascii="Arial" w:cs="Arial" w:eastAsia="Arial" w:hAnsi="Arial"/>
          <w:b/>
          <w:bCs/>
          <w:color w:val="2C3E50"/>
          <w:sz w:val="20"/>
          <w:szCs w:val="20"/>
        </w:rPr>
        <w:t xml:space="preserve">DuckDB (OLAP): </w:t>
      </w:r>
      <w:r>
        <w:rPr>
          <w:rFonts w:ascii="Arial" w:cs="Arial" w:eastAsia="Arial" w:hAnsi="Arial"/>
          <w:color w:val="2C3E50"/>
          <w:sz w:val="20"/>
          <w:szCs w:val="20"/>
        </w:rPr>
        <w:t xml:space="preserve">Chosen over PostgreSQL for its zero-infrastructure setup and vectorized columnar execution. Ideal for time-series range scans across 1,700 stocks dating back 3 years (~5M rows). Queries run in under 200ms locally.</w:t>
      </w:r>
    </w:p>
    <w:p>
      <w:pPr>
        <w:pStyle w:val="ListParagraph"/>
        <w:numPr>
          <w:ilvl w:val="0"/>
          <w:numId w:val="2"/>
        </w:numPr>
        <w:spacing w:after="80" w:before="0"/>
      </w:pPr>
      <w:r>
        <w:rPr>
          <w:rFonts w:ascii="Arial" w:cs="Arial" w:eastAsia="Arial" w:hAnsi="Arial"/>
          <w:b/>
          <w:bCs/>
          <w:color w:val="2C3E50"/>
          <w:sz w:val="20"/>
          <w:szCs w:val="20"/>
        </w:rPr>
        <w:t xml:space="preserve">Parquet (raw layer): </w:t>
      </w:r>
      <w:r>
        <w:rPr>
          <w:rFonts w:ascii="Arial" w:cs="Arial" w:eastAsia="Arial" w:hAnsi="Arial"/>
          <w:color w:val="2C3E50"/>
          <w:sz w:val="20"/>
          <w:szCs w:val="20"/>
        </w:rPr>
        <w:t xml:space="preserve">Column-oriented binary format with Snappy compression. 1 year of TWSE institutional data for all listed stocks compresses to ~80MB vs ~400MB CSV.</w:t>
      </w:r>
    </w:p>
    <w:p>
      <w:pPr>
        <w:pStyle w:val="ListParagraph"/>
        <w:numPr>
          <w:ilvl w:val="0"/>
          <w:numId w:val="2"/>
        </w:numPr>
        <w:spacing w:after="80" w:before="0"/>
      </w:pPr>
      <w:r>
        <w:rPr>
          <w:rFonts w:ascii="Arial" w:cs="Arial" w:eastAsia="Arial" w:hAnsi="Arial"/>
          <w:b/>
          <w:bCs/>
          <w:color w:val="2C3E50"/>
          <w:sz w:val="20"/>
          <w:szCs w:val="20"/>
        </w:rPr>
        <w:t xml:space="preserve">Apache Kafka (message queue): </w:t>
      </w:r>
      <w:r>
        <w:rPr>
          <w:rFonts w:ascii="Arial" w:cs="Arial" w:eastAsia="Arial" w:hAnsi="Arial"/>
          <w:color w:val="2C3E50"/>
          <w:sz w:val="20"/>
          <w:szCs w:val="20"/>
        </w:rPr>
        <w:t xml:space="preserve">Decouples the daily ingestion job from the processing pipeline. If TWSE API is slow or returns malformed data, messages queue and processing retries without data loss.</w:t>
      </w:r>
    </w:p>
    <w:p>
      <w:pPr>
        <w:pStyle w:val="ListParagraph"/>
        <w:numPr>
          <w:ilvl w:val="0"/>
          <w:numId w:val="2"/>
        </w:numPr>
        <w:spacing w:after="80" w:before="0"/>
      </w:pPr>
      <w:r>
        <w:rPr>
          <w:rFonts w:ascii="Arial" w:cs="Arial" w:eastAsia="Arial" w:hAnsi="Arial"/>
          <w:b/>
          <w:bCs/>
          <w:color w:val="2C3E50"/>
          <w:sz w:val="20"/>
          <w:szCs w:val="20"/>
        </w:rPr>
        <w:t xml:space="preserve">Redis (gold cache): </w:t>
      </w:r>
      <w:r>
        <w:rPr>
          <w:rFonts w:ascii="Arial" w:cs="Arial" w:eastAsia="Arial" w:hAnsi="Arial"/>
          <w:color w:val="2C3E50"/>
          <w:sz w:val="20"/>
          <w:szCs w:val="20"/>
        </w:rPr>
        <w:t xml:space="preserve">Pre-computed signals stored as hashes (key: stock_no:date). Eliminates DuckDB query overhead for frequent API calls; target p99 latency &lt; 20ms.</w:t>
      </w:r>
    </w:p>
    <w:p>
      <w:pPr>
        <w:pStyle w:val="ListParagraph"/>
        <w:numPr>
          <w:ilvl w:val="0"/>
          <w:numId w:val="2"/>
        </w:numPr>
        <w:spacing w:after="80" w:before="0"/>
      </w:pPr>
      <w:r>
        <w:rPr>
          <w:rFonts w:ascii="Arial" w:cs="Arial" w:eastAsia="Arial" w:hAnsi="Arial"/>
          <w:b/>
          <w:bCs/>
          <w:color w:val="2C3E50"/>
          <w:sz w:val="20"/>
          <w:szCs w:val="20"/>
        </w:rPr>
        <w:t xml:space="preserve">FastAPI: </w:t>
      </w:r>
      <w:r>
        <w:rPr>
          <w:rFonts w:ascii="Arial" w:cs="Arial" w:eastAsia="Arial" w:hAnsi="Arial"/>
          <w:color w:val="2C3E50"/>
          <w:sz w:val="20"/>
          <w:szCs w:val="20"/>
        </w:rPr>
        <w:t xml:space="preserve">Async Python web framework. Chosen for lower overhead and native async support compared to Django REST.</w:t>
      </w:r>
    </w:p>
    <w:p>
      <w:r>
        <w:t xml:space="preserve"/>
      </w:r>
    </w:p>
    <w:p>
      <w:pPr>
        <w:pStyle w:val="Heading2"/>
        <w:spacing w:after="120" w:before="240"/>
      </w:pPr>
      <w:r>
        <w:rPr>
          <w:rFonts w:ascii="Arial" w:cs="Arial" w:eastAsia="Arial" w:hAnsi="Arial"/>
          <w:b/>
          <w:bCs/>
          <w:color w:val="1A7A6E"/>
          <w:sz w:val="26"/>
          <w:szCs w:val="26"/>
        </w:rPr>
        <w:t xml:space="preserve">3.5  API Tier Design</w:t>
      </w:r>
    </w:p>
    <w:p>
      <w:pPr>
        <w:spacing w:after="120" w:before="0"/>
        <w:jc w:val="both"/>
      </w:pPr>
      <w:r>
        <w:rPr>
          <w:rFonts w:ascii="Arial" w:cs="Arial" w:eastAsia="Arial" w:hAnsi="Arial"/>
          <w:b w:val="false"/>
          <w:bCs w:val="false"/>
          <w:i w:val="false"/>
          <w:iCs w:val="false"/>
          <w:color w:val="2C3E50"/>
          <w:sz w:val="20"/>
          <w:szCs w:val="20"/>
        </w:rPr>
        <w:t xml:space="preserve">The customer-facing product is a REST API with four tiers enforced at the middleware layer by API key lookup:</w:t>
      </w:r>
    </w:p>
    <w:p>
      <w:pPr>
        <w:shd w:fill="F4F6F8" w:val="clear"/>
        <w:spacing w:after="60" w:before="60"/>
        <w:ind w:left="360" w:right="360"/>
      </w:pPr>
      <w:r>
        <w:rPr>
          <w:rFonts w:ascii="Courier New" w:cs="Courier New" w:eastAsia="Courier New" w:hAnsi="Courier New"/>
          <w:color w:val="1A1A2E"/>
          <w:sz w:val="17"/>
          <w:szCs w:val="17"/>
        </w:rPr>
        <w:t xml:space="preserve">GET /v1/price/{stock_no}          Free: 7d | Starter: 90d | Pro: 3yr</w:t>
      </w:r>
    </w:p>
    <w:p>
      <w:pPr>
        <w:shd w:fill="F4F6F8" w:val="clear"/>
        <w:spacing w:after="60" w:before="60"/>
        <w:ind w:left="360" w:right="360"/>
      </w:pPr>
      <w:r>
        <w:rPr>
          <w:rFonts w:ascii="Courier New" w:cs="Courier New" w:eastAsia="Courier New" w:hAnsi="Courier New"/>
          <w:color w:val="1A1A2E"/>
          <w:sz w:val="17"/>
          <w:szCs w:val="17"/>
        </w:rPr>
        <w:t xml:space="preserve">GET /v1/institutional/{stock_no}  Starter+ required</w:t>
      </w:r>
    </w:p>
    <w:p>
      <w:pPr>
        <w:shd w:fill="F4F6F8" w:val="clear"/>
        <w:spacing w:after="60" w:before="60"/>
        <w:ind w:left="360" w:right="360"/>
      </w:pPr>
      <w:r>
        <w:rPr>
          <w:rFonts w:ascii="Courier New" w:cs="Courier New" w:eastAsia="Courier New" w:hAnsi="Courier New"/>
          <w:color w:val="1A1A2E"/>
          <w:sz w:val="17"/>
          <w:szCs w:val="17"/>
        </w:rPr>
        <w:t xml:space="preserve">GET /v1/signals/{stock_no}        Pro+ required (alpha signals)</w:t>
      </w:r>
    </w:p>
    <w:p>
      <w:pPr>
        <w:shd w:fill="F4F6F8" w:val="clear"/>
        <w:spacing w:after="60" w:before="60"/>
        <w:ind w:left="360" w:right="360"/>
      </w:pPr>
      <w:r>
        <w:rPr>
          <w:rFonts w:ascii="Courier New" w:cs="Courier New" w:eastAsia="Courier New" w:hAnsi="Courier New"/>
          <w:color w:val="1A1A2E"/>
          <w:sz w:val="17"/>
          <w:szCs w:val="17"/>
        </w:rPr>
        <w:t xml:space="preserve">GET /v1/screener                  Pro+ required (screen all stocks)</w:t>
      </w:r>
    </w:p>
    <w:p>
      <w:r>
        <w:t xml:space="preserve"/>
      </w:r>
    </w:p>
    <w:p>
      <w:pPr>
        <w:pStyle w:val="Heading2"/>
        <w:spacing w:after="120" w:before="240"/>
      </w:pPr>
      <w:r>
        <w:rPr>
          <w:rFonts w:ascii="Arial" w:cs="Arial" w:eastAsia="Arial" w:hAnsi="Arial"/>
          <w:b/>
          <w:bCs/>
          <w:color w:val="1A7A6E"/>
          <w:sz w:val="26"/>
          <w:szCs w:val="26"/>
        </w:rPr>
        <w:t xml:space="preserve">3.6  Scalability Sketch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3800"/>
        <w:gridCol w:w="1226"/>
      </w:tblGrid>
      <w:tr>
        <w:trPr>
          <w:tblHeader/>
        </w:trPr>
        <w:tc>
          <w:tcPr>
            <w:tcW w:type="dxa" w:w="14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Scale</w:t>
            </w:r>
          </w:p>
        </w:tc>
        <w:tc>
          <w:tcPr>
            <w:tcW w:type="dxa" w:w="12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Users</w:t>
            </w:r>
          </w:p>
        </w:tc>
        <w:tc>
          <w:tcPr>
            <w:tcW w:type="dxa" w:w="14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Req/Day</w:t>
            </w:r>
          </w:p>
        </w:tc>
        <w:tc>
          <w:tcPr>
            <w:tcW w:type="dxa" w:w="38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Architecture</w:t>
            </w:r>
          </w:p>
        </w:tc>
        <w:tc>
          <w:tcPr>
            <w:tcW w:type="dxa" w:w="12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Est. Infra Cost/mo</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Current (MVP)</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&lt;100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DuckDB local + FastAPI single instance</w:t>
            </w:r>
          </w:p>
        </w:tc>
        <w:tc>
          <w:tcPr>
            <w:tcW w:type="dxa" w:w="1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w:t>
            </w:r>
          </w:p>
        </w:tc>
      </w:tr>
      <w:tr>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10x</w:t>
            </w:r>
          </w:p>
        </w:tc>
        <w:tc>
          <w:tcPr>
            <w:tcW w:type="dxa" w:w="1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~1,000</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~20,000</w:t>
            </w:r>
          </w:p>
        </w:tc>
        <w:tc>
          <w:tcPr>
            <w:tcW w:type="dxa" w:w="3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DuckDB -&gt; PostgreSQL; add Redis; CDN</w:t>
            </w:r>
          </w:p>
        </w:tc>
        <w:tc>
          <w:tcPr>
            <w:tcW w:type="dxa" w:w="12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100x</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~10,000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~200,000</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Spark on EMR; DynamoDB; multi-region API</w:t>
            </w:r>
          </w:p>
        </w:tc>
        <w:tc>
          <w:tcPr>
            <w:tcW w:type="dxa" w:w="12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~$2,000-5,000</w:t>
            </w:r>
          </w:p>
        </w:tc>
      </w:tr>
    </w:tbl>
    <w:p>
      <w:pPr>
        <w:spacing w:after="160" w:before="40"/>
        <w:jc w:val="center"/>
      </w:pPr>
      <w:r>
        <w:rPr>
          <w:rFonts w:ascii="Arial" w:cs="Arial" w:eastAsia="Arial" w:hAnsi="Arial"/>
          <w:i/>
          <w:iCs/>
          <w:color w:val="5A6472"/>
          <w:sz w:val="17"/>
          <w:szCs w:val="17"/>
        </w:rPr>
        <w:t xml:space="preserve">Table 7 - Scalability roadmap</w:t>
      </w:r>
    </w:p>
    <w:p>
      <w:pPr>
        <w:pageBreakBefore/>
      </w:pPr>
      <w:r>
        <w:br/>
      </w:r>
    </w:p>
    <w:p>
      <w:pPr>
        <w:pStyle w:val="Heading1"/>
        <w:spacing w:after="160" w:before="320"/>
      </w:pPr>
      <w:r>
        <w:rPr>
          <w:rFonts w:ascii="Arial" w:cs="Arial" w:eastAsia="Arial" w:hAnsi="Arial"/>
          <w:b/>
          <w:bCs/>
          <w:color w:val="0D1B2A"/>
          <w:sz w:val="36"/>
          <w:szCs w:val="36"/>
        </w:rPr>
        <w:t xml:space="preserve">4. Go-to-Market Difficulties (Bonus)</w:t>
      </w:r>
    </w:p>
    <w:p>
      <w:pPr>
        <w:pBdr>
          <w:bottom w:val="single" w:color="1A7A6E" w:sz="6" w:space="1"/>
        </w:pBdr>
        <w:spacing w:after="60" w:before="60"/>
      </w:pPr>
      <w:r>
        <w:t xml:space="preserve"/>
      </w:r>
    </w:p>
    <w:p>
      <w:pPr>
        <w:pStyle w:val="Heading2"/>
        <w:spacing w:after="120" w:before="240"/>
      </w:pPr>
      <w:r>
        <w:rPr>
          <w:rFonts w:ascii="Arial" w:cs="Arial" w:eastAsia="Arial" w:hAnsi="Arial"/>
          <w:b/>
          <w:bCs/>
          <w:color w:val="1A7A6E"/>
          <w:sz w:val="26"/>
          <w:szCs w:val="26"/>
        </w:rPr>
        <w:t xml:space="preserve">4.1  Trust and Data Accuracy</w:t>
      </w:r>
    </w:p>
    <w:p>
      <w:pPr>
        <w:spacing w:after="120" w:before="0"/>
        <w:jc w:val="both"/>
      </w:pPr>
      <w:r>
        <w:rPr>
          <w:rFonts w:ascii="Arial" w:cs="Arial" w:eastAsia="Arial" w:hAnsi="Arial"/>
          <w:b w:val="false"/>
          <w:bCs w:val="false"/>
          <w:i w:val="false"/>
          <w:iCs w:val="false"/>
          <w:color w:val="2C3E50"/>
          <w:sz w:val="20"/>
          <w:szCs w:val="20"/>
        </w:rPr>
        <w:t xml:space="preserve">Quantitative traders are skeptical of third-party data products because a single bad data point can trigger a wrong trade and cost real money. Building trust requires transparent data provenance (linking every record back to the TWSE source URL), a public status page showing ingestion health, and an SLA with a credits-for-downtime policy.</w:t>
      </w:r>
    </w:p>
    <w:p>
      <w:pPr>
        <w:pStyle w:val="Heading2"/>
        <w:spacing w:after="120" w:before="240"/>
      </w:pPr>
      <w:r>
        <w:rPr>
          <w:rFonts w:ascii="Arial" w:cs="Arial" w:eastAsia="Arial" w:hAnsi="Arial"/>
          <w:b/>
          <w:bCs/>
          <w:color w:val="1A7A6E"/>
          <w:sz w:val="26"/>
          <w:szCs w:val="26"/>
        </w:rPr>
        <w:t xml:space="preserve">4.2  Cold-Start: No Historical Depth at Launch</w:t>
      </w:r>
    </w:p>
    <w:p>
      <w:pPr>
        <w:spacing w:after="120" w:before="0"/>
        <w:jc w:val="both"/>
      </w:pPr>
      <w:r>
        <w:rPr>
          <w:rFonts w:ascii="Arial" w:cs="Arial" w:eastAsia="Arial" w:hAnsi="Arial"/>
          <w:b w:val="false"/>
          <w:bCs w:val="false"/>
          <w:i w:val="false"/>
          <w:iCs w:val="false"/>
          <w:color w:val="2C3E50"/>
          <w:sz w:val="20"/>
          <w:szCs w:val="20"/>
        </w:rPr>
        <w:t xml:space="preserve">TWSE Open API only provides recent data. To offer 3-year history on day one, we must bulk-download historical CSV archives from TWSE FTP and backfill the database before launch. This is a one-time engineering cost (estimated 2 weeks) but is a hard prerequisite for the Pro tier.</w:t>
      </w:r>
    </w:p>
    <w:p>
      <w:pPr>
        <w:pStyle w:val="Heading2"/>
        <w:spacing w:after="120" w:before="240"/>
      </w:pPr>
      <w:r>
        <w:rPr>
          <w:rFonts w:ascii="Arial" w:cs="Arial" w:eastAsia="Arial" w:hAnsi="Arial"/>
          <w:b/>
          <w:bCs/>
          <w:color w:val="1A7A6E"/>
          <w:sz w:val="26"/>
          <w:szCs w:val="26"/>
        </w:rPr>
        <w:t xml:space="preserve">4.3  Legal and Data Terms of Service</w:t>
      </w:r>
    </w:p>
    <w:p>
      <w:pPr>
        <w:spacing w:after="120" w:before="0"/>
        <w:jc w:val="both"/>
      </w:pPr>
      <w:r>
        <w:rPr>
          <w:rFonts w:ascii="Arial" w:cs="Arial" w:eastAsia="Arial" w:hAnsi="Arial"/>
          <w:b w:val="false"/>
          <w:bCs w:val="false"/>
          <w:i w:val="false"/>
          <w:iCs w:val="false"/>
          <w:color w:val="2C3E50"/>
          <w:sz w:val="20"/>
          <w:szCs w:val="20"/>
        </w:rPr>
        <w:t xml:space="preserve">TWSE's open data license permits non-commercial and commercial use for derived products, but reselling raw TWSE data as-is may conflict with their terms. Our product sells derived signals and API access - not raw data reproduction - which is a defensible position, but legal review is required before launch. GDPR/PDPA applies to user account data.</w:t>
      </w:r>
    </w:p>
    <w:p>
      <w:pPr>
        <w:pStyle w:val="Heading2"/>
        <w:spacing w:after="120" w:before="240"/>
      </w:pPr>
      <w:r>
        <w:rPr>
          <w:rFonts w:ascii="Arial" w:cs="Arial" w:eastAsia="Arial" w:hAnsi="Arial"/>
          <w:b/>
          <w:bCs/>
          <w:color w:val="1A7A6E"/>
          <w:sz w:val="26"/>
          <w:szCs w:val="26"/>
        </w:rPr>
        <w:t xml:space="preserve">4.4  Competition from Well-Funded Incumbents</w:t>
      </w:r>
    </w:p>
    <w:p>
      <w:pPr>
        <w:spacing w:after="120" w:before="0"/>
        <w:jc w:val="both"/>
      </w:pPr>
      <w:r>
        <w:rPr>
          <w:rFonts w:ascii="Arial" w:cs="Arial" w:eastAsia="Arial" w:hAnsi="Arial"/>
          <w:b w:val="false"/>
          <w:bCs w:val="false"/>
          <w:i w:val="false"/>
          <w:iCs w:val="false"/>
          <w:color w:val="2C3E50"/>
          <w:sz w:val="20"/>
          <w:szCs w:val="20"/>
        </w:rPr>
        <w:t xml:space="preserve">FinMind (Taiwan) offers OHLCV at similar price points. TEJ has deep relationships with institutional clients. Our moat is speed (API-first vs. their file-download model), the alpha signal layer (no competitor offers this at under $100/mo), and developer experience (interactive Swagger docs, Python SDK).</w:t>
      </w:r>
    </w:p>
    <w:p>
      <w:pPr>
        <w:pStyle w:val="Heading2"/>
        <w:spacing w:after="120" w:before="240"/>
      </w:pPr>
      <w:r>
        <w:rPr>
          <w:rFonts w:ascii="Arial" w:cs="Arial" w:eastAsia="Arial" w:hAnsi="Arial"/>
          <w:b/>
          <w:bCs/>
          <w:color w:val="1A7A6E"/>
          <w:sz w:val="26"/>
          <w:szCs w:val="26"/>
        </w:rPr>
        <w:t xml:space="preserve">4.5  Unit Economics</w:t>
      </w:r>
    </w:p>
    <w:p>
      <w:pPr>
        <w:spacing w:after="120" w:before="0"/>
        <w:jc w:val="both"/>
      </w:pPr>
      <w:r>
        <w:rPr>
          <w:rFonts w:ascii="Arial" w:cs="Arial" w:eastAsia="Arial" w:hAnsi="Arial"/>
          <w:b w:val="false"/>
          <w:bCs w:val="false"/>
          <w:i w:val="false"/>
          <w:iCs w:val="false"/>
          <w:color w:val="2C3E50"/>
          <w:sz w:val="20"/>
          <w:szCs w:val="20"/>
        </w:rPr>
        <w:t xml:space="preserve">Infrastructure cost at MVP scale is ~$30/month. A single Starter subscriber covers it. Breakeven requires approximately 3-5 paying subscribers. The real cost is engineering time. Target: 50 paying users to be operationally self-sustaining, 200 users to be profitable at founder salaries.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400"/>
        <w:gridCol w:w="1626"/>
      </w:tblGrid>
      <w:tr>
        <w:trPr>
          <w:tblHeader/>
        </w:trPr>
        <w:tc>
          <w:tcPr>
            <w:tcW w:type="dxa" w:w="1800"/>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Scenario</w:t>
            </w:r>
          </w:p>
        </w:tc>
        <w:tc>
          <w:tcPr>
            <w:tcW w:type="dxa" w:w="2600"/>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Subscribers</w:t>
            </w:r>
          </w:p>
        </w:tc>
        <w:tc>
          <w:tcPr>
            <w:tcW w:type="dxa" w:w="1600"/>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MRR</w:t>
            </w:r>
          </w:p>
        </w:tc>
        <w:tc>
          <w:tcPr>
            <w:tcW w:type="dxa" w:w="1400"/>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Infra</w:t>
            </w:r>
          </w:p>
        </w:tc>
        <w:tc>
          <w:tcPr>
            <w:tcW w:type="dxa" w:w="1626"/>
            <w:gridSpan w:val="1"/>
            <w:tcBorders>
              <w:top w:val="single" w:color="CCCCCC" w:sz="4"/>
              <w:left w:val="single" w:color="CCCCCC" w:sz="4"/>
              <w:bottom w:val="single" w:color="CCCCCC" w:sz="4"/>
              <w:right w:val="single" w:color="CCCCCC" w:sz="4"/>
            </w:tcBorders>
            <w:shd w:fill="E8A020" w:val="clear"/>
            <w:tcMar>
              <w:top w:type="dxa" w:w="80"/>
              <w:left w:type="dxa" w:w="140"/>
              <w:bottom w:type="dxa" w:w="80"/>
              <w:right w:type="dxa" w:w="140"/>
            </w:tcMar>
            <w:vAlign w:val="center"/>
          </w:tcPr>
          <w:p>
            <w:pPr>
              <w:jc w:val="left"/>
            </w:pPr>
            <w:r>
              <w:rPr>
                <w:rFonts w:ascii="Arial" w:cs="Arial" w:eastAsia="Arial" w:hAnsi="Arial"/>
                <w:b/>
                <w:bCs/>
                <w:i w:val="false"/>
                <w:iCs w:val="false"/>
                <w:color w:val="0D1B2A"/>
                <w:sz w:val="18"/>
                <w:szCs w:val="18"/>
              </w:rPr>
              <w:t xml:space="preserve">Net MRR</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Pre-revenue</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0</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w:t>
            </w:r>
          </w:p>
        </w:tc>
        <w:tc>
          <w:tcPr>
            <w:tcW w:type="dxa" w:w="1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Breakeven</w:t>
            </w:r>
          </w:p>
        </w:tc>
        <w:tc>
          <w:tcPr>
            <w:tcW w:type="dxa" w:w="2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 Starter + 1 Pro</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$186</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w:t>
            </w:r>
          </w:p>
        </w:tc>
        <w:tc>
          <w:tcPr>
            <w:tcW w:type="dxa" w:w="1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+$156</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Target Y1</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 Starter + 10 Pro</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$1,860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w:t>
            </w:r>
          </w:p>
        </w:tc>
        <w:tc>
          <w:tcPr>
            <w:tcW w:type="dxa" w:w="1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+$1,760</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Growth Y2</w:t>
            </w:r>
          </w:p>
        </w:tc>
        <w:tc>
          <w:tcPr>
            <w:tcW w:type="dxa" w:w="2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100 Starter + 40 Pro</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$6,860</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$300</w:t>
            </w:r>
          </w:p>
        </w:tc>
        <w:tc>
          <w:tcPr>
            <w:tcW w:type="dxa" w:w="1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+$6,560</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Scale Y3</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 Enterprise + 300 mixed</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$15,000+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$2,000</w:t>
            </w:r>
          </w:p>
        </w:tc>
        <w:tc>
          <w:tcPr>
            <w:tcW w:type="dxa" w:w="1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+$13,000+</w:t>
            </w:r>
          </w:p>
        </w:tc>
      </w:tr>
    </w:tbl>
    <w:p>
      <w:pPr>
        <w:spacing w:after="160" w:before="40"/>
        <w:jc w:val="center"/>
      </w:pPr>
      <w:r>
        <w:rPr>
          <w:rFonts w:ascii="Arial" w:cs="Arial" w:eastAsia="Arial" w:hAnsi="Arial"/>
          <w:i/>
          <w:iCs/>
          <w:color w:val="5A6472"/>
          <w:sz w:val="17"/>
          <w:szCs w:val="17"/>
        </w:rPr>
        <w:t xml:space="preserve">Table 8 - Unit economics scenarios</w:t>
      </w:r>
    </w:p>
    <w:p>
      <w:pPr>
        <w:pStyle w:val="Heading2"/>
        <w:spacing w:after="120" w:before="240"/>
      </w:pPr>
      <w:r>
        <w:rPr>
          <w:rFonts w:ascii="Arial" w:cs="Arial" w:eastAsia="Arial" w:hAnsi="Arial"/>
          <w:b/>
          <w:bCs/>
          <w:color w:val="1A7A6E"/>
          <w:sz w:val="26"/>
          <w:szCs w:val="26"/>
        </w:rPr>
        <w:t xml:space="preserve">4.6  Customer Acquisition</w:t>
      </w:r>
    </w:p>
    <w:p>
      <w:pPr>
        <w:spacing w:after="120" w:before="0"/>
        <w:jc w:val="both"/>
      </w:pPr>
      <w:r>
        <w:rPr>
          <w:rFonts w:ascii="Arial" w:cs="Arial" w:eastAsia="Arial" w:hAnsi="Arial"/>
          <w:b w:val="false"/>
          <w:bCs w:val="false"/>
          <w:i w:val="false"/>
          <w:iCs w:val="false"/>
          <w:color w:val="2C3E50"/>
          <w:sz w:val="20"/>
          <w:szCs w:val="20"/>
        </w:rPr>
        <w:t xml:space="preserve">Primary channels: PTT Stock board, Mobile01 finance, Quantitative Finance Taiwan Facebook group (~8,000 members), and GitHub (open-source demo notebooks). A freemium model with a generous free tier reduces acquisition friction and generates organic word-of-mouth.</w:t>
      </w:r>
    </w:p>
    <w:p>
      <w:pPr>
        <w:pageBreakBefore/>
      </w:pPr>
      <w:r>
        <w:br/>
      </w:r>
    </w:p>
    <w:p>
      <w:pPr>
        <w:pStyle w:val="Heading1"/>
        <w:spacing w:after="160" w:before="320"/>
      </w:pPr>
      <w:r>
        <w:rPr>
          <w:rFonts w:ascii="Arial" w:cs="Arial" w:eastAsia="Arial" w:hAnsi="Arial"/>
          <w:b/>
          <w:bCs/>
          <w:color w:val="0D1B2A"/>
          <w:sz w:val="36"/>
          <w:szCs w:val="36"/>
        </w:rPr>
        <w:t xml:space="preserve">5. Repository Structure &amp; API Key Guide</w:t>
      </w:r>
    </w:p>
    <w:p>
      <w:pPr>
        <w:pBdr>
          <w:bottom w:val="single" w:color="1A7A6E" w:sz="6" w:space="1"/>
        </w:pBdr>
        <w:spacing w:after="60" w:before="60"/>
      </w:pPr>
      <w:r>
        <w:t xml:space="preserve"/>
      </w:r>
    </w:p>
    <w:p>
      <w:pPr>
        <w:pStyle w:val="Heading2"/>
        <w:spacing w:after="120" w:before="240"/>
      </w:pPr>
      <w:r>
        <w:rPr>
          <w:rFonts w:ascii="Arial" w:cs="Arial" w:eastAsia="Arial" w:hAnsi="Arial"/>
          <w:b/>
          <w:bCs/>
          <w:color w:val="1A7A6E"/>
          <w:sz w:val="26"/>
          <w:szCs w:val="26"/>
        </w:rPr>
        <w:t xml:space="preserve">5.1  Repository Structure</w:t>
      </w:r>
    </w:p>
    <w:p>
      <w:pPr>
        <w:spacing w:after="120" w:before="0"/>
        <w:jc w:val="both"/>
      </w:pPr>
      <w:r>
        <w:rPr>
          <w:rFonts w:ascii="Arial" w:cs="Arial" w:eastAsia="Arial" w:hAnsi="Arial"/>
          <w:b w:val="false"/>
          <w:bCs w:val="false"/>
          <w:i w:val="false"/>
          <w:iCs w:val="false"/>
          <w:color w:val="2C3E50"/>
          <w:sz w:val="20"/>
          <w:szCs w:val="20"/>
        </w:rPr>
        <w:t xml:space="preserve">Full source code: github.com/nonamenane/Designing-a-System-That-Monetizes-Data-Final_project</w:t>
      </w:r>
    </w:p>
    <w:p>
      <w:pPr>
        <w:shd w:fill="F4F6F8" w:val="clear"/>
        <w:spacing w:after="60" w:before="60"/>
        <w:ind w:left="360" w:right="360"/>
      </w:pPr>
      <w:r>
        <w:rPr>
          <w:rFonts w:ascii="Courier New" w:cs="Courier New" w:eastAsia="Courier New" w:hAnsi="Courier New"/>
          <w:color w:val="1A1A2E"/>
          <w:sz w:val="17"/>
          <w:szCs w:val="17"/>
        </w:rPr>
        <w:t xml:space="preserve">taiwanalpha/</w:t>
      </w:r>
    </w:p>
    <w:p>
      <w:pPr>
        <w:shd w:fill="F4F6F8" w:val="clear"/>
        <w:spacing w:after="60" w:before="60"/>
        <w:ind w:left="360" w:right="360"/>
      </w:pPr>
      <w:r>
        <w:rPr>
          <w:rFonts w:ascii="Courier New" w:cs="Courier New" w:eastAsia="Courier New" w:hAnsi="Courier New"/>
          <w:color w:val="1A1A2E"/>
          <w:sz w:val="17"/>
          <w:szCs w:val="17"/>
        </w:rPr>
        <w:t xml:space="preserve">  ingestion/twse_ingestion.py       # TWSE Open API fetchers + batch pipeline</w:t>
      </w:r>
    </w:p>
    <w:p>
      <w:pPr>
        <w:shd w:fill="F4F6F8" w:val="clear"/>
        <w:spacing w:after="60" w:before="60"/>
        <w:ind w:left="360" w:right="360"/>
      </w:pPr>
      <w:r>
        <w:rPr>
          <w:rFonts w:ascii="Courier New" w:cs="Courier New" w:eastAsia="Courier New" w:hAnsi="Courier New"/>
          <w:color w:val="1A1A2E"/>
          <w:sz w:val="17"/>
          <w:szCs w:val="17"/>
        </w:rPr>
        <w:t xml:space="preserve">  storage/schema.py                 # DuckDB schema + medallion architecture</w:t>
      </w:r>
    </w:p>
    <w:p>
      <w:pPr>
        <w:shd w:fill="F4F6F8" w:val="clear"/>
        <w:spacing w:after="60" w:before="60"/>
        <w:ind w:left="360" w:right="360"/>
      </w:pPr>
      <w:r>
        <w:rPr>
          <w:rFonts w:ascii="Courier New" w:cs="Courier New" w:eastAsia="Courier New" w:hAnsi="Courier New"/>
          <w:color w:val="1A1A2E"/>
          <w:sz w:val="17"/>
          <w:szCs w:val="17"/>
        </w:rPr>
        <w:t xml:space="preserve">  processing/feature_engineering.py # Institutional momentum + margin signals</w:t>
      </w:r>
    </w:p>
    <w:p>
      <w:pPr>
        <w:shd w:fill="F4F6F8" w:val="clear"/>
        <w:spacing w:after="60" w:before="60"/>
        <w:ind w:left="360" w:right="360"/>
      </w:pPr>
      <w:r>
        <w:rPr>
          <w:rFonts w:ascii="Courier New" w:cs="Courier New" w:eastAsia="Courier New" w:hAnsi="Courier New"/>
          <w:color w:val="1A1A2E"/>
          <w:sz w:val="17"/>
          <w:szCs w:val="17"/>
        </w:rPr>
        <w:t xml:space="preserve">  delivery/api.py                   # FastAPI REST API with tier enforcement</w:t>
      </w:r>
    </w:p>
    <w:p>
      <w:pPr>
        <w:shd w:fill="F4F6F8" w:val="clear"/>
        <w:spacing w:after="60" w:before="60"/>
        <w:ind w:left="360" w:right="360"/>
      </w:pPr>
      <w:r>
        <w:rPr>
          <w:rFonts w:ascii="Courier New" w:cs="Courier New" w:eastAsia="Courier New" w:hAnsi="Courier New"/>
          <w:color w:val="1A1A2E"/>
          <w:sz w:val="17"/>
          <w:szCs w:val="17"/>
        </w:rPr>
        <w:t xml:space="preserve">  data/                             # DuckDB + Parquet files (gitignored)</w:t>
      </w:r>
    </w:p>
    <w:p>
      <w:pPr>
        <w:shd w:fill="F4F6F8" w:val="clear"/>
        <w:spacing w:after="60" w:before="60"/>
        <w:ind w:left="360" w:right="360"/>
      </w:pPr>
      <w:r>
        <w:rPr>
          <w:rFonts w:ascii="Courier New" w:cs="Courier New" w:eastAsia="Courier New" w:hAnsi="Courier New"/>
          <w:color w:val="1A1A2E"/>
          <w:sz w:val="17"/>
          <w:szCs w:val="17"/>
        </w:rPr>
        <w:t xml:space="preserve">  requirements.txt</w:t>
      </w:r>
    </w:p>
    <w:p>
      <w:pPr>
        <w:shd w:fill="F4F6F8" w:val="clear"/>
        <w:spacing w:after="60" w:before="60"/>
        <w:ind w:left="360" w:right="360"/>
      </w:pPr>
      <w:r>
        <w:rPr>
          <w:rFonts w:ascii="Courier New" w:cs="Courier New" w:eastAsia="Courier New" w:hAnsi="Courier New"/>
          <w:color w:val="1A1A2E"/>
          <w:sz w:val="17"/>
          <w:szCs w:val="17"/>
        </w:rPr>
        <w:t xml:space="preserve">  README.md</w:t>
      </w:r>
    </w:p>
    <w:p>
      <w:r>
        <w:t xml:space="preserve"/>
      </w:r>
    </w:p>
    <w:p>
      <w:pPr>
        <w:pStyle w:val="Heading2"/>
        <w:spacing w:after="120" w:before="240"/>
      </w:pPr>
      <w:r>
        <w:rPr>
          <w:rFonts w:ascii="Arial" w:cs="Arial" w:eastAsia="Arial" w:hAnsi="Arial"/>
          <w:b/>
          <w:bCs/>
          <w:color w:val="1A7A6E"/>
          <w:sz w:val="26"/>
          <w:szCs w:val="26"/>
        </w:rPr>
        <w:t xml:space="preserve">5.2  How to Obtain and Use an API Key</w:t>
      </w:r>
    </w:p>
    <w:p>
      <w:pPr>
        <w:spacing w:after="120" w:before="0"/>
        <w:jc w:val="both"/>
      </w:pPr>
      <w:r>
        <w:rPr>
          <w:rFonts w:ascii="Arial" w:cs="Arial" w:eastAsia="Arial" w:hAnsi="Arial"/>
          <w:b w:val="false"/>
          <w:bCs w:val="false"/>
          <w:i w:val="false"/>
          <w:iCs w:val="false"/>
          <w:color w:val="2C3E50"/>
          <w:sz w:val="20"/>
          <w:szCs w:val="20"/>
        </w:rPr>
        <w:t xml:space="preserve">Since TaiwanAlpha is an MVP, API keys are managed through a simple in-code dictionary in delivery/api.py. No sign-up or payment is needed for grading - four demo keys are pre-built and ready to use immediately after starting the server.</w:t>
      </w:r>
    </w:p>
    <w:p>
      <w:r>
        <w:t xml:space="preserve"/>
      </w:r>
    </w:p>
    <w:p>
      <w:pPr>
        <w:pStyle w:val="Heading3"/>
        <w:spacing w:after="80" w:before="180"/>
      </w:pPr>
      <w:r>
        <w:rPr>
          <w:rFonts w:ascii="Arial" w:cs="Arial" w:eastAsia="Arial" w:hAnsi="Arial"/>
          <w:b/>
          <w:bCs/>
          <w:color w:val="0D1B2A"/>
          <w:sz w:val="22"/>
          <w:szCs w:val="22"/>
        </w:rPr>
        <w:t xml:space="preserve">Demo Keys (ready to use - no setup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400"/>
        <w:gridCol w:w="1626"/>
      </w:tblGrid>
      <w:tr>
        <w:trPr>
          <w:tblHeader/>
        </w:trPr>
        <w:tc>
          <w:tcPr>
            <w:tcW w:type="dxa" w:w="30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API Key</w:t>
            </w:r>
          </w:p>
        </w:tc>
        <w:tc>
          <w:tcPr>
            <w:tcW w:type="dxa" w:w="16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Tier</w:t>
            </w:r>
          </w:p>
        </w:tc>
        <w:tc>
          <w:tcPr>
            <w:tcW w:type="dxa" w:w="14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Req/Day</w:t>
            </w:r>
          </w:p>
        </w:tc>
        <w:tc>
          <w:tcPr>
            <w:tcW w:type="dxa" w:w="1400"/>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History</w:t>
            </w:r>
          </w:p>
        </w:tc>
        <w:tc>
          <w:tcPr>
            <w:tcW w:type="dxa" w:w="1626"/>
            <w:gridSpan w:val="1"/>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Signals</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demo-free-key-001</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Free</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7 days</w:t>
            </w:r>
          </w:p>
        </w:tc>
        <w:tc>
          <w:tcPr>
            <w:tcW w:type="dxa" w:w="1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No</w:t>
            </w:r>
          </w:p>
        </w:tc>
      </w:tr>
      <w:tr>
        <w:tc>
          <w:tcPr>
            <w:tcW w:type="dxa" w:w="3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demo-starter-key-001</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Starter</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500</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90 days</w:t>
            </w:r>
          </w:p>
        </w:tc>
        <w:tc>
          <w:tcPr>
            <w:tcW w:type="dxa" w:w="1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No</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demo-pro-key-001</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Pro</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Unlimited</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3 years</w:t>
            </w:r>
          </w:p>
        </w:tc>
        <w:tc>
          <w:tcPr>
            <w:tcW w:type="dxa" w:w="162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Yes</w:t>
            </w:r>
          </w:p>
        </w:tc>
      </w:tr>
      <w:tr>
        <w:tc>
          <w:tcPr>
            <w:tcW w:type="dxa" w:w="3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demo-enterprise-key-001</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Enterprise</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Unlimited</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10 years</w:t>
            </w:r>
          </w:p>
        </w:tc>
        <w:tc>
          <w:tcPr>
            <w:tcW w:type="dxa" w:w="162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C3E50"/>
                <w:sz w:val="18"/>
                <w:szCs w:val="18"/>
              </w:rPr>
              <w:t xml:space="preserve">Yes</w:t>
            </w:r>
          </w:p>
        </w:tc>
      </w:tr>
    </w:tbl>
    <w:p>
      <w:pPr>
        <w:spacing w:after="160" w:before="40"/>
        <w:jc w:val="center"/>
      </w:pPr>
      <w:r>
        <w:rPr>
          <w:rFonts w:ascii="Arial" w:cs="Arial" w:eastAsia="Arial" w:hAnsi="Arial"/>
          <w:i/>
          <w:iCs/>
          <w:color w:val="5A6472"/>
          <w:sz w:val="17"/>
          <w:szCs w:val="17"/>
        </w:rPr>
        <w:t xml:space="preserve">Table 9 - Pre-built demo API keys. Pass as HTTP header: X-API-Key</w:t>
      </w:r>
    </w:p>
    <w:p>
      <w:r>
        <w:t xml:space="preserve"/>
      </w:r>
    </w:p>
    <w:p>
      <w:pPr>
        <w:pStyle w:val="Heading3"/>
        <w:spacing w:after="80" w:before="180"/>
      </w:pPr>
      <w:r>
        <w:rPr>
          <w:rFonts w:ascii="Arial" w:cs="Arial" w:eastAsia="Arial" w:hAnsi="Arial"/>
          <w:b/>
          <w:bCs/>
          <w:color w:val="0D1B2A"/>
          <w:sz w:val="22"/>
          <w:szCs w:val="22"/>
        </w:rPr>
        <w:t xml:space="preserve">How to call the API</w:t>
      </w:r>
    </w:p>
    <w:p>
      <w:pPr>
        <w:shd w:fill="F4F6F8" w:val="clear"/>
        <w:spacing w:after="60" w:before="60"/>
        <w:ind w:left="360" w:right="360"/>
      </w:pPr>
      <w:r>
        <w:rPr>
          <w:rFonts w:ascii="Courier New" w:cs="Courier New" w:eastAsia="Courier New" w:hAnsi="Courier New"/>
          <w:color w:val="1A1A2E"/>
          <w:sz w:val="17"/>
          <w:szCs w:val="17"/>
        </w:rPr>
        <w:t xml:space="preserve"># 1. Start the server</w:t>
      </w:r>
    </w:p>
    <w:p>
      <w:pPr>
        <w:shd w:fill="F4F6F8" w:val="clear"/>
        <w:spacing w:after="60" w:before="60"/>
        <w:ind w:left="360" w:right="360"/>
      </w:pPr>
      <w:r>
        <w:rPr>
          <w:rFonts w:ascii="Courier New" w:cs="Courier New" w:eastAsia="Courier New" w:hAnsi="Courier New"/>
          <w:color w:val="1A1A2E"/>
          <w:sz w:val="17"/>
          <w:szCs w:val="17"/>
        </w:rPr>
        <w:t xml:space="preserve">uvicorn delivery.api:app --reload --port 8000</w:t>
      </w:r>
    </w:p>
    <w:p>
      <w:pPr>
        <w:shd w:fill="F4F6F8" w:val="clear"/>
        <w:spacing w:after="60" w:before="60"/>
        <w:ind w:left="360" w:right="360"/>
      </w:pPr>
      <w:r>
        <w:rPr>
          <w:rFonts w:ascii="Courier New" w:cs="Courier New" w:eastAsia="Courier New" w:hAnsi="Courier New"/>
          <w:color w:val="1A1A2E"/>
          <w:sz w:val="17"/>
          <w:szCs w:val="17"/>
        </w:rPr>
        <w:t xml:space="preserve"/>
      </w:r>
    </w:p>
    <w:p>
      <w:pPr>
        <w:shd w:fill="F4F6F8" w:val="clear"/>
        <w:spacing w:after="60" w:before="60"/>
        <w:ind w:left="360" w:right="360"/>
      </w:pPr>
      <w:r>
        <w:rPr>
          <w:rFonts w:ascii="Courier New" w:cs="Courier New" w:eastAsia="Courier New" w:hAnsi="Courier New"/>
          <w:color w:val="1A1A2E"/>
          <w:sz w:val="17"/>
          <w:szCs w:val="17"/>
        </w:rPr>
        <w:t xml:space="preserve"># 2. Pro tier - alpha signals for TSMC (2330)</w:t>
      </w:r>
    </w:p>
    <w:p>
      <w:pPr>
        <w:shd w:fill="F4F6F8" w:val="clear"/>
        <w:spacing w:after="60" w:before="60"/>
        <w:ind w:left="360" w:right="360"/>
      </w:pPr>
      <w:r>
        <w:rPr>
          <w:rFonts w:ascii="Courier New" w:cs="Courier New" w:eastAsia="Courier New" w:hAnsi="Courier New"/>
          <w:color w:val="1A1A2E"/>
          <w:sz w:val="17"/>
          <w:szCs w:val="17"/>
        </w:rPr>
        <w:t xml:space="preserve">curl -H "X-API-Key: demo-pro-key-001" http://localhost:8000/v1/signals/2330</w:t>
      </w:r>
    </w:p>
    <w:p>
      <w:pPr>
        <w:shd w:fill="F4F6F8" w:val="clear"/>
        <w:spacing w:after="60" w:before="60"/>
        <w:ind w:left="360" w:right="360"/>
      </w:pPr>
      <w:r>
        <w:rPr>
          <w:rFonts w:ascii="Courier New" w:cs="Courier New" w:eastAsia="Courier New" w:hAnsi="Courier New"/>
          <w:color w:val="1A1A2E"/>
          <w:sz w:val="17"/>
          <w:szCs w:val="17"/>
        </w:rPr>
        <w:t xml:space="preserve"/>
      </w:r>
    </w:p>
    <w:p>
      <w:pPr>
        <w:shd w:fill="F4F6F8" w:val="clear"/>
        <w:spacing w:after="60" w:before="60"/>
        <w:ind w:left="360" w:right="360"/>
      </w:pPr>
      <w:r>
        <w:rPr>
          <w:rFonts w:ascii="Courier New" w:cs="Courier New" w:eastAsia="Courier New" w:hAnsi="Courier New"/>
          <w:color w:val="1A1A2E"/>
          <w:sz w:val="17"/>
          <w:szCs w:val="17"/>
        </w:rPr>
        <w:t xml:space="preserve"># 3. Starter - institutional flow for Hon Hai (2317)</w:t>
      </w:r>
    </w:p>
    <w:p>
      <w:pPr>
        <w:shd w:fill="F4F6F8" w:val="clear"/>
        <w:spacing w:after="60" w:before="60"/>
        <w:ind w:left="360" w:right="360"/>
      </w:pPr>
      <w:r>
        <w:rPr>
          <w:rFonts w:ascii="Courier New" w:cs="Courier New" w:eastAsia="Courier New" w:hAnsi="Courier New"/>
          <w:color w:val="1A1A2E"/>
          <w:sz w:val="17"/>
          <w:szCs w:val="17"/>
        </w:rPr>
        <w:t xml:space="preserve">curl -H "X-API-Key: demo-starter-key-001" http://localhost:8000/v1/institutional/2317</w:t>
      </w:r>
    </w:p>
    <w:p>
      <w:pPr>
        <w:shd w:fill="F4F6F8" w:val="clear"/>
        <w:spacing w:after="60" w:before="60"/>
        <w:ind w:left="360" w:right="360"/>
      </w:pPr>
      <w:r>
        <w:rPr>
          <w:rFonts w:ascii="Courier New" w:cs="Courier New" w:eastAsia="Courier New" w:hAnsi="Courier New"/>
          <w:color w:val="1A1A2E"/>
          <w:sz w:val="17"/>
          <w:szCs w:val="17"/>
        </w:rPr>
        <w:t xml:space="preserve"/>
      </w:r>
    </w:p>
    <w:p>
      <w:pPr>
        <w:shd w:fill="F4F6F8" w:val="clear"/>
        <w:spacing w:after="60" w:before="60"/>
        <w:ind w:left="360" w:right="360"/>
      </w:pPr>
      <w:r>
        <w:rPr>
          <w:rFonts w:ascii="Courier New" w:cs="Courier New" w:eastAsia="Courier New" w:hAnsi="Courier New"/>
          <w:color w:val="1A1A2E"/>
          <w:sz w:val="17"/>
          <w:szCs w:val="17"/>
        </w:rPr>
        <w:t xml:space="preserve"># 4. Free tier (no key needed) - price data</w:t>
      </w:r>
    </w:p>
    <w:p>
      <w:pPr>
        <w:shd w:fill="F4F6F8" w:val="clear"/>
        <w:spacing w:after="60" w:before="60"/>
        <w:ind w:left="360" w:right="360"/>
      </w:pPr>
      <w:r>
        <w:rPr>
          <w:rFonts w:ascii="Courier New" w:cs="Courier New" w:eastAsia="Courier New" w:hAnsi="Courier New"/>
          <w:color w:val="1A1A2E"/>
          <w:sz w:val="17"/>
          <w:szCs w:val="17"/>
        </w:rPr>
        <w:t xml:space="preserve">curl http://localhost:8000/v1/price/2454</w:t>
      </w:r>
    </w:p>
    <w:p>
      <w:pPr>
        <w:shd w:fill="F4F6F8" w:val="clear"/>
        <w:spacing w:after="60" w:before="60"/>
        <w:ind w:left="360" w:right="360"/>
      </w:pPr>
      <w:r>
        <w:rPr>
          <w:rFonts w:ascii="Courier New" w:cs="Courier New" w:eastAsia="Courier New" w:hAnsi="Courier New"/>
          <w:color w:val="1A1A2E"/>
          <w:sz w:val="17"/>
          <w:szCs w:val="17"/>
        </w:rPr>
        <w:t xml:space="preserve"/>
      </w:r>
    </w:p>
    <w:p>
      <w:pPr>
        <w:shd w:fill="F4F6F8" w:val="clear"/>
        <w:spacing w:after="60" w:before="60"/>
        <w:ind w:left="360" w:right="360"/>
      </w:pPr>
      <w:r>
        <w:rPr>
          <w:rFonts w:ascii="Courier New" w:cs="Courier New" w:eastAsia="Courier New" w:hAnsi="Courier New"/>
          <w:color w:val="1A1A2E"/>
          <w:sz w:val="17"/>
          <w:szCs w:val="17"/>
        </w:rPr>
        <w:t xml:space="preserve"># 5. Interactive docs (Swagger UI)</w:t>
      </w:r>
    </w:p>
    <w:p>
      <w:pPr>
        <w:shd w:fill="F4F6F8" w:val="clear"/>
        <w:spacing w:after="60" w:before="60"/>
        <w:ind w:left="360" w:right="360"/>
      </w:pPr>
      <w:r>
        <w:rPr>
          <w:rFonts w:ascii="Courier New" w:cs="Courier New" w:eastAsia="Courier New" w:hAnsi="Courier New"/>
          <w:color w:val="1A1A2E"/>
          <w:sz w:val="17"/>
          <w:szCs w:val="17"/>
        </w:rPr>
        <w:t xml:space="preserve">open http://localhost:8000/docs</w:t>
      </w:r>
    </w:p>
    <w:p>
      <w:r>
        <w:t xml:space="preserve"/>
      </w:r>
    </w:p>
    <w:p>
      <w:pPr>
        <w:pStyle w:val="Heading3"/>
        <w:spacing w:after="80" w:before="180"/>
      </w:pPr>
      <w:r>
        <w:rPr>
          <w:rFonts w:ascii="Arial" w:cs="Arial" w:eastAsia="Arial" w:hAnsi="Arial"/>
          <w:b/>
          <w:bCs/>
          <w:color w:val="0D1B2A"/>
          <w:sz w:val="22"/>
          <w:szCs w:val="22"/>
        </w:rPr>
        <w:t xml:space="preserve">Add a custom key for testing</w:t>
      </w:r>
    </w:p>
    <w:p>
      <w:pPr>
        <w:spacing w:after="120" w:before="0"/>
        <w:jc w:val="both"/>
      </w:pPr>
      <w:r>
        <w:rPr>
          <w:rFonts w:ascii="Arial" w:cs="Arial" w:eastAsia="Arial" w:hAnsi="Arial"/>
          <w:b w:val="false"/>
          <w:bCs w:val="false"/>
          <w:i w:val="false"/>
          <w:iCs w:val="false"/>
          <w:color w:val="2C3E50"/>
          <w:sz w:val="20"/>
          <w:szCs w:val="20"/>
        </w:rPr>
        <w:t xml:space="preserve">To use any string as an API key, open delivery/api.py and add one line to MOCK_KEYS:</w:t>
      </w:r>
    </w:p>
    <w:p>
      <w:pPr>
        <w:shd w:fill="F4F6F8" w:val="clear"/>
        <w:spacing w:after="60" w:before="60"/>
        <w:ind w:left="360" w:right="360"/>
      </w:pPr>
      <w:r>
        <w:rPr>
          <w:rFonts w:ascii="Courier New" w:cs="Courier New" w:eastAsia="Courier New" w:hAnsi="Courier New"/>
          <w:color w:val="1A1A2E"/>
          <w:sz w:val="17"/>
          <w:szCs w:val="17"/>
        </w:rPr>
        <w:t xml:space="preserve">MOCK_KEYS = {</w:t>
      </w:r>
    </w:p>
    <w:p>
      <w:pPr>
        <w:shd w:fill="F4F6F8" w:val="clear"/>
        <w:spacing w:after="60" w:before="60"/>
        <w:ind w:left="360" w:right="360"/>
      </w:pPr>
      <w:r>
        <w:rPr>
          <w:rFonts w:ascii="Courier New" w:cs="Courier New" w:eastAsia="Courier New" w:hAnsi="Courier New"/>
          <w:color w:val="1A1A2E"/>
          <w:sz w:val="17"/>
          <w:szCs w:val="17"/>
        </w:rPr>
        <w:t xml:space="preserve">    ...existing keys...</w:t>
      </w:r>
    </w:p>
    <w:p>
      <w:pPr>
        <w:shd w:fill="F4F6F8" w:val="clear"/>
        <w:spacing w:after="60" w:before="60"/>
        <w:ind w:left="360" w:right="360"/>
      </w:pPr>
      <w:r>
        <w:rPr>
          <w:rFonts w:ascii="Courier New" w:cs="Courier New" w:eastAsia="Courier New" w:hAnsi="Courier New"/>
          <w:color w:val="1A1A2E"/>
          <w:sz w:val="17"/>
          <w:szCs w:val="17"/>
        </w:rPr>
        <w:t xml:space="preserve">    "my-custom-key-xyz": "pro",   # &lt;-- add this line, choose any tier</w:t>
      </w:r>
    </w:p>
    <w:p>
      <w:pPr>
        <w:shd w:fill="F4F6F8" w:val="clear"/>
        <w:spacing w:after="60" w:before="60"/>
        <w:ind w:left="360" w:right="360"/>
      </w:pPr>
      <w:r>
        <w:rPr>
          <w:rFonts w:ascii="Courier New" w:cs="Courier New" w:eastAsia="Courier New" w:hAnsi="Courier New"/>
          <w:color w:val="1A1A2E"/>
          <w:sz w:val="17"/>
          <w:szCs w:val="17"/>
        </w:rPr>
        <w:t xml:space="preserve">}</w:t>
      </w:r>
    </w:p>
    <w:p>
      <w:r>
        <w:t xml:space="preserve"/>
      </w:r>
    </w:p>
    <w:p>
      <w:pPr>
        <w:pStyle w:val="Heading3"/>
        <w:spacing w:after="80" w:before="180"/>
      </w:pPr>
      <w:r>
        <w:rPr>
          <w:rFonts w:ascii="Arial" w:cs="Arial" w:eastAsia="Arial" w:hAnsi="Arial"/>
          <w:b/>
          <w:bCs/>
          <w:color w:val="0D1B2A"/>
          <w:sz w:val="22"/>
          <w:szCs w:val="22"/>
        </w:rPr>
        <w:t xml:space="preserve">Production key issuance (future roadmap)</w:t>
      </w:r>
    </w:p>
    <w:p>
      <w:pPr>
        <w:spacing w:after="120" w:before="0"/>
        <w:jc w:val="both"/>
      </w:pPr>
      <w:r>
        <w:rPr>
          <w:rFonts w:ascii="Arial" w:cs="Arial" w:eastAsia="Arial" w:hAnsi="Arial"/>
          <w:b w:val="false"/>
          <w:bCs w:val="false"/>
          <w:i w:val="false"/>
          <w:iCs w:val="false"/>
          <w:color w:val="2C3E50"/>
          <w:sz w:val="20"/>
          <w:szCs w:val="20"/>
        </w:rPr>
        <w:t xml:space="preserve">In production, new API keys are issued automatically: (1) user registers at taiwanalpha.io/signup, (2) selects a tier and pays via Stripe Checkout, (3) a Stripe webhook triggers the backend to generate a UUID key, store it in PostgreSQL with tier + quota, and email it to the user. The API code itself requires no changes - only the MOCK_KEYS lookup is replaced by a database query.</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6"/>
              <w:left w:val="thick" w:color="1A7A6E" w:sz="12"/>
              <w:bottom w:val="single" w:color="1A7A6E" w:sz="6"/>
              <w:right w:val="none" w:color="FFFFFF" w:sz="0"/>
            </w:tcBorders>
            <w:shd w:fill="E8F5F3" w:val="clear"/>
            <w:tcMar>
              <w:top w:type="dxa" w:w="120"/>
              <w:left w:type="dxa" w:w="240"/>
              <w:bottom w:type="dxa" w:w="120"/>
              <w:right w:type="dxa" w:w="240"/>
            </w:tcMar>
          </w:tcPr>
          <w:p>
            <w:pPr>
              <w:spacing w:after="60" w:before="0"/>
            </w:pPr>
            <w:r>
              <w:rPr>
                <w:rFonts w:ascii="Arial" w:cs="Arial" w:eastAsia="Arial" w:hAnsi="Arial"/>
                <w:b/>
                <w:bCs/>
                <w:color w:val="1A7A6E"/>
                <w:sz w:val="22"/>
                <w:szCs w:val="22"/>
              </w:rPr>
              <w:t xml:space="preserve">Conclusion</w:t>
            </w:r>
          </w:p>
          <w:p>
            <w:pPr>
              <w:spacing w:after="0" w:before="0"/>
              <w:jc w:val="both"/>
            </w:pPr>
            <w:r>
              <w:rPr>
                <w:rFonts w:ascii="Arial" w:cs="Arial" w:eastAsia="Arial" w:hAnsi="Arial"/>
                <w:color w:val="2C3E50"/>
                <w:sz w:val="20"/>
                <w:szCs w:val="20"/>
              </w:rPr>
              <w:t xml:space="preserve">TaiwanAlpha demonstrates a clear path from public data to recurring revenue: TWSE's institutional flow data is free, underserved as an API product, and has a validated customer base willing to pay $29-$99/month. The technical system is built on industry-standard big data tools (Kafka, Parquet, DuckDB, Spark-ready), is deployable from a single machine for the MVP phase, and scales to production workloads with well-understood architectural migrations. The business model is capital-efficient: breakeven requires fewer than five paying subscribers.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6" w:space="1"/>
      </w:pBdr>
      <w:spacing w:after="0" w:before="80"/>
      <w:jc w:val="right"/>
    </w:pPr>
    <w:r>
      <w:rPr>
        <w:rFonts w:ascii="Arial" w:cs="Arial" w:eastAsia="Arial" w:hAnsi="Arial"/>
        <w:color w:val="5A6472"/>
        <w:sz w:val="16"/>
        <w:szCs w:val="16"/>
      </w:rPr>
      <w:t xml:space="preserve">Page </w:t>
    </w:r>
    <w:r>
      <w:rPr>
        <w:rFonts w:ascii="Arial" w:cs="Arial" w:eastAsia="Arial" w:hAnsi="Arial"/>
        <w:color w:val="5A6472"/>
        <w:sz w:val="16"/>
        <w:szCs w:val="16"/>
      </w:rPr>
      <w:fldChar w:fldCharType="begin"/>
      <w:instrText xml:space="preserve">PAGE</w:instrText>
      <w:fldChar w:fldCharType="separate"/>
      <w:fldChar w:fldCharType="end"/>
    </w:r>
    <w:r>
      <w:rPr>
        <w:rFonts w:ascii="Arial" w:cs="Arial" w:eastAsia="Arial" w:hAnsi="Arial"/>
        <w:color w:val="5A6472"/>
        <w:sz w:val="16"/>
        <w:szCs w:val="16"/>
      </w:rPr>
      <w:t xml:space="preserve"> of </w:t>
    </w:r>
    <w:r>
      <w:rPr>
        <w:rFonts w:ascii="Arial" w:cs="Arial" w:eastAsia="Arial" w:hAnsi="Arial"/>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6" w:space="1"/>
      </w:pBdr>
      <w:spacing w:after="120" w:before="0"/>
    </w:pPr>
    <w:r>
      <w:rPr>
        <w:rFonts w:ascii="Arial" w:cs="Arial" w:eastAsia="Arial" w:hAnsi="Arial"/>
        <w:color w:val="5A6472"/>
        <w:sz w:val="16"/>
        <w:szCs w:val="16"/>
      </w:rPr>
      <w:t xml:space="preserve">TaiwanAlpha  |  Big Data Systems Final Project  |  R14922139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7A6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2026-05-24T18:50:56.389Z</dcterms:created>
  <dcterms:modified xsi:type="dcterms:W3CDTF">2026-05-24T18:50:56.389Z</dcterms:modified>
</cp:coreProperties>
</file>

<file path=docProps/custom.xml><?xml version="1.0" encoding="utf-8"?>
<Properties xmlns="http://schemas.openxmlformats.org/officeDocument/2006/custom-properties" xmlns:vt="http://schemas.openxmlformats.org/officeDocument/2006/docPropsVTypes"/>
</file>