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00"/>
        <w:jc w:val="left"/>
      </w:pPr>
      <w:r>
        <w:drawing>
          <wp:inline distT="0" distB="0" distL="0" distR="0">
            <wp:extent cx="180975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Segoe UI Semibold" w:cs="Segoe UI Semibold" w:eastAsia="Segoe UI Semibold" w:hAnsi="Segoe UI Semibold"/>
          <w:color w:val="B86E0A"/>
          <w:spacing w:val="40"/>
          <w:sz w:val="22"/>
          <w:szCs w:val="22"/>
        </w:rPr>
        <w:t xml:space="preserve">PROPOSTA TÉCNICA E COMERCIAL</w:t>
      </w:r>
    </w:p>
    <w:p>
      <w:pPr>
        <w:pBdr>
          <w:bottom w:val="single" w:color="F2A33A" w:sz="18" w:space="12"/>
        </w:pBdr>
        <w:spacing w:after="400"/>
      </w:pPr>
      <w:r>
        <w:rPr>
          <w:rFonts w:ascii="Segoe UI Semibold" w:cs="Segoe UI Semibold" w:eastAsia="Segoe UI Semibold" w:hAnsi="Segoe UI Semibold"/>
          <w:i w:val="false"/>
          <w:iCs w:val="false"/>
          <w:color w:val="B86E0A"/>
          <w:sz w:val="44"/>
          <w:szCs w:val="44"/>
        </w:rPr>
        <w:t xml:space="preserve">[Título da proposta, ex.: Implantação BIM conforme ISO 19650]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Cliente: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[Razão social do cliente]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A/C: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[Nome e cargo do contato]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Proposta nº: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[KM-AAAA-000]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Data: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[dd/mm/aaaa]</w:t>
      </w: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    Validade: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30 dias</w:t>
      </w:r>
    </w:p>
    <w:p>
      <w:pPr>
        <w:spacing w:before="2200"/>
      </w:pPr>
      <w:r>
        <w:rPr>
          <w:rFonts w:ascii="Segoe UI Semibold" w:cs="Segoe UI Semibold" w:eastAsia="Segoe UI Semibold" w:hAnsi="Segoe UI Semibold"/>
          <w:color w:val="0B5563"/>
          <w:sz w:val="24"/>
          <w:szCs w:val="24"/>
        </w:rPr>
        <w:t xml:space="preserve">Conhecimento que constrói.</w:t>
      </w:r>
    </w:p>
    <w:p>
      <w:pPr>
        <w:spacing w:after="120" w:line="300"/>
      </w:pPr>
      <w:r>
        <w:rPr>
          <w:rFonts w:ascii="Calibri" w:cs="Calibri" w:eastAsia="Calibri" w:hAnsi="Calibri"/>
          <w:color w:val="56666D"/>
          <w:sz w:val="18"/>
          <w:szCs w:val="18"/>
        </w:rPr>
        <w:t xml:space="preserve">KM Consultoria BIM Ltda · kmbim.com.br · contato@kmbim.com.br</w:t>
      </w:r>
    </w:p>
    <w:p>
      <w:r>
        <w:br w:type="page"/>
      </w:r>
    </w:p>
    <w:p>
      <w:pPr>
        <w:pStyle w:val="Heading1"/>
      </w:pPr>
      <w:r>
        <w:t xml:space="preserve">1. Apresentação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A KM BIM Consultoria apoia empresas de arquitetura, engenharia e construção na digitalização de seus processos de projeto, planejamento e obra. Atuamos do diagnóstico à operação assistida, com método, normas (ABNT NBR ISO 19650) e foco em resultado de obra.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A empresa é conduzida por Marcelo Nonato Santos, engenheiro civil pela Escola Politécnica da USP, com mais de 30 anos de experiência em canteiro, planejamento, custos, sistemas corporativos e construção virtual, palestrante em três edições da Autodesk University e certificado buildingSMART.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Agradecemos a oportunidade de apresentar esta proposta a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[nome do cliente]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.</w:t>
      </w:r>
    </w:p>
    <w:p>
      <w:pPr>
        <w:pStyle w:val="Heading1"/>
      </w:pPr>
      <w:r>
        <w:t xml:space="preserve">2. Entendimento da necessidade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6666D"/>
          <w:sz w:val="19"/>
          <w:szCs w:val="19"/>
        </w:rPr>
        <w:t xml:space="preserve">Descreva com as palavras do cliente o contexto e o problema. Mostrar que entendeu é o que mais pesa na decisão.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Contexto: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[porte da empresa, tipo de empreendimento, fase atual, ferramentas em uso]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Desafio: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[o que motivou o contato, ex.: interferências descobertas em obra, retrabalho, falta de padrão nas entregas]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[resultado esperado, ex.: padronizar a coordenação dos projetos recebidos e reduzir retrabalho em obra]</w:t>
      </w:r>
    </w:p>
    <w:p>
      <w:pPr>
        <w:pStyle w:val="Heading1"/>
      </w:pPr>
      <w:r>
        <w:t xml:space="preserve">3. Escopo dos serviços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6666D"/>
          <w:sz w:val="19"/>
          <w:szCs w:val="19"/>
        </w:rPr>
        <w:t xml:space="preserve">Use as soluções do catálogo do site (kmbim.com.br/solucoes). Remova as linhas que não se aplicam.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600"/>
        <w:gridCol w:w="387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serviço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Entregáveis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[Diagnóstico de maturidade BIM]</w:t>
            </w:r>
          </w:p>
        </w:tc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[Mapeamento de processos, pessoas e ferramentas]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[Relatório e plano de evolução]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[Implantação BIM conforme ISO 19650]</w:t>
            </w:r>
          </w:p>
        </w:tc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[Requisitos de informação, BEP, padrões e templates]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[OIR/AIR/EIR, BEP, templates]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[Solução]</w:t>
            </w:r>
          </w:p>
        </w:tc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[Descrição]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[Entregáveis]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Fora do escopo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[ex.: modelagem de disciplinas, aquisição de licenças de software, execução de obra]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[ex.: deslocamentos fora da Grande São Paulo, salvo se previstos no item 8]</w:t>
      </w:r>
    </w:p>
    <w:p>
      <w:pPr>
        <w:pStyle w:val="Heading1"/>
      </w:pPr>
      <w:r>
        <w:t xml:space="preserve">4. Metodologia e etapas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Mobilização: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reunião de partida, alinhamento de expectativas, definição do ponto focal e do cronograma detalhado.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Levantamento: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entrevistas, análise de documentos, modelos e processos atuais.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Desenvolvimento: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[atividades principais do escopo]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Validação: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apresentação dos resultados, ajustes e aprovação dos entregáveis.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Transferência: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capacitação da equipe e operação assistida, quando prevista.</w:t>
      </w:r>
    </w:p>
    <w:p>
      <w:pPr>
        <w:pStyle w:val="Heading1"/>
      </w:pPr>
      <w:r>
        <w:t xml:space="preserve">5. Cronograma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70"/>
        <w:gridCol w:w="1900"/>
        <w:gridCol w:w="3300"/>
      </w:tblGrid>
      <w:tr>
        <w:trPr>
          <w:cantSplit/>
          <w:tblHeader/>
        </w:trPr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33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 / entregável</w:t>
            </w:r>
          </w:p>
        </w:tc>
      </w:tr>
      <w:tr>
        <w:trPr>
          <w:cantSplit/>
        </w:trPr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Mobilização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[semana 1]</w:t>
            </w:r>
          </w:p>
        </w:tc>
        <w:tc>
          <w:tcPr>
            <w:tcW w:type="dxa" w:w="33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Reunião de partida e plano detalhado</w:t>
            </w:r>
          </w:p>
        </w:tc>
      </w:tr>
      <w:tr>
        <w:trPr>
          <w:cantSplit/>
        </w:trPr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Levantamento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[semanas 2 a 3]</w:t>
            </w:r>
          </w:p>
        </w:tc>
        <w:tc>
          <w:tcPr>
            <w:tcW w:type="dxa" w:w="33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[Relatório de levantamento]</w:t>
            </w:r>
          </w:p>
        </w:tc>
      </w:tr>
      <w:tr>
        <w:trPr>
          <w:cantSplit/>
        </w:trPr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Desenvolvimento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[semanas 4 a 8]</w:t>
            </w:r>
          </w:p>
        </w:tc>
        <w:tc>
          <w:tcPr>
            <w:tcW w:type="dxa" w:w="33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[Entregáveis do escopo]</w:t>
            </w:r>
          </w:p>
        </w:tc>
      </w:tr>
      <w:tr>
        <w:trPr>
          <w:cantSplit/>
        </w:trPr>
        <w:tc>
          <w:tcPr>
            <w:tcW w:type="dxa" w:w="3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Validação e transferência</w:t>
            </w:r>
          </w:p>
        </w:tc>
        <w:tc>
          <w:tcPr>
            <w:tcW w:type="dxa" w:w="19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[semanas 9 a 10]</w:t>
            </w:r>
          </w:p>
        </w:tc>
        <w:tc>
          <w:tcPr>
            <w:tcW w:type="dxa" w:w="33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Aprovação final e capacitação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Prazo total estimado: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[10 semanas]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, contado a partir da reunião de partida.</w:t>
      </w:r>
    </w:p>
    <w:p>
      <w:pPr>
        <w:pStyle w:val="Heading1"/>
      </w:pPr>
      <w:r>
        <w:t xml:space="preserve">6. Equipe e responsabilidade técnica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Coordenação técnica e responsabilidade: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Eng. Marcelo Nonato Santos,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[CREA-SP nº]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Parceiros: </w:t>
      </w: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[quando houver, ex.: modelagem ou captura da realidade por parceiro qualificado, sob coordenação da KM BIM]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Será emitida Anotação de Responsabilidade Técnica (ART) junto ao CREA para os serviços desta proposta.</w:t>
      </w:r>
    </w:p>
    <w:p>
      <w:pPr>
        <w:pStyle w:val="Heading1"/>
      </w:pPr>
      <w:r>
        <w:t xml:space="preserve">7. Responsabilidades do cliente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Indicar um ponto focal com autonomia para decisões e aprovações.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Fornecer projetos, modelos, documentos e acessos necessários (CDE, sistemas) nos prazos combinados.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Garantir a participação das equipes nas entrevistas, reuniões e capacitações.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Aprovar ou comentar os entregáveis em até 5 dias úteis após o recebimento.</w:t>
      </w:r>
    </w:p>
    <w:p>
      <w:pPr>
        <w:pStyle w:val="Heading1"/>
      </w:pPr>
      <w:r>
        <w:t xml:space="preserve">8. Investimento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870"/>
        <w:gridCol w:w="1500"/>
        <w:gridCol w:w="2000"/>
      </w:tblGrid>
      <w:tr>
        <w:trPr>
          <w:cantSplit/>
          <w:tblHeader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20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1</w:t>
            </w:r>
          </w:p>
        </w:tc>
        <w:tc>
          <w:tcPr>
            <w:tcW w:type="dxa" w:w="4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[Solução / etapa]</w:t>
            </w:r>
          </w:p>
        </w:tc>
        <w:tc>
          <w:tcPr>
            <w:tcW w:type="dxa" w:w="15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[xx h]</w:t>
            </w:r>
          </w:p>
        </w:tc>
        <w:tc>
          <w:tcPr>
            <w:tcW w:type="dxa" w:w="20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[0,00]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2</w:t>
            </w:r>
          </w:p>
        </w:tc>
        <w:tc>
          <w:tcPr>
            <w:tcW w:type="dxa" w:w="4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[Solução / etapa]</w:t>
            </w:r>
          </w:p>
        </w:tc>
        <w:tc>
          <w:tcPr>
            <w:tcW w:type="dxa" w:w="15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[xx h]</w:t>
            </w:r>
          </w:p>
        </w:tc>
        <w:tc>
          <w:tcPr>
            <w:tcW w:type="dxa" w:w="20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[0,00]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3</w:t>
            </w:r>
          </w:p>
        </w:tc>
        <w:tc>
          <w:tcPr>
            <w:tcW w:type="dxa" w:w="4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[Despesas de deslocamento, se houver]</w:t>
            </w:r>
          </w:p>
        </w:tc>
        <w:tc>
          <w:tcPr>
            <w:tcW w:type="dxa" w:w="15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[verba]</w:t>
            </w:r>
          </w:p>
        </w:tc>
        <w:tc>
          <w:tcPr>
            <w:tcW w:type="dxa" w:w="20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[0,00]</w:t>
            </w:r>
          </w:p>
        </w:tc>
      </w:tr>
      <w:tr>
        <w:tc>
          <w:tcPr>
            <w:tcW w:type="dxa" w:w="7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EEF3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2A31"/>
                <w:sz w:val="19"/>
                <w:szCs w:val="19"/>
              </w:rPr>
              <w:t xml:space="preserve"/>
            </w:r>
          </w:p>
        </w:tc>
        <w:tc>
          <w:tcPr>
            <w:tcW w:type="dxa" w:w="487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EEF3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2A31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EEF3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2A3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EEF3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E0A"/>
                <w:sz w:val="19"/>
                <w:szCs w:val="19"/>
              </w:rPr>
              <w:t xml:space="preserve">[0,00]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Condições de pagamento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i/>
          <w:iCs/>
          <w:color w:val="B86E0A"/>
          <w:sz w:val="21"/>
          <w:szCs w:val="21"/>
        </w:rPr>
        <w:t xml:space="preserve">[ex.: 30% na assinatura e 70% em parcelas mensais, conforme entrega das etapas]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Faturamento por nota fiscal de serviços, com vencimento em 15 dias da emissão.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Valores com impostos inclusos.</w:t>
      </w:r>
    </w:p>
    <w:p>
      <w:pPr>
        <w:pStyle w:val="Heading1"/>
      </w:pPr>
      <w:r>
        <w:t xml:space="preserve">9. Condições gerais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Validade da proposta: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30 dias a partir da data de emissão.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Alterações de escopo: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serviços não previstos no item 3 serão orçados à parte e iniciados após aprovação.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Reajuste: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contratos com duração superior a 12 meses serão reajustados anualmente pelo IPCA.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Confidencialidade: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as informações do cliente serão usadas exclusivamente para a execução dos serviços e não serão divulgadas a terceiros.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Propriedade intelectual: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os entregáveis produzidos para o cliente passam a ser de sua propriedade após a quitação; métodos, modelos de documentos e ferramentas da KM BIM permanecem de propriedade da KM BIM.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color w:val="1C2A31"/>
          <w:sz w:val="21"/>
          <w:szCs w:val="21"/>
        </w:rPr>
        <w:t xml:space="preserve">Proteção de dados: </w:t>
      </w:r>
      <w:r>
        <w:rPr>
          <w:rFonts w:ascii="Calibri" w:cs="Calibri" w:eastAsia="Calibri" w:hAnsi="Calibri"/>
          <w:color w:val="1C2A31"/>
          <w:sz w:val="21"/>
          <w:szCs w:val="21"/>
        </w:rPr>
        <w:t xml:space="preserve">o tratamento de dados pessoais seguirá a Lei Geral de Proteção de Dados (Lei nº 13.709/2018).</w:t>
      </w:r>
    </w:p>
    <w:p>
      <w:pPr>
        <w:pStyle w:val="Heading1"/>
      </w:pPr>
      <w:r>
        <w:t xml:space="preserve">10. Aceite</w:t>
      </w:r>
    </w:p>
    <w:p>
      <w:pPr>
        <w:spacing w:after="120" w:line="300"/>
      </w:pPr>
      <w:r>
        <w:rPr>
          <w:rFonts w:ascii="Calibri" w:cs="Calibri" w:eastAsia="Calibri" w:hAnsi="Calibri"/>
          <w:color w:val="1C2A31"/>
          <w:sz w:val="21"/>
          <w:szCs w:val="21"/>
        </w:rPr>
        <w:t xml:space="preserve">De acordo com os termos desta proposta.</w:t>
      </w:r>
    </w:p>
    <w:p>
      <w:pPr>
        <w:spacing w:before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KM Consultoria BIM Ltda</w:t>
            </w:r>
          </w:p>
        </w:tc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shd w:fill="0B556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9"/>
                <w:szCs w:val="19"/>
              </w:rPr>
              <w:t xml:space="preserve">[Razão social do cliente]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1C2A31"/>
                <w:sz w:val="19"/>
                <w:szCs w:val="19"/>
              </w:rPr>
              <w:t xml:space="preserve"> </w:t>
            </w:r>
          </w:p>
        </w:tc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1C2A31"/>
                <w:sz w:val="19"/>
                <w:szCs w:val="19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_______________________________</w:t>
            </w:r>
          </w:p>
        </w:tc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_______________________________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A31"/>
                <w:sz w:val="19"/>
                <w:szCs w:val="19"/>
              </w:rPr>
              <w:t xml:space="preserve">Marcelo Nonato Santos · Sócio proprietário</w:t>
            </w:r>
          </w:p>
        </w:tc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[Nome e cargo]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1C2A31"/>
                <w:sz w:val="21"/>
                <w:szCs w:val="21"/>
              </w:rPr>
              <w:t xml:space="preserve">Data: </w:t>
            </w: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4535"/>
            <w:tcBorders>
              <w:top w:val="single" w:color="D6DFE1" w:sz="4"/>
              <w:left w:val="single" w:color="D6DFE1" w:sz="4"/>
              <w:bottom w:val="single" w:color="D6DFE1" w:sz="4"/>
              <w:right w:val="single" w:color="D6DF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1C2A31"/>
                <w:sz w:val="21"/>
                <w:szCs w:val="21"/>
              </w:rPr>
              <w:t xml:space="preserve">Data: </w:t>
            </w:r>
            <w:r>
              <w:rPr>
                <w:rFonts w:ascii="Calibri" w:cs="Calibri" w:eastAsia="Calibri" w:hAnsi="Calibri"/>
                <w:i/>
                <w:iCs/>
                <w:color w:val="B86E0A"/>
                <w:sz w:val="19"/>
                <w:szCs w:val="19"/>
              </w:rPr>
              <w:t xml:space="preserve">[dd/mm/aaaa]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418" w:bottom="1300" w:left="1418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A33A" w:sz="6" w:space="6"/>
      </w:pBdr>
      <w:tabs>
        <w:tab w:val="right" w:pos="9070"/>
      </w:tabs>
    </w:pPr>
    <w:r>
      <w:rPr>
        <w:rFonts w:ascii="Calibri" w:cs="Calibri" w:eastAsia="Calibri" w:hAnsi="Calibri"/>
        <w:color w:val="56666D"/>
        <w:sz w:val="16"/>
        <w:szCs w:val="16"/>
      </w:rPr>
      <w:t xml:space="preserve">KM Consultoria BIM Ltda · kmbim.com.br · contato@kmbim.com.br</w:t>
    </w:r>
    <w:r>
      <w:rPr>
        <w:rFonts w:ascii="Calibri" w:cs="Calibri" w:eastAsia="Calibri" w:hAnsi="Calibri"/>
        <w:color w:val="56666D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FE1" w:sz="6" w:space="6"/>
      </w:pBdr>
      <w:tabs>
        <w:tab w:val="right" w:pos="9070"/>
      </w:tabs>
    </w:pPr>
    <w:r>
      <w:drawing>
        <wp:inline distT="0" distB="0" distL="0" distR="0">
          <wp:extent cx="1047750" cy="3810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6666D"/>
        <w:sz w:val="17"/>
        <w:szCs w:val="17"/>
      </w:rPr>
      <w:t xml:space="preserve">	Proposta nº </w:t>
    </w:r>
    <w:r>
      <w:rPr>
        <w:rFonts w:ascii="Calibri" w:cs="Calibri" w:eastAsia="Calibri" w:hAnsi="Calibri"/>
        <w:i/>
        <w:iCs/>
        <w:color w:val="B86E0A"/>
        <w:sz w:val="17"/>
        <w:szCs w:val="17"/>
      </w:rPr>
      <w:t xml:space="preserve">[KM-AAAA-000]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400" w:hanging="260"/>
      </w:pPr>
      <w:rPr>
        <w:color w:val="F2A33A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B55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31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Segoe UI Semibold" w:cs="Segoe UI Semibold" w:eastAsia="Segoe UI Semibold" w:hAnsi="Segoe UI Semibold"/>
      <w:color w:val="0B556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Segoe UI Semibold" w:cs="Segoe UI Semibold" w:eastAsia="Segoe UI Semibold" w:hAnsi="Segoe UI Semibold"/>
      <w:color w:val="1C2A3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b3ade1e3496c565fffb2cf14446a23338f54c54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dccbd01ac76aa3e03da0a3004f149230bfe4ff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 · KM BIM</dc:title>
  <dc:creator>KM Consultoria BIM Ltda</dc:creator>
  <cp:lastModifiedBy>Un-named</cp:lastModifiedBy>
  <cp:revision>1</cp:revision>
  <dcterms:created xsi:type="dcterms:W3CDTF">2026-10-07T17:55:58.424Z</dcterms:created>
  <dcterms:modified xsi:type="dcterms:W3CDTF">2026-10-07T17:55:58.424Z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