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1E3D"/>
          <w:sz w:val="32"/>
          <w:szCs w:val="32"/>
        </w:rPr>
        <w:t xml:space="preserve">BACC OPERATIONS MANAGEMENT PORTAL</w:t>
      </w:r>
    </w:p>
    <w:p>
      <w:pPr>
        <w:spacing w:after="40"/>
      </w:pPr>
      <w:r>
        <w:rPr>
          <w:rFonts w:ascii="Calibri" w:cs="Calibri" w:eastAsia="Calibri" w:hAnsi="Calibri"/>
          <w:color w:val="1E5FA8"/>
          <w:sz w:val="26"/>
          <w:szCs w:val="26"/>
        </w:rPr>
        <w:t xml:space="preserve">Configuration Questions for BACC</w:t>
      </w:r>
    </w:p>
    <w:p>
      <w:pPr>
        <w:pBdr>
          <w:bottom w:val="single" w:color="0B1E3D" w:sz="12" w:space="8"/>
        </w:pBdr>
        <w:spacing w:after="60"/>
      </w:pPr>
      <w:r>
        <w:rPr>
          <w:rFonts w:ascii="Calibri" w:cs="Calibri" w:eastAsia="Calibri" w:hAnsi="Calibri"/>
          <w:color w:val="667085"/>
          <w:sz w:val="19"/>
          <w:szCs w:val="19"/>
        </w:rPr>
        <w:t xml:space="preserve">Philip S.W. Goldson International Airport  ·  Prepared by Vision Forge Ltd</w:t>
      </w:r>
    </w:p>
    <w:p>
      <w:pPr>
        <w:spacing w:after="200" w:before="200"/>
      </w:pPr>
      <w:r>
        <w:rPr>
          <w:rFonts w:ascii="Calibri" w:cs="Calibri" w:eastAsia="Calibri" w:hAnsi="Calibri"/>
          <w:sz w:val="21"/>
          <w:szCs w:val="21"/>
        </w:rPr>
        <w:t xml:space="preserve">The items below are details the approved Annex forms and the Digital Checklist Technical Requirements do not define, but which the portal needs in order to be configured correctly. </w:t>
      </w:r>
      <w:r>
        <w:rPr>
          <w:rFonts w:ascii="Calibri" w:cs="Calibri" w:eastAsia="Calibri" w:hAnsi="Calibri"/>
          <w:b/>
          <w:bCs/>
          <w:sz w:val="21"/>
          <w:szCs w:val="21"/>
        </w:rPr>
        <w:t xml:space="preserve">Where a question affects an approved form, we have deliberately not assumed an answer</w:t>
      </w:r>
      <w:r>
        <w:rPr>
          <w:rFonts w:ascii="Calibri" w:cs="Calibri" w:eastAsia="Calibri" w:hAnsi="Calibri"/>
          <w:sz w:val="21"/>
          <w:szCs w:val="21"/>
        </w:rPr>
        <w:t xml:space="preserve"> — in line with the non-negotiable rule in §14 of the requirements document.</w:t>
      </w:r>
    </w:p>
    <w:p>
      <w:pPr>
        <w:spacing w:after="300"/>
      </w:pPr>
      <w:r>
        <w:rPr>
          <w:rFonts w:ascii="Calibri" w:cs="Calibri" w:eastAsia="Calibri" w:hAnsi="Calibri"/>
          <w:sz w:val="21"/>
          <w:szCs w:val="21"/>
        </w:rPr>
        <w:t xml:space="preserve">Questions are grouped by urgency. Section A is currently blocking development. Sections B and C can follow.</w:t>
      </w:r>
    </w:p>
    <w:p>
      <w:pPr>
        <w:pBdr>
          <w:bottom w:val="single" w:color="0B1E3D" w:sz="8" w:space="6"/>
        </w:pBdr>
        <w:spacing w:after="160" w:before="360"/>
      </w:pPr>
      <w:r>
        <w:rPr>
          <w:rFonts w:ascii="Calibri" w:cs="Calibri" w:eastAsia="Calibri" w:hAnsi="Calibri"/>
          <w:b/>
          <w:bCs/>
          <w:color w:val="0B1E3D"/>
          <w:sz w:val="30"/>
          <w:szCs w:val="30"/>
        </w:rPr>
        <w:t xml:space="preserve">Section A  ·  Blocking — needed to continue development</w:t>
      </w:r>
    </w:p>
    <w:p>
      <w:pPr>
        <w:spacing w:after="200"/>
      </w:pPr>
      <w:r>
        <w:rPr>
          <w:rFonts w:ascii="Calibri" w:cs="Calibri" w:eastAsia="Calibri" w:hAnsi="Calibri"/>
          <w:i/>
          <w:iCs/>
          <w:color w:val="667085"/>
          <w:sz w:val="20"/>
          <w:szCs w:val="20"/>
        </w:rPr>
        <w:t xml:space="preserve">Work on the incident and reporting modules is paused on these four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A1</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What do Deficiency Levels 1, 2, 3 and 4 mean, and which is the most severe?</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Annex G and Annex H both record "Level (1–4)" but neither defines the levels. We have deliberately built no assumed ordering into the system, because getting the direction wrong would invert urgency, colour coding, and alerting across the whole portal. Please give a short definition of each level and confirm whether Level 1 is the most severe or the least.</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A2</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What is the required response or rectification timeframe for each Deficiency Level?</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This drives target dates, the countdown shown on each incident, and the point at which the portal flags a deficiency as overdue. If the Aerodrome Operations Manual already specifies response times per level, that is exactly what we need.</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A3</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Please confirm the full list of user roles and what each may do.</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The Functional Requirements Checklist lists Administrator, Executive, Manager, Supervisor and Employees, with the comment "List Needed". We also see OM, COO, CEC, EEC, Duty Manager, Apron Supervisor and Maintenance Inspector referenced across the annexes. We need one authoritative list, and confirmation of which roles may complete inspections, issue work orders, acknowledge on behalf of the OM, and issue CEC clearance.</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A4</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Which role or named person approves each checklist, per department?</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The Functional Requirements Checklist notes "List Needed and approvers" against department templates. Annex D routes to the OM, but the other 30 forms may route elsewhere. Approvals cannot be configured without this.</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p>
      <w:r>
        <w:br w:type="page"/>
      </w:r>
    </w:p>
    <w:p>
      <w:pPr>
        <w:pBdr>
          <w:bottom w:val="single" w:color="0B1E3D" w:sz="8" w:space="6"/>
        </w:pBdr>
        <w:spacing w:after="160" w:before="360"/>
      </w:pPr>
      <w:r>
        <w:rPr>
          <w:rFonts w:ascii="Calibri" w:cs="Calibri" w:eastAsia="Calibri" w:hAnsi="Calibri"/>
          <w:b/>
          <w:bCs/>
          <w:color w:val="0B1E3D"/>
          <w:sz w:val="30"/>
          <w:szCs w:val="30"/>
        </w:rPr>
        <w:t xml:space="preserve">Section B  ·  Needed before the incident module is finalised</w:t>
      </w:r>
    </w:p>
    <w:p>
      <w:pPr>
        <w:spacing w:after="200"/>
      </w:pPr>
      <w:r>
        <w:rPr>
          <w:rFonts w:ascii="Calibri" w:cs="Calibri" w:eastAsia="Calibri" w:hAnsi="Calibri"/>
          <w:i/>
          <w:iCs/>
          <w:color w:val="667085"/>
          <w:sz w:val="20"/>
          <w:szCs w:val="20"/>
        </w:rPr>
        <w:t xml:space="preserve">These can be answered while development continues, but are needed before that module is signed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B1</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What format should the NOC Number take in the Annex G register?</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The register has a "NOC No." column but no example. The portal currently generates a sequential number per year (for example 2026-0047). Please confirm whether you want a prefix, a different sequence, or continuation of an existing numbering series already in use.</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B2</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What categories should deficiencies be classified under?</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Beyond the source inspection and Deficiency Level, we would like to categorise deficiencies (for example Drainage, Lighting, Pavement, Signage, Vegetation). This is for filtering and reporting only — it does not appear on the approved forms. Your existing terminology is preferred over anything we invent.</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B3</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Who should be notified when a deficiency is raised, and what should happen if it is not actioned?</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The Functional Requirements Checklist asks for incident alerts, checklist due reminders, overdue escalation and approval notifications. We need to know who receives each, and the escalation path and timing if an item goes unactioned — for example inspector, then supervisor after 24 hours, then OM.</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B4</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If a submitted inspection contains an error, how should it be corrected?</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The portal treats a submitted checklist as a permanent record that is never overwritten, in line with §11 of the requirements document. The question is what a correction looks like in your process: does the approver reject it and the inspector submit a corrected version, or must a fresh inspection be carried out? Both are supportable; we need to know which reflects your procedure.</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B5</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Are the signing authorities on Annex H restricted to specific post-holders?</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Annex H is issued by the OM or COO and separately requires CEC written clearance where applicable. Please confirm whether the portal should prevent anyone other than those post-holders from signing in each capacity, and who may act when a post-holder is unavailable.</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p>
      <w:r>
        <w:br w:type="page"/>
      </w:r>
    </w:p>
    <w:p>
      <w:pPr>
        <w:pBdr>
          <w:bottom w:val="single" w:color="0B1E3D" w:sz="8" w:space="6"/>
        </w:pBdr>
        <w:spacing w:after="160" w:before="360"/>
      </w:pPr>
      <w:r>
        <w:rPr>
          <w:rFonts w:ascii="Calibri" w:cs="Calibri" w:eastAsia="Calibri" w:hAnsi="Calibri"/>
          <w:b/>
          <w:bCs/>
          <w:color w:val="0B1E3D"/>
          <w:sz w:val="30"/>
          <w:szCs w:val="30"/>
        </w:rPr>
        <w:t xml:space="preserve">Section C  ·  Needed before go-live</w:t>
      </w:r>
    </w:p>
    <w:p>
      <w:pPr>
        <w:spacing w:after="200"/>
      </w:pPr>
      <w:r>
        <w:rPr>
          <w:rFonts w:ascii="Calibri" w:cs="Calibri" w:eastAsia="Calibri" w:hAnsi="Calibri"/>
          <w:i/>
          <w:iCs/>
          <w:color w:val="667085"/>
          <w:sz w:val="20"/>
          <w:szCs w:val="20"/>
        </w:rPr>
        <w:t xml:space="preserve">Housekeeping and operational readiness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C1</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How long must inspection records, exported PDFs and audit logs be retained under BCAR-139?</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This determines storage design and whether records may ever be archived or removed. If BDCA specifies a retention period for aerodrome maintenance records, please confirm it.</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C2</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Annex D items DR-17, DR-18 and DR-19 refer to "Culvert at [Location 1] / [Location 2] / [Location 3]". What are the actual locations?</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The approved form carries these as placeholders. Please confirm whether they should be replaced with named culvert locations — and if so, the names — or whether the inspector fills the location in on each inspection.</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C3</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Does a signature drawn on a tablet or phone screen satisfy your signature requirement?</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The portal captures a drawn signature and places it in the signature area of the exported form, alongside the signatory name, position and a system-recorded date and time. Please confirm this meets your requirement, or tell us if something further is expected.</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C4</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Who is our contact in BACC IT, and what email service should system notifications be sent from?</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Notifications currently work inside the portal. To send email alerts we need a sending address and domain, and whoever administers your email will need to authorise it.</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C5</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What devices will inspectors use in the field — iPhone, Android, or tablets?</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The portal is designed to work without a signal and sync when connectivity returns. Apple and Android handle offline storage differently, so knowing the device mix lets us make sure no inspector loses work completed out on the airfield.</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0B1E3D" w:color="auto" w:val="clear"/>
            <w:tcMar>
              <w:top w:type="dxa" w:w="100"/>
              <w:left w:type="dxa" w:w="120"/>
              <w:bottom w:type="dxa" w:w="100"/>
              <w:right w:type="dxa" w:w="120"/>
            </w:tcMar>
          </w:tcPr>
          <w:p>
            <w:r>
              <w:rPr>
                <w:rFonts w:ascii="Calibri" w:cs="Calibri" w:eastAsia="Calibri" w:hAnsi="Calibri"/>
                <w:b/>
                <w:bCs/>
                <w:color w:val="FFFFFF"/>
                <w:sz w:val="21"/>
                <w:szCs w:val="21"/>
              </w:rPr>
              <w:t xml:space="preserve">C6</w:t>
            </w:r>
          </w:p>
        </w:tc>
        <w:tc>
          <w:tcPr>
            <w:tcW w:type="dxa" w:w="8460"/>
            <w:shd w:fill="F3F6FA" w:color="auto" w:val="clear"/>
            <w:tcMar>
              <w:top w:type="dxa" w:w="100"/>
              <w:left w:type="dxa" w:w="120"/>
              <w:bottom w:type="dxa" w:w="100"/>
              <w:right w:type="dxa" w:w="120"/>
            </w:tcMar>
          </w:tcPr>
          <w:p>
            <w:r>
              <w:rPr>
                <w:rFonts w:ascii="Calibri" w:cs="Calibri" w:eastAsia="Calibri" w:hAnsi="Calibri"/>
                <w:b/>
                <w:bCs/>
                <w:color w:val="0B1E3D"/>
                <w:sz w:val="21"/>
                <w:szCs w:val="21"/>
              </w:rPr>
              <w:t xml:space="preserve">Is a high-resolution or vector version of the BACC logo available?</w:t>
            </w:r>
          </w:p>
        </w:tc>
      </w:tr>
      <w:tr>
        <w:tc>
          <w:tcPr>
            <w:tcW w:type="dxa" w:w="900"/>
            <w:tcMar>
              <w:top w:type="dxa" w:w="100"/>
              <w:left w:type="dxa" w:w="120"/>
              <w:bottom w:type="dxa" w:w="100"/>
              <w:right w:type="dxa" w:w="120"/>
            </w:tcMar>
          </w:tcPr>
          <w:p>
            <w:r>
              <w:rPr>
                <w:rFonts w:ascii="Calibri" w:cs="Calibri" w:eastAsia="Calibri" w:hAnsi="Calibri"/>
                <w:color w:val="667085"/>
                <w:sz w:val="17"/>
                <w:szCs w:val="17"/>
              </w:rPr>
              <w:t xml:space="preserve">Why</w:t>
            </w:r>
          </w:p>
        </w:tc>
        <w:tc>
          <w:tcPr>
            <w:tcW w:type="dxa" w:w="8460"/>
            <w:tcMar>
              <w:top w:type="dxa" w:w="100"/>
              <w:left w:type="dxa" w:w="120"/>
              <w:bottom w:type="dxa" w:w="100"/>
              <w:right w:type="dxa" w:w="120"/>
            </w:tcMar>
          </w:tcPr>
          <w:p>
            <w:r>
              <w:rPr>
                <w:rFonts w:ascii="Calibri" w:cs="Calibri" w:eastAsia="Calibri" w:hAnsi="Calibri"/>
                <w:i/>
                <w:iCs/>
                <w:color w:val="667085"/>
                <w:sz w:val="19"/>
                <w:szCs w:val="19"/>
              </w:rPr>
              <w:t xml:space="preserve">The file we hold is 350 × 87 pixels. It is adequate at the size used in the form header, but will appear soft if used any larger — for example on the sign-in screen. A vector file (SVG, EPS or AI) would be ideal.</w:t>
            </w:r>
          </w:p>
        </w:tc>
      </w:tr>
      <w:tr>
        <w:tc>
          <w:tcPr>
            <w:tcW w:type="dxa" w:w="9360"/>
            <w:gridSpan w:val="2"/>
            <w:tcMar>
              <w:top w:type="dxa" w:w="100"/>
              <w:left w:type="dxa" w:w="120"/>
              <w:bottom w:type="dxa" w:w="100"/>
              <w:right w:type="dxa" w:w="120"/>
            </w:tcMar>
          </w:tcPr>
          <w:p>
            <w:pPr>
              <w:spacing w:after="40"/>
            </w:pPr>
            <w:r>
              <w:rPr>
                <w:rFonts w:ascii="Calibri" w:cs="Calibri" w:eastAsia="Calibri" w:hAnsi="Calibri"/>
                <w:b/>
                <w:bCs/>
                <w:color w:val="1E5FA8"/>
                <w:sz w:val="17"/>
                <w:szCs w:val="17"/>
              </w:rPr>
              <w:t xml:space="preserve">BACC response:</w:t>
            </w:r>
          </w:p>
          <w:p>
            <w:pPr>
              <w:pBdr>
                <w:bottom w:val="dotted" w:color="A8B2C0" w:sz="6" w:space="2"/>
              </w:pBdr>
              <w:spacing w:after="140" w:before="140"/>
            </w:pPr>
            <w:r>
              <w:rPr>
                <w:rFonts w:ascii="Calibri" w:cs="Calibri" w:eastAsia="Calibri" w:hAnsi="Calibri"/>
                <w:sz w:val="21"/>
                <w:szCs w:val="21"/>
              </w:rPr>
              <w:t xml:space="preserve"> </w:t>
            </w:r>
          </w:p>
          <w:p>
            <w:pPr>
              <w:pBdr>
                <w:bottom w:val="dotted" w:color="A8B2C0" w:sz="6" w:space="2"/>
              </w:pBdr>
              <w:spacing w:after="140" w:before="140"/>
            </w:pPr>
            <w:r>
              <w:rPr>
                <w:rFonts w:ascii="Calibri" w:cs="Calibri" w:eastAsia="Calibri" w:hAnsi="Calibri"/>
                <w:sz w:val="21"/>
                <w:szCs w:val="21"/>
              </w:rPr>
              <w:t xml:space="preserve"> </w:t>
            </w:r>
          </w:p>
        </w:tc>
      </w:tr>
    </w:tbl>
    <w:p>
      <w:pPr>
        <w:spacing w:after="200"/>
      </w:pPr>
    </w:p>
    <w:p>
      <w:pPr>
        <w:pBdr>
          <w:top w:val="single" w:color="B0B8C4" w:sz="6" w:space="8"/>
        </w:pBdr>
        <w:spacing w:after="120" w:before="400"/>
      </w:pPr>
      <w:r>
        <w:rPr>
          <w:rFonts w:ascii="Calibri" w:cs="Calibri" w:eastAsia="Calibri" w:hAnsi="Calibri"/>
          <w:b/>
          <w:bCs/>
          <w:color w:val="0B1E3D"/>
          <w:sz w:val="21"/>
          <w:szCs w:val="21"/>
        </w:rPr>
        <w:t xml:space="preserve">Returning this document</w:t>
      </w:r>
    </w:p>
    <w:p>
      <w:pPr>
        <w:spacing w:after="120"/>
      </w:pPr>
      <w:r>
        <w:rPr>
          <w:rFonts w:ascii="Calibri" w:cs="Calibri" w:eastAsia="Calibri" w:hAnsi="Calibri"/>
          <w:sz w:val="21"/>
          <w:szCs w:val="21"/>
        </w:rPr>
        <w:t xml:space="preserve">Partial answers are useful — please return the document with whatever is settled rather than holding it until everything is confirmed. Section A is the priority.</w:t>
      </w:r>
    </w:p>
    <w:p>
      <w:pPr>
        <w:spacing w:before="240"/>
      </w:pPr>
      <w:r>
        <w:rPr>
          <w:rFonts w:ascii="Calibri" w:cs="Calibri" w:eastAsia="Calibri" w:hAnsi="Calibri"/>
          <w:color w:val="667085"/>
          <w:sz w:val="18"/>
          <w:szCs w:val="18"/>
        </w:rPr>
        <w:t xml:space="preserve">Prepared by Vision Forge Ltd  ·  August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6"/>
        <w:szCs w:val="16"/>
      </w:rPr>
      <w:t xml:space="preserve">BACC Operations Management Portal · Configuration Questions · Page </w:t>
    </w:r>
    <w:r>
      <w:rPr>
        <w:rFonts w:ascii="Calibri" w:cs="Calibri" w:eastAsia="Calibri" w:hAnsi="Calibri"/>
        <w:color w:val="667085"/>
        <w:sz w:val="16"/>
        <w:szCs w:val="16"/>
      </w:rPr>
      <w:fldChar w:fldCharType="begin"/>
      <w:instrText xml:space="preserve">PAGE</w:instrText>
      <w:fldChar w:fldCharType="separate"/>
      <w:fldChar w:fldCharType="end"/>
    </w:r>
    <w:r>
      <w:rPr>
        <w:rFonts w:ascii="Calibri" w:cs="Calibri" w:eastAsia="Calibri" w:hAnsi="Calibri"/>
        <w:color w:val="667085"/>
        <w:sz w:val="16"/>
        <w:szCs w:val="16"/>
      </w:rPr>
      <w:t xml:space="preserve"> of </w:t>
    </w:r>
    <w:r>
      <w:rPr>
        <w:rFonts w:ascii="Calibri" w:cs="Calibri" w:eastAsia="Calibri" w:hAnsi="Calibri"/>
        <w:color w:val="6670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2026-08-15T18:10:18.045Z</dcterms:created>
  <dcterms:modified xsi:type="dcterms:W3CDTF">2026-08-15T18:10:18.045Z</dcterms:modified>
</cp:coreProperties>
</file>

<file path=docProps/custom.xml><?xml version="1.0" encoding="utf-8"?>
<Properties xmlns="http://schemas.openxmlformats.org/officeDocument/2006/custom-properties" xmlns:vt="http://schemas.openxmlformats.org/officeDocument/2006/docPropsVTypes"/>
</file>