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D45EE" w14:textId="55BC927D" w:rsidR="00543519" w:rsidRDefault="00543519" w:rsidP="00543519">
      <w:pPr>
        <w:pStyle w:val="Title"/>
        <w:rPr>
          <w:lang w:val="en-US"/>
        </w:rPr>
      </w:pPr>
      <w:r>
        <w:rPr>
          <w:lang w:val="en-US"/>
        </w:rPr>
        <w:t>Medical Device Software</w:t>
      </w:r>
    </w:p>
    <w:p w14:paraId="17F860F0" w14:textId="38828DF8"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When a software is intended to be used for medical purposes, the device will meet the definition of a medical device in MDR. In short, MDR requires that safety and performance of a medical device shall be validated and the basis for validation shall be subject for internal and external review. Since performance means the ability of a device to achieve its intended purpose validation of the performance require the purpose to be specific. Safety is defined as freedom of unacceptable risk. To understand what is acceptable and validate safety, we need to understand the performance in detail </w:t>
      </w:r>
      <w:r w:rsidRPr="00543519">
        <w:rPr>
          <w:rFonts w:ascii="Calibri" w:hAnsi="Calibri" w:cs="Calibri"/>
          <w:sz w:val="22"/>
          <w:szCs w:val="22"/>
          <w:lang w:val="en-US"/>
        </w:rPr>
        <w:t>together</w:t>
      </w:r>
      <w:r w:rsidRPr="00543519">
        <w:rPr>
          <w:rFonts w:ascii="Calibri" w:hAnsi="Calibri" w:cs="Calibri"/>
          <w:sz w:val="22"/>
          <w:szCs w:val="22"/>
          <w:lang w:val="en-US"/>
        </w:rPr>
        <w:t xml:space="preserve"> with the hazards and threats that are associated with the process of achieving performance.</w:t>
      </w:r>
    </w:p>
    <w:p w14:paraId="2EABA796"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0A48FB83"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The above shall always be kept in mind when implementing methods for compliance. </w:t>
      </w:r>
    </w:p>
    <w:p w14:paraId="2CE59826"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7F0AAF2F" w14:textId="77777777" w:rsidR="00543519" w:rsidRPr="00543519" w:rsidRDefault="00543519" w:rsidP="00543519">
      <w:pPr>
        <w:pStyle w:val="Heading1"/>
        <w:rPr>
          <w:lang w:val="en-US"/>
        </w:rPr>
      </w:pPr>
      <w:r w:rsidRPr="00543519">
        <w:rPr>
          <w:lang w:val="en-US"/>
        </w:rPr>
        <w:t>The implementation of 82304</w:t>
      </w:r>
    </w:p>
    <w:p w14:paraId="57EFA5EB" w14:textId="7372AC03"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Implement 82304 on the health software product. This will mean that also features outside of the scope of MDR will be included in the health software product. The standard will define the use of requirements as means to ensure that the development of the health software product is under control. Control is a good thing when there are specific things that we need to get right. Control is a bad thing when we want efficient delivery of </w:t>
      </w:r>
      <w:r w:rsidRPr="00543519">
        <w:rPr>
          <w:rFonts w:ascii="Calibri" w:hAnsi="Calibri" w:cs="Calibri"/>
          <w:sz w:val="22"/>
          <w:szCs w:val="22"/>
          <w:lang w:val="en-US"/>
        </w:rPr>
        <w:t>high-quality</w:t>
      </w:r>
      <w:r w:rsidRPr="00543519">
        <w:rPr>
          <w:rFonts w:ascii="Calibri" w:hAnsi="Calibri" w:cs="Calibri"/>
          <w:sz w:val="22"/>
          <w:szCs w:val="22"/>
          <w:lang w:val="en-US"/>
        </w:rPr>
        <w:t xml:space="preserve"> software. As such, it is important that we focus the control to the specifics that will affect the safety and performance of the device. If we are good at pinpointing what is relevant to achieve safety and performance, then we can actively avoid control in the parts of the software that will not affect the safety or performance. </w:t>
      </w:r>
    </w:p>
    <w:p w14:paraId="1FBD0E5A"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32DC4E57" w14:textId="0FC4456A" w:rsidR="00543519" w:rsidRPr="00543519" w:rsidRDefault="00543519" w:rsidP="00543519">
      <w:pPr>
        <w:pStyle w:val="Heading1"/>
        <w:rPr>
          <w:lang w:val="en-US"/>
        </w:rPr>
      </w:pPr>
      <w:r w:rsidRPr="00543519">
        <w:rPr>
          <w:lang w:val="en-US"/>
        </w:rPr>
        <w:t xml:space="preserve">82304 Subclause 4.2 health software product use </w:t>
      </w:r>
      <w:r w:rsidRPr="00543519">
        <w:rPr>
          <w:lang w:val="en-US"/>
        </w:rPr>
        <w:t>requirements</w:t>
      </w:r>
    </w:p>
    <w:p w14:paraId="48B6298F" w14:textId="751A0A96"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This standard shall be seen as the umbrella for everything that might affect the safety and performance of the medical device software. </w:t>
      </w:r>
      <w:r w:rsidRPr="00543519">
        <w:rPr>
          <w:rFonts w:ascii="Calibri" w:hAnsi="Calibri" w:cs="Calibri"/>
          <w:sz w:val="22"/>
          <w:szCs w:val="22"/>
          <w:lang w:val="en-US"/>
        </w:rPr>
        <w:t>To</w:t>
      </w:r>
      <w:r w:rsidRPr="00543519">
        <w:rPr>
          <w:rFonts w:ascii="Calibri" w:hAnsi="Calibri" w:cs="Calibri"/>
          <w:sz w:val="22"/>
          <w:szCs w:val="22"/>
          <w:lang w:val="en-US"/>
        </w:rPr>
        <w:t xml:space="preserve"> do this efficiently, the health software product use requirements must focus on the specific performance intended to be achieved when using the software for its intended purpose.</w:t>
      </w:r>
    </w:p>
    <w:p w14:paraId="0F653782"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390F2090" w14:textId="498BEDEB"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The requirements of the subclause should be seen as something that is tightly integrated and </w:t>
      </w:r>
      <w:r w:rsidRPr="00543519">
        <w:rPr>
          <w:rFonts w:ascii="Calibri" w:hAnsi="Calibri" w:cs="Calibri"/>
          <w:sz w:val="22"/>
          <w:szCs w:val="22"/>
          <w:lang w:val="en-US"/>
        </w:rPr>
        <w:t>developed</w:t>
      </w:r>
      <w:r w:rsidRPr="00543519">
        <w:rPr>
          <w:rFonts w:ascii="Calibri" w:hAnsi="Calibri" w:cs="Calibri"/>
          <w:sz w:val="22"/>
          <w:szCs w:val="22"/>
          <w:lang w:val="en-US"/>
        </w:rPr>
        <w:t xml:space="preserve"> iteratively with the software life-cycle management, usability engineering and risk management, again only from the perspective of achieving the clinical benefit. We should interpret this part of the standard as the definition of how clinical development, risk management, Architectural design, usability </w:t>
      </w:r>
      <w:r w:rsidRPr="00543519">
        <w:rPr>
          <w:rFonts w:ascii="Calibri" w:hAnsi="Calibri" w:cs="Calibri"/>
          <w:sz w:val="22"/>
          <w:szCs w:val="22"/>
          <w:lang w:val="en-US"/>
        </w:rPr>
        <w:t>engineering</w:t>
      </w:r>
      <w:r w:rsidRPr="00543519">
        <w:rPr>
          <w:rFonts w:ascii="Calibri" w:hAnsi="Calibri" w:cs="Calibri"/>
          <w:sz w:val="22"/>
          <w:szCs w:val="22"/>
          <w:lang w:val="en-US"/>
        </w:rPr>
        <w:t xml:space="preserve"> and design of accompanying documentation interact to ensure that the intended use of the medical device software is achieved in a safe and effective manner. It is the common denominator of these different areas that constitutes the health software product use requirements.</w:t>
      </w:r>
    </w:p>
    <w:p w14:paraId="1460FFD8"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6843B88A" w14:textId="77777777" w:rsidR="00543519" w:rsidRPr="00543519" w:rsidRDefault="00543519" w:rsidP="00543519">
      <w:pPr>
        <w:pStyle w:val="Heading3"/>
        <w:rPr>
          <w:lang w:val="en-US"/>
        </w:rPr>
      </w:pPr>
      <w:r w:rsidRPr="00543519">
        <w:rPr>
          <w:lang w:val="en-US"/>
        </w:rPr>
        <w:t>Intended use</w:t>
      </w:r>
    </w:p>
    <w:p w14:paraId="090B7362" w14:textId="4E3B43F8"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Requirements needed to </w:t>
      </w:r>
      <w:r w:rsidRPr="00543519">
        <w:rPr>
          <w:rFonts w:ascii="Calibri" w:hAnsi="Calibri" w:cs="Calibri"/>
          <w:sz w:val="22"/>
          <w:szCs w:val="22"/>
          <w:lang w:val="en-US"/>
        </w:rPr>
        <w:t>address</w:t>
      </w:r>
      <w:r w:rsidRPr="00543519">
        <w:rPr>
          <w:rFonts w:ascii="Calibri" w:hAnsi="Calibri" w:cs="Calibri"/>
          <w:sz w:val="22"/>
          <w:szCs w:val="22"/>
          <w:lang w:val="en-US"/>
        </w:rPr>
        <w:t xml:space="preserve"> the intended use </w:t>
      </w:r>
      <w:r w:rsidRPr="00543519">
        <w:rPr>
          <w:rFonts w:ascii="Calibri" w:hAnsi="Calibri" w:cs="Calibri"/>
          <w:sz w:val="22"/>
          <w:szCs w:val="22"/>
          <w:lang w:val="en-US"/>
        </w:rPr>
        <w:t>shall</w:t>
      </w:r>
      <w:r w:rsidRPr="00543519">
        <w:rPr>
          <w:rFonts w:ascii="Calibri" w:hAnsi="Calibri" w:cs="Calibri"/>
          <w:sz w:val="22"/>
          <w:szCs w:val="22"/>
          <w:lang w:val="en-US"/>
        </w:rPr>
        <w:t xml:space="preserve"> be closely connected to the clinical development and the generation of the clinical evaluation report. When designing </w:t>
      </w:r>
      <w:r w:rsidRPr="00543519">
        <w:rPr>
          <w:rFonts w:ascii="Calibri" w:hAnsi="Calibri" w:cs="Calibri"/>
          <w:sz w:val="22"/>
          <w:szCs w:val="22"/>
          <w:lang w:val="en-US"/>
        </w:rPr>
        <w:t>a medical</w:t>
      </w:r>
      <w:r w:rsidRPr="00543519">
        <w:rPr>
          <w:rFonts w:ascii="Calibri" w:hAnsi="Calibri" w:cs="Calibri"/>
          <w:sz w:val="22"/>
          <w:szCs w:val="22"/>
          <w:lang w:val="en-US"/>
        </w:rPr>
        <w:t xml:space="preserve"> device software, it is of high importance that the mechanisms and mode of operation that achieves the clinical benefit is well defined. It is the specific algorithm or functionality that enables the clinical benefit that should be in focus when defining the requirements that </w:t>
      </w:r>
      <w:r w:rsidRPr="00543519">
        <w:rPr>
          <w:rFonts w:ascii="Calibri" w:hAnsi="Calibri" w:cs="Calibri"/>
          <w:sz w:val="22"/>
          <w:szCs w:val="22"/>
          <w:lang w:val="en-US"/>
        </w:rPr>
        <w:t>address</w:t>
      </w:r>
      <w:r w:rsidRPr="00543519">
        <w:rPr>
          <w:rFonts w:ascii="Calibri" w:hAnsi="Calibri" w:cs="Calibri"/>
          <w:sz w:val="22"/>
          <w:szCs w:val="22"/>
          <w:lang w:val="en-US"/>
        </w:rPr>
        <w:t xml:space="preserve"> the intended use. Further, if this is controlled properly, lesser control can be put on parts of the software that </w:t>
      </w:r>
      <w:r w:rsidRPr="00543519">
        <w:rPr>
          <w:rFonts w:ascii="Calibri" w:hAnsi="Calibri" w:cs="Calibri"/>
          <w:sz w:val="22"/>
          <w:szCs w:val="22"/>
          <w:lang w:val="en-US"/>
        </w:rPr>
        <w:t>doesn’t</w:t>
      </w:r>
      <w:r w:rsidRPr="00543519">
        <w:rPr>
          <w:rFonts w:ascii="Calibri" w:hAnsi="Calibri" w:cs="Calibri"/>
          <w:sz w:val="22"/>
          <w:szCs w:val="22"/>
          <w:lang w:val="en-US"/>
        </w:rPr>
        <w:t xml:space="preserve"> influence the clinical benefit.</w:t>
      </w:r>
    </w:p>
    <w:p w14:paraId="175623A3"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5EA1DE0F"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lastRenderedPageBreak/>
        <w:t>In traditional development of medical devices, the clinical evaluation is something that is done as part of the finalizing steps of putting a device on the market. If clinical data is missing you perform clinical studies to generate the data needed to support your device and then write the clinical evaluation report.</w:t>
      </w:r>
    </w:p>
    <w:p w14:paraId="02D0C7FC"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1E94BC8E" w14:textId="4E61E206"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This is changing with medical devices that in themselves are software. It will most often not be </w:t>
      </w:r>
      <w:r w:rsidRPr="00543519">
        <w:rPr>
          <w:rFonts w:ascii="Calibri" w:hAnsi="Calibri" w:cs="Calibri"/>
          <w:sz w:val="22"/>
          <w:szCs w:val="22"/>
          <w:lang w:val="en-US"/>
        </w:rPr>
        <w:t>feasible</w:t>
      </w:r>
      <w:r w:rsidRPr="00543519">
        <w:rPr>
          <w:rFonts w:ascii="Calibri" w:hAnsi="Calibri" w:cs="Calibri"/>
          <w:sz w:val="22"/>
          <w:szCs w:val="22"/>
          <w:lang w:val="en-US"/>
        </w:rPr>
        <w:t xml:space="preserve"> to develop software that will require clinical studies before entering the market. What is possible to do with software will be limited by the current scientific evidence. As such the clinical development process will be of highest importance when determining the intended use and clinical benefit of the medical device software to be developed. The clinical development shall be a process that runs in </w:t>
      </w:r>
      <w:r w:rsidRPr="00543519">
        <w:rPr>
          <w:rFonts w:ascii="Calibri" w:hAnsi="Calibri" w:cs="Calibri"/>
          <w:sz w:val="22"/>
          <w:szCs w:val="22"/>
          <w:lang w:val="en-US"/>
        </w:rPr>
        <w:t>parallel</w:t>
      </w:r>
      <w:r w:rsidRPr="00543519">
        <w:rPr>
          <w:rFonts w:ascii="Calibri" w:hAnsi="Calibri" w:cs="Calibri"/>
          <w:sz w:val="22"/>
          <w:szCs w:val="22"/>
          <w:lang w:val="en-US"/>
        </w:rPr>
        <w:t xml:space="preserve"> with the s</w:t>
      </w:r>
      <w:r>
        <w:rPr>
          <w:rFonts w:ascii="Calibri" w:hAnsi="Calibri" w:cs="Calibri"/>
          <w:sz w:val="22"/>
          <w:szCs w:val="22"/>
          <w:lang w:val="en-US"/>
        </w:rPr>
        <w:t>oft</w:t>
      </w:r>
      <w:r w:rsidRPr="00543519">
        <w:rPr>
          <w:rFonts w:ascii="Calibri" w:hAnsi="Calibri" w:cs="Calibri"/>
          <w:sz w:val="22"/>
          <w:szCs w:val="22"/>
          <w:lang w:val="en-US"/>
        </w:rPr>
        <w:t>w</w:t>
      </w:r>
      <w:r>
        <w:rPr>
          <w:rFonts w:ascii="Calibri" w:hAnsi="Calibri" w:cs="Calibri"/>
          <w:sz w:val="22"/>
          <w:szCs w:val="22"/>
          <w:lang w:val="en-US"/>
        </w:rPr>
        <w:t>are</w:t>
      </w:r>
      <w:r w:rsidRPr="00543519">
        <w:rPr>
          <w:rFonts w:ascii="Calibri" w:hAnsi="Calibri" w:cs="Calibri"/>
          <w:sz w:val="22"/>
          <w:szCs w:val="22"/>
          <w:lang w:val="en-US"/>
        </w:rPr>
        <w:t xml:space="preserve"> life-cycle management.</w:t>
      </w:r>
    </w:p>
    <w:p w14:paraId="4B125B4B"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1A453692" w14:textId="77777777" w:rsidR="00543519" w:rsidRPr="00543519" w:rsidRDefault="00543519" w:rsidP="00543519">
      <w:pPr>
        <w:pStyle w:val="Heading3"/>
        <w:rPr>
          <w:lang w:val="en-US"/>
        </w:rPr>
      </w:pPr>
      <w:r w:rsidRPr="00543519">
        <w:rPr>
          <w:lang w:val="en-US"/>
        </w:rPr>
        <w:t>User interface</w:t>
      </w:r>
    </w:p>
    <w:p w14:paraId="6C4B4F36" w14:textId="680F8EAA"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Interface requirements is an output from the usability engineering process meaning that the generation of health software product use </w:t>
      </w:r>
      <w:r w:rsidRPr="00543519">
        <w:rPr>
          <w:rFonts w:ascii="Calibri" w:hAnsi="Calibri" w:cs="Calibri"/>
          <w:sz w:val="22"/>
          <w:szCs w:val="22"/>
          <w:lang w:val="en-US"/>
        </w:rPr>
        <w:t>requirements is</w:t>
      </w:r>
      <w:r w:rsidRPr="00543519">
        <w:rPr>
          <w:rFonts w:ascii="Calibri" w:hAnsi="Calibri" w:cs="Calibri"/>
          <w:sz w:val="22"/>
          <w:szCs w:val="22"/>
          <w:lang w:val="en-US"/>
        </w:rPr>
        <w:t xml:space="preserve"> </w:t>
      </w:r>
      <w:proofErr w:type="spellStart"/>
      <w:r w:rsidRPr="00543519">
        <w:rPr>
          <w:rFonts w:ascii="Calibri" w:hAnsi="Calibri" w:cs="Calibri"/>
          <w:sz w:val="22"/>
          <w:szCs w:val="22"/>
          <w:lang w:val="en-US"/>
        </w:rPr>
        <w:t>higly</w:t>
      </w:r>
      <w:proofErr w:type="spellEnd"/>
      <w:r w:rsidRPr="00543519">
        <w:rPr>
          <w:rFonts w:ascii="Calibri" w:hAnsi="Calibri" w:cs="Calibri"/>
          <w:sz w:val="22"/>
          <w:szCs w:val="22"/>
          <w:lang w:val="en-US"/>
        </w:rPr>
        <w:t xml:space="preserve"> dependent on a proper implementation of the usability engineering process. The usability engineering will ensure that the risk for use error is controlled. </w:t>
      </w:r>
    </w:p>
    <w:p w14:paraId="202AB218"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20FF16B7" w14:textId="77777777" w:rsidR="00543519" w:rsidRPr="00543519" w:rsidRDefault="00543519" w:rsidP="00543519">
      <w:pPr>
        <w:pStyle w:val="Heading3"/>
        <w:rPr>
          <w:lang w:val="en-US"/>
        </w:rPr>
      </w:pPr>
      <w:r w:rsidRPr="00543519">
        <w:rPr>
          <w:lang w:val="en-US"/>
        </w:rPr>
        <w:t>Architectural design</w:t>
      </w:r>
    </w:p>
    <w:p w14:paraId="751735B5" w14:textId="48F03B62"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Requirements for immunity from unintended influence by other software shall be seen as part of the software architecture and design. Architecture is not defined in 82304 but is part of 62304. It is important to </w:t>
      </w:r>
      <w:r w:rsidRPr="00543519">
        <w:rPr>
          <w:rFonts w:ascii="Calibri" w:hAnsi="Calibri" w:cs="Calibri"/>
          <w:sz w:val="22"/>
          <w:szCs w:val="22"/>
          <w:lang w:val="en-US"/>
        </w:rPr>
        <w:t>consider</w:t>
      </w:r>
      <w:r w:rsidRPr="00543519">
        <w:rPr>
          <w:rFonts w:ascii="Calibri" w:hAnsi="Calibri" w:cs="Calibri"/>
          <w:sz w:val="22"/>
          <w:szCs w:val="22"/>
          <w:lang w:val="en-US"/>
        </w:rPr>
        <w:t xml:space="preserve"> the software safety </w:t>
      </w:r>
      <w:r w:rsidRPr="00543519">
        <w:rPr>
          <w:rFonts w:ascii="Calibri" w:hAnsi="Calibri" w:cs="Calibri"/>
          <w:sz w:val="22"/>
          <w:szCs w:val="22"/>
          <w:lang w:val="en-US"/>
        </w:rPr>
        <w:t>classification and</w:t>
      </w:r>
      <w:r w:rsidRPr="00543519">
        <w:rPr>
          <w:rFonts w:ascii="Calibri" w:hAnsi="Calibri" w:cs="Calibri"/>
          <w:sz w:val="22"/>
          <w:szCs w:val="22"/>
          <w:lang w:val="en-US"/>
        </w:rPr>
        <w:t xml:space="preserve"> the principles of architectural design of 62304 when isolating software items as this will ensure that the software items that can contribute to risk is identified. This shall be the biggest factor for segregation of the architecture.</w:t>
      </w:r>
    </w:p>
    <w:p w14:paraId="167448AF"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061512A8"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What is not included however, in 62304 is the identification and segregation of software items based on their contribution to the clinical benefit. Methods for this should be determined and linked to the already implemented division of the software in modules.</w:t>
      </w:r>
    </w:p>
    <w:p w14:paraId="71796988"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59D27094" w14:textId="77777777" w:rsidR="00543519" w:rsidRPr="00543519" w:rsidRDefault="00543519" w:rsidP="00543519">
      <w:pPr>
        <w:pStyle w:val="Heading3"/>
        <w:rPr>
          <w:lang w:val="en-US"/>
        </w:rPr>
      </w:pPr>
      <w:r w:rsidRPr="00543519">
        <w:rPr>
          <w:lang w:val="en-US"/>
        </w:rPr>
        <w:t>Privacy and IT-security</w:t>
      </w:r>
    </w:p>
    <w:p w14:paraId="7935C670" w14:textId="6BFF8B91"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Requirements</w:t>
      </w:r>
      <w:r w:rsidRPr="00543519">
        <w:rPr>
          <w:rFonts w:ascii="Calibri" w:hAnsi="Calibri" w:cs="Calibri"/>
          <w:sz w:val="22"/>
          <w:szCs w:val="22"/>
          <w:lang w:val="en-US"/>
        </w:rPr>
        <w:t xml:space="preserve"> on Privacy and IT-security shall ensure that security design measures are taken with regards to data integrity, confidentiality and availability is under control if they affect the safety and effectiveness of the devices.</w:t>
      </w:r>
    </w:p>
    <w:p w14:paraId="1F0AAD60"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There might of course be other reasons (GDPR) to implement privacy by design and ensure that there is a complete record on the processing of personal data taking place and that the processing is lawful, but the clinical benefit of the device is not one of them.</w:t>
      </w:r>
    </w:p>
    <w:p w14:paraId="77AA0AEC"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5171F1C6" w14:textId="77777777" w:rsidR="00543519" w:rsidRPr="00543519" w:rsidRDefault="00543519" w:rsidP="00543519">
      <w:pPr>
        <w:pStyle w:val="Heading3"/>
        <w:rPr>
          <w:lang w:val="en-US"/>
        </w:rPr>
      </w:pPr>
      <w:r w:rsidRPr="00543519">
        <w:rPr>
          <w:lang w:val="en-US"/>
        </w:rPr>
        <w:t>Accompanying documentation</w:t>
      </w:r>
    </w:p>
    <w:p w14:paraId="1B552474"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Requirements on accompanying documentation will be relevant to the extent to support safe and effective use of the device. Further requirements on the accompanying documents can be found in annex I of MDR.</w:t>
      </w:r>
    </w:p>
    <w:p w14:paraId="2C6442B8"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1D6058C0" w14:textId="77777777" w:rsidR="00543519" w:rsidRPr="00543519" w:rsidRDefault="00543519" w:rsidP="00543519">
      <w:pPr>
        <w:pStyle w:val="Heading3"/>
        <w:rPr>
          <w:lang w:val="en-US"/>
        </w:rPr>
      </w:pPr>
      <w:r w:rsidRPr="00543519">
        <w:rPr>
          <w:lang w:val="en-US"/>
        </w:rPr>
        <w:t>Regulatory requirements</w:t>
      </w:r>
    </w:p>
    <w:p w14:paraId="1439714E" w14:textId="2D4913C1"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Other regulations than MDR is often applicable. These shall also be covered in the health software product use requirements. The </w:t>
      </w:r>
      <w:r w:rsidRPr="00543519">
        <w:rPr>
          <w:rFonts w:ascii="Calibri" w:hAnsi="Calibri" w:cs="Calibri"/>
          <w:sz w:val="22"/>
          <w:szCs w:val="22"/>
          <w:lang w:val="en-US"/>
        </w:rPr>
        <w:t>effect</w:t>
      </w:r>
      <w:r w:rsidRPr="00543519">
        <w:rPr>
          <w:rFonts w:ascii="Calibri" w:hAnsi="Calibri" w:cs="Calibri"/>
          <w:sz w:val="22"/>
          <w:szCs w:val="22"/>
          <w:lang w:val="en-US"/>
        </w:rPr>
        <w:t xml:space="preserve"> on the process needs to be determined in relation to compliance to these laws and regulations.</w:t>
      </w:r>
    </w:p>
    <w:p w14:paraId="7ABC6F9C"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2A12AF4E" w14:textId="77777777" w:rsidR="00543519" w:rsidRPr="00543519" w:rsidRDefault="00543519" w:rsidP="00543519">
      <w:pPr>
        <w:pStyle w:val="Heading3"/>
        <w:rPr>
          <w:lang w:val="en-US"/>
        </w:rPr>
      </w:pPr>
      <w:r w:rsidRPr="00543519">
        <w:rPr>
          <w:lang w:val="en-US"/>
        </w:rPr>
        <w:t>82304 Subclause 4.5 system requirements</w:t>
      </w:r>
    </w:p>
    <w:p w14:paraId="29DC1216" w14:textId="3030209E"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When the different disciplines generate the output for the health software product use requirements, these needs to be derived to system requirements.  </w:t>
      </w:r>
      <w:r w:rsidRPr="00543519">
        <w:rPr>
          <w:rFonts w:ascii="Calibri" w:hAnsi="Calibri" w:cs="Calibri"/>
          <w:sz w:val="22"/>
          <w:szCs w:val="22"/>
          <w:lang w:val="en-US"/>
        </w:rPr>
        <w:t>Again,</w:t>
      </w:r>
      <w:r w:rsidRPr="00543519">
        <w:rPr>
          <w:rFonts w:ascii="Calibri" w:hAnsi="Calibri" w:cs="Calibri"/>
          <w:sz w:val="22"/>
          <w:szCs w:val="22"/>
          <w:lang w:val="en-US"/>
        </w:rPr>
        <w:t xml:space="preserve"> from the clinical benefit </w:t>
      </w:r>
      <w:r w:rsidRPr="00543519">
        <w:rPr>
          <w:rFonts w:ascii="Calibri" w:hAnsi="Calibri" w:cs="Calibri"/>
          <w:sz w:val="22"/>
          <w:szCs w:val="22"/>
          <w:lang w:val="en-US"/>
        </w:rPr>
        <w:lastRenderedPageBreak/>
        <w:t xml:space="preserve">and intended use perspective to ensure that we only define detailed </w:t>
      </w:r>
      <w:r w:rsidRPr="00543519">
        <w:rPr>
          <w:rFonts w:ascii="Calibri" w:hAnsi="Calibri" w:cs="Calibri"/>
          <w:sz w:val="22"/>
          <w:szCs w:val="22"/>
          <w:lang w:val="en-US"/>
        </w:rPr>
        <w:t>requirements</w:t>
      </w:r>
      <w:r w:rsidRPr="00543519">
        <w:rPr>
          <w:rFonts w:ascii="Calibri" w:hAnsi="Calibri" w:cs="Calibri"/>
          <w:sz w:val="22"/>
          <w:szCs w:val="22"/>
          <w:lang w:val="en-US"/>
        </w:rPr>
        <w:t xml:space="preserve"> that are relevant in relation to what is important. </w:t>
      </w:r>
    </w:p>
    <w:p w14:paraId="7AAEAC28"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1A0F7664" w14:textId="212A1CB2" w:rsidR="00543519" w:rsidRPr="00543519" w:rsidRDefault="00543519" w:rsidP="00543519">
      <w:pPr>
        <w:pStyle w:val="Heading1"/>
        <w:rPr>
          <w:lang w:val="en-US"/>
        </w:rPr>
      </w:pPr>
      <w:r w:rsidRPr="00543519">
        <w:rPr>
          <w:lang w:val="en-US"/>
        </w:rPr>
        <w:t xml:space="preserve">Software </w:t>
      </w:r>
      <w:r w:rsidRPr="00543519">
        <w:rPr>
          <w:lang w:val="en-US"/>
        </w:rPr>
        <w:t>life cycle</w:t>
      </w:r>
    </w:p>
    <w:p w14:paraId="5E3D978B" w14:textId="3F70A352"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62304 defines the software </w:t>
      </w:r>
      <w:r w:rsidRPr="00543519">
        <w:rPr>
          <w:rFonts w:ascii="Calibri" w:hAnsi="Calibri" w:cs="Calibri"/>
          <w:sz w:val="22"/>
          <w:szCs w:val="22"/>
          <w:lang w:val="en-US"/>
        </w:rPr>
        <w:t>life cycle</w:t>
      </w:r>
      <w:r w:rsidRPr="00543519">
        <w:rPr>
          <w:rFonts w:ascii="Calibri" w:hAnsi="Calibri" w:cs="Calibri"/>
          <w:sz w:val="22"/>
          <w:szCs w:val="22"/>
          <w:lang w:val="en-US"/>
        </w:rPr>
        <w:t xml:space="preserve"> for implementation of the health software product. It is important again to note that 62304 shall be used to achieve control of the parts of the software that contributes to achieving its intended medical purpose or contributes to risk. 62304 has a method to </w:t>
      </w:r>
      <w:r w:rsidRPr="00543519">
        <w:rPr>
          <w:rFonts w:ascii="Calibri" w:hAnsi="Calibri" w:cs="Calibri"/>
          <w:sz w:val="22"/>
          <w:szCs w:val="22"/>
          <w:lang w:val="en-US"/>
        </w:rPr>
        <w:t>identify</w:t>
      </w:r>
      <w:r w:rsidRPr="00543519">
        <w:rPr>
          <w:rFonts w:ascii="Calibri" w:hAnsi="Calibri" w:cs="Calibri"/>
          <w:sz w:val="22"/>
          <w:szCs w:val="22"/>
          <w:lang w:val="en-US"/>
        </w:rPr>
        <w:t xml:space="preserve"> software safety classification of software items in relation to the contribution to risk. This shall be seen as the main method for justifying the level of control needed for a specific software item.  Software items that </w:t>
      </w:r>
      <w:r w:rsidRPr="00543519">
        <w:rPr>
          <w:rFonts w:ascii="Calibri" w:hAnsi="Calibri" w:cs="Calibri"/>
          <w:sz w:val="22"/>
          <w:szCs w:val="22"/>
          <w:lang w:val="en-US"/>
        </w:rPr>
        <w:t>do</w:t>
      </w:r>
      <w:r w:rsidRPr="00543519">
        <w:rPr>
          <w:rFonts w:ascii="Calibri" w:hAnsi="Calibri" w:cs="Calibri"/>
          <w:sz w:val="22"/>
          <w:szCs w:val="22"/>
          <w:lang w:val="en-US"/>
        </w:rPr>
        <w:t xml:space="preserve"> not contribute to risk or performance need not to be controlled for compliance to MDR. Again, there might be other reasons to control these software items to ensure quality in the services provided, but that is not part of compliance to MDR.</w:t>
      </w:r>
    </w:p>
    <w:p w14:paraId="7BEB98B1"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184DBF68" w14:textId="24A9C4B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Software items that do contribute to </w:t>
      </w:r>
      <w:r w:rsidRPr="00543519">
        <w:rPr>
          <w:rFonts w:ascii="Calibri" w:hAnsi="Calibri" w:cs="Calibri"/>
          <w:sz w:val="22"/>
          <w:szCs w:val="22"/>
          <w:lang w:val="en-US"/>
        </w:rPr>
        <w:t>risk or</w:t>
      </w:r>
      <w:r w:rsidRPr="00543519">
        <w:rPr>
          <w:rFonts w:ascii="Calibri" w:hAnsi="Calibri" w:cs="Calibri"/>
          <w:sz w:val="22"/>
          <w:szCs w:val="22"/>
          <w:lang w:val="en-US"/>
        </w:rPr>
        <w:t xml:space="preserve"> performance shall be controlled according to the </w:t>
      </w:r>
      <w:r w:rsidRPr="00543519">
        <w:rPr>
          <w:rFonts w:ascii="Calibri" w:hAnsi="Calibri" w:cs="Calibri"/>
          <w:sz w:val="22"/>
          <w:szCs w:val="22"/>
          <w:lang w:val="en-US"/>
        </w:rPr>
        <w:t>requirements</w:t>
      </w:r>
      <w:r w:rsidRPr="00543519">
        <w:rPr>
          <w:rFonts w:ascii="Calibri" w:hAnsi="Calibri" w:cs="Calibri"/>
          <w:sz w:val="22"/>
          <w:szCs w:val="22"/>
          <w:lang w:val="en-US"/>
        </w:rPr>
        <w:t xml:space="preserve"> of 62304. It is relevant to note that there might be processes and methods that are implemented for </w:t>
      </w:r>
      <w:r w:rsidRPr="00543519">
        <w:rPr>
          <w:rFonts w:ascii="Calibri" w:hAnsi="Calibri" w:cs="Calibri"/>
          <w:sz w:val="22"/>
          <w:szCs w:val="22"/>
          <w:lang w:val="en-US"/>
        </w:rPr>
        <w:t>non-medical</w:t>
      </w:r>
      <w:r w:rsidRPr="00543519">
        <w:rPr>
          <w:rFonts w:ascii="Calibri" w:hAnsi="Calibri" w:cs="Calibri"/>
          <w:sz w:val="22"/>
          <w:szCs w:val="22"/>
          <w:lang w:val="en-US"/>
        </w:rPr>
        <w:t xml:space="preserve"> device software that will be sufficient for compliance of the medical device software. </w:t>
      </w:r>
    </w:p>
    <w:p w14:paraId="79B4AB0E"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231333B8" w14:textId="77777777" w:rsidR="00543519" w:rsidRPr="00543519" w:rsidRDefault="00543519" w:rsidP="00543519">
      <w:pPr>
        <w:pStyle w:val="Heading1"/>
        <w:rPr>
          <w:lang w:val="en-US"/>
        </w:rPr>
      </w:pPr>
      <w:r w:rsidRPr="00543519">
        <w:rPr>
          <w:lang w:val="en-US"/>
        </w:rPr>
        <w:t>Validation</w:t>
      </w:r>
    </w:p>
    <w:p w14:paraId="32B3E898" w14:textId="45C07DA9"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The validation of a medical device shall always </w:t>
      </w:r>
      <w:r w:rsidRPr="00543519">
        <w:rPr>
          <w:rFonts w:ascii="Calibri" w:hAnsi="Calibri" w:cs="Calibri"/>
          <w:sz w:val="22"/>
          <w:szCs w:val="22"/>
          <w:lang w:val="en-US"/>
        </w:rPr>
        <w:t>refer</w:t>
      </w:r>
      <w:r w:rsidRPr="00543519">
        <w:rPr>
          <w:rFonts w:ascii="Calibri" w:hAnsi="Calibri" w:cs="Calibri"/>
          <w:sz w:val="22"/>
          <w:szCs w:val="22"/>
          <w:lang w:val="en-US"/>
        </w:rPr>
        <w:t xml:space="preserve"> to the safety and performance of the device. It is thus ultimately the clinical evaluation that will determine if the device can be put on the market. However, for the clinical evaluation to be relevant, the </w:t>
      </w:r>
      <w:r w:rsidRPr="00543519">
        <w:rPr>
          <w:rFonts w:ascii="Calibri" w:hAnsi="Calibri" w:cs="Calibri"/>
          <w:sz w:val="22"/>
          <w:szCs w:val="22"/>
          <w:lang w:val="en-US"/>
        </w:rPr>
        <w:t>reliability</w:t>
      </w:r>
      <w:r w:rsidRPr="00543519">
        <w:rPr>
          <w:rFonts w:ascii="Calibri" w:hAnsi="Calibri" w:cs="Calibri"/>
          <w:sz w:val="22"/>
          <w:szCs w:val="22"/>
          <w:lang w:val="en-US"/>
        </w:rPr>
        <w:t>, and consistent delivery of safety and performance needs to be assured. Further, the basis for the validation needs to be reviewable.</w:t>
      </w:r>
    </w:p>
    <w:p w14:paraId="3AEEE563" w14:textId="77777777"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w:t>
      </w:r>
    </w:p>
    <w:p w14:paraId="79E2DC74" w14:textId="77777777" w:rsidR="00543519" w:rsidRPr="00543519" w:rsidRDefault="00543519" w:rsidP="00543519">
      <w:pPr>
        <w:pStyle w:val="Heading3"/>
        <w:rPr>
          <w:lang w:val="en-US"/>
        </w:rPr>
      </w:pPr>
      <w:r w:rsidRPr="00543519">
        <w:rPr>
          <w:lang w:val="en-US"/>
        </w:rPr>
        <w:t>82304 subclause 6 health software product validation</w:t>
      </w:r>
    </w:p>
    <w:p w14:paraId="0F305803" w14:textId="46AB665B" w:rsidR="00543519" w:rsidRPr="00543519" w:rsidRDefault="00543519" w:rsidP="00543519">
      <w:pPr>
        <w:pStyle w:val="NormalWeb"/>
        <w:spacing w:before="0" w:beforeAutospacing="0" w:after="0" w:afterAutospacing="0"/>
        <w:rPr>
          <w:rFonts w:ascii="Calibri" w:hAnsi="Calibri" w:cs="Calibri"/>
          <w:sz w:val="22"/>
          <w:szCs w:val="22"/>
          <w:lang w:val="en-US"/>
        </w:rPr>
      </w:pPr>
      <w:r w:rsidRPr="00543519">
        <w:rPr>
          <w:rFonts w:ascii="Calibri" w:hAnsi="Calibri" w:cs="Calibri"/>
          <w:sz w:val="22"/>
          <w:szCs w:val="22"/>
          <w:lang w:val="en-US"/>
        </w:rPr>
        <w:t xml:space="preserve">The scope of the validation shall always be the safety and performance of the device. The </w:t>
      </w:r>
      <w:proofErr w:type="gramStart"/>
      <w:r w:rsidRPr="00543519">
        <w:rPr>
          <w:rFonts w:ascii="Calibri" w:hAnsi="Calibri" w:cs="Calibri"/>
          <w:sz w:val="22"/>
          <w:szCs w:val="22"/>
          <w:lang w:val="en-US"/>
        </w:rPr>
        <w:t>activities</w:t>
      </w:r>
      <w:proofErr w:type="gramEnd"/>
      <w:r w:rsidRPr="00543519">
        <w:rPr>
          <w:rFonts w:ascii="Calibri" w:hAnsi="Calibri" w:cs="Calibri"/>
          <w:sz w:val="22"/>
          <w:szCs w:val="22"/>
          <w:lang w:val="en-US"/>
        </w:rPr>
        <w:t xml:space="preserve"> for validation is all the activities that together show that the device performs as intended. This includes all software testing, verification of security and privacy, usability evaluations, review of all relevant documentation and of course the clinical evaluation. This might not be evident when you read the requirements of the standard at first glance. The current verification and validation plan is written from this perspective and should be maintained for this purpose. </w:t>
      </w:r>
    </w:p>
    <w:p w14:paraId="4CAD26F5" w14:textId="77777777" w:rsidR="00FF4676" w:rsidRPr="00543519" w:rsidRDefault="001B2B18">
      <w:pPr>
        <w:rPr>
          <w:lang w:val="en-US"/>
        </w:rPr>
      </w:pPr>
    </w:p>
    <w:sectPr w:rsidR="00FF4676" w:rsidRPr="005435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19"/>
    <w:rsid w:val="001B2B18"/>
    <w:rsid w:val="004B5F11"/>
    <w:rsid w:val="00543519"/>
    <w:rsid w:val="00C11466"/>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D7018"/>
  <w15:chartTrackingRefBased/>
  <w15:docId w15:val="{50D77624-F4DC-4AB2-93A2-9448E8CD2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5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35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435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3519"/>
    <w:pPr>
      <w:spacing w:before="100" w:beforeAutospacing="1" w:after="100" w:afterAutospacing="1" w:line="240" w:lineRule="auto"/>
    </w:pPr>
    <w:rPr>
      <w:rFonts w:ascii="Times New Roman" w:eastAsia="Times New Roman" w:hAnsi="Times New Roman" w:cs="Times New Roman"/>
      <w:sz w:val="24"/>
      <w:szCs w:val="24"/>
      <w:lang w:val="en-SE" w:eastAsia="en-SE"/>
    </w:rPr>
  </w:style>
  <w:style w:type="paragraph" w:styleId="Title">
    <w:name w:val="Title"/>
    <w:basedOn w:val="Normal"/>
    <w:next w:val="Normal"/>
    <w:link w:val="TitleChar"/>
    <w:uiPriority w:val="10"/>
    <w:qFormat/>
    <w:rsid w:val="005435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51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4351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43519"/>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4351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99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11" Type="http://schemas.openxmlformats.org/officeDocument/2006/relationships/customXml" Target="../customXml/item6.xml"/><Relationship Id="rId5" Type="http://schemas.openxmlformats.org/officeDocument/2006/relationships/theme" Target="theme/theme1.xml"/><Relationship Id="rId10" Type="http://schemas.openxmlformats.org/officeDocument/2006/relationships/customXml" Target="../customXml/item5.xml"/><Relationship Id="rId4" Type="http://schemas.openxmlformats.org/officeDocument/2006/relationships/fontTable" Target="fontTable.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A0114CBE2A74A43B90DF5EA3B3BF91E" ma:contentTypeVersion="19" ma:contentTypeDescription="Skapa ett nytt dokument." ma:contentTypeScope="" ma:versionID="501ff959fc002b1e4fb75f4e86d4b851">
  <xsd:schema xmlns:xsd="http://www.w3.org/2001/XMLSchema" xmlns:xs="http://www.w3.org/2001/XMLSchema" xmlns:p="http://schemas.microsoft.com/office/2006/metadata/properties" xmlns:ns1="http://schemas.microsoft.com/sharepoint/v3" xmlns:ns2="d083574a-cf9b-4597-bce5-a73eaa668694" xmlns:ns3="77d55739-c08f-46cc-9b1f-a664b115a174" targetNamespace="http://schemas.microsoft.com/office/2006/metadata/properties" ma:root="true" ma:fieldsID="6dc0d944c4573aefa550a6b63b8a6792" ns1:_="" ns2:_="" ns3:_="">
    <xsd:import namespace="http://schemas.microsoft.com/sharepoint/v3"/>
    <xsd:import namespace="d083574a-cf9b-4597-bce5-a73eaa668694"/>
    <xsd:import namespace="77d55739-c08f-46cc-9b1f-a664b115a1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DateTaken" minOccurs="0"/>
                <xsd:element ref="ns1:_dlc_Exempt" minOccurs="0"/>
                <xsd:element ref="ns3:DLCPolicyLabelValue" minOccurs="0"/>
                <xsd:element ref="ns3:DLCPolicyLabelClientValue" minOccurs="0"/>
                <xsd:element ref="ns3:DLCPolicyLabelLock" minOccurs="0"/>
                <xsd:element ref="ns3:MediaServiceAutoKeyPoints" minOccurs="0"/>
                <xsd:element ref="ns3:MediaServiceKeyPoint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6" nillable="true" ma:displayName="Undanta från princip"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83574a-cf9b-4597-bce5-a73eaa668694" elementFormDefault="qualified">
    <xsd:import namespace="http://schemas.microsoft.com/office/2006/documentManagement/types"/>
    <xsd:import namespace="http://schemas.microsoft.com/office/infopath/2007/PartnerControls"/>
    <xsd:element name="_dlc_DocId" ma:index="8" nillable="true" ma:displayName="Dokument-ID-värde" ma:description="Värdet för dokument-ID som tilldelats till det här objektet." ma:internalName="_dlc_DocId" ma:readOnly="true">
      <xsd:simpleType>
        <xsd:restriction base="dms:Text"/>
      </xsd:simpleType>
    </xsd:element>
    <xsd:element name="_dlc_DocIdUrl" ma:index="9"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d55739-c08f-46cc-9b1f-a664b115a1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DLCPolicyLabelValue" ma:index="17" nillable="true" ma:displayName="Etikett" ma:description="Lagrar aktuellt värde för etiketten." ma:internalName="DLCPolicyLabelValue" ma:readOnly="true">
      <xsd:simpleType>
        <xsd:restriction base="dms:Note">
          <xsd:maxLength value="255"/>
        </xsd:restriction>
      </xsd:simpleType>
    </xsd:element>
    <xsd:element name="DLCPolicyLabelClientValue" ma:index="1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9"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p:Policy xmlns:p="office.server.policy" id="" local="true">
  <p:Name>Document</p:Name>
  <p:Description/>
  <p:Statement/>
  <p:PolicyItems>
    <p:PolicyItem featureId="Microsoft.Office.RecordsManagement.PolicyFeatures.PolicyLabel" staticId="0x010100EA0114CBE2A74A43B90DF5EA3B3BF91E|937131343" UniqueId="16768529-d534-4292-96e9-62be6866738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width>0.78740157480315</width>
            <height>0.393700787401575</height>
          </properties>
          <segment type="metadata">_UIVersionString</segment>
        </label>
      </p:CustomData>
    </p:PolicyItem>
  </p:PolicyItems>
</p:Policy>
</file>

<file path=customXml/item4.xml><?xml version="1.0" encoding="utf-8"?>
<?mso-contentType ?>
<PolicyDirtyBag xmlns="microsoft.office.server.policy.changes">
  <Microsoft.Office.RecordsManagement.PolicyFeatures.PolicyLabel op="Change"/>
</PolicyDirtyBag>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DLCPolicyLabelClientValue xmlns="77d55739-c08f-46cc-9b1f-a664b115a174" xsi:nil="true"/>
    <DLCPolicyLabelLock xmlns="77d55739-c08f-46cc-9b1f-a664b115a174" xsi:nil="true"/>
    <_dlc_DocId xmlns="d083574a-cf9b-4597-bce5-a73eaa668694">2166-126523358-3378</_dlc_DocId>
    <_dlc_DocIdUrl xmlns="d083574a-cf9b-4597-bce5-a73eaa668694">
      <Url>https://noncomplicity.sharepoint.com/sites/Noncomplicity/_layouts/15/DocIdRedir.aspx?ID=2166-126523358-3378</Url>
      <Description>2166-126523358-3378</Description>
    </_dlc_DocIdUrl>
    <DLCPolicyLabelValue xmlns="77d55739-c08f-46cc-9b1f-a664b115a174">0.1</DLCPolicyLabelValue>
  </documentManagement>
</p:properties>
</file>

<file path=customXml/itemProps1.xml><?xml version="1.0" encoding="utf-8"?>
<ds:datastoreItem xmlns:ds="http://schemas.openxmlformats.org/officeDocument/2006/customXml" ds:itemID="{59CD1298-0749-4E6A-9E6A-A5FB2E9D8090}"/>
</file>

<file path=customXml/itemProps2.xml><?xml version="1.0" encoding="utf-8"?>
<ds:datastoreItem xmlns:ds="http://schemas.openxmlformats.org/officeDocument/2006/customXml" ds:itemID="{F5DB0B9C-3E35-4DE2-A341-FBE619DEBEC5}"/>
</file>

<file path=customXml/itemProps3.xml><?xml version="1.0" encoding="utf-8"?>
<ds:datastoreItem xmlns:ds="http://schemas.openxmlformats.org/officeDocument/2006/customXml" ds:itemID="{16020C8E-1082-44A8-BCD2-172A8302AC5E}"/>
</file>

<file path=customXml/itemProps4.xml><?xml version="1.0" encoding="utf-8"?>
<ds:datastoreItem xmlns:ds="http://schemas.openxmlformats.org/officeDocument/2006/customXml" ds:itemID="{93A7BA0B-3B13-4769-AEFA-59374A5ABAC2}"/>
</file>

<file path=customXml/itemProps5.xml><?xml version="1.0" encoding="utf-8"?>
<ds:datastoreItem xmlns:ds="http://schemas.openxmlformats.org/officeDocument/2006/customXml" ds:itemID="{BA64F193-FF3A-4F48-9283-444C8FCDE0CB}"/>
</file>

<file path=customXml/itemProps6.xml><?xml version="1.0" encoding="utf-8"?>
<ds:datastoreItem xmlns:ds="http://schemas.openxmlformats.org/officeDocument/2006/customXml" ds:itemID="{2B332C27-6DD3-414C-957E-191CBC0B5A19}"/>
</file>

<file path=docProps/app.xml><?xml version="1.0" encoding="utf-8"?>
<Properties xmlns="http://schemas.openxmlformats.org/officeDocument/2006/extended-properties" xmlns:vt="http://schemas.openxmlformats.org/officeDocument/2006/docPropsVTypes">
  <Template>Normal.dotm</Template>
  <TotalTime>6</TotalTime>
  <Pages>3</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Dumky</dc:creator>
  <cp:keywords/>
  <dc:description/>
  <cp:lastModifiedBy>Jakob Dumky</cp:lastModifiedBy>
  <cp:revision>1</cp:revision>
  <dcterms:created xsi:type="dcterms:W3CDTF">2021-12-21T10:07:00Z</dcterms:created>
  <dcterms:modified xsi:type="dcterms:W3CDTF">2021-12-21T10:13:00Z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0x010100EA0114CBE2A74A43B90DF5EA3B3BF91E</vt:lpwstr>
  </property>
  <property fmtid="{D5CDD505-2E9C-101B-9397-08002B2CF9AE}" pid="3" name="_dlc_DocIdItemGuid">
    <vt:lpwstr>ee60373b-d706-4721-9545-f62daa0d0d0f</vt:lpwstr>
  </property>
</Properties>
</file>