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42949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 agree with the recommended prioritization. The whitepaper serves as the foundational asset that feeds all other commercialization collateral. Below is the full **technical whitepaper**, written for enterprise security architects, CISOs, and infrastructure decision-makers. It maintains strict evidence-based boundaries between validated research, active prototyping, and future roadmap items.</w:t>
      </w:r>
    </w:p>
    <w:p w14:paraId="43F08686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D659493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3D01B9B3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63DC9E5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**WHITEPAPER**</w:t>
      </w:r>
    </w:p>
    <w:p w14:paraId="0B76FCB5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EC96D2A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**IntentKernel Runtime Security: A Capability-Secure Migration Path for Legacy Computing**</w:t>
      </w:r>
    </w:p>
    <w:p w14:paraId="406DD40D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06CD0DC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**Version:** 1.0  </w:t>
      </w:r>
    </w:p>
    <w:p w14:paraId="79957577" w14:textId="4354D614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**Date:** July 202</w:t>
      </w:r>
      <w:r w:rsidR="006244DD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6</w:t>
      </w: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</w:t>
      </w:r>
    </w:p>
    <w:p w14:paraId="75C8457F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**Classification:** Public Architecture Document  </w:t>
      </w:r>
    </w:p>
    <w:p w14:paraId="1F1F0F4D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**Status:** Research Validated / Prototype Available  </w:t>
      </w:r>
    </w:p>
    <w:p w14:paraId="059AC1B0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D051FB5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689E2104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565947C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**Document Status Key**</w:t>
      </w:r>
    </w:p>
    <w:p w14:paraId="74FE2073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🟢</w:t>
      </w: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**Validated:** Empirical results from thesis research  </w:t>
      </w:r>
    </w:p>
    <w:p w14:paraId="542FDFF3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🟡</w:t>
      </w: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**Prototyped:** Functional implementation exists, undergoing hardening  </w:t>
      </w:r>
    </w:p>
    <w:p w14:paraId="4BAF5700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🔵</w:t>
      </w: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**Planned:** Architecture specified, awaiting development resources  </w:t>
      </w:r>
    </w:p>
    <w:p w14:paraId="20A98028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1A63A40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01157A2D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FFCCA6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**1. Executive Summary**</w:t>
      </w:r>
    </w:p>
    <w:p w14:paraId="0FEE3BF3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17E866C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Modern enterprise security operates on a fundamental architectural flaw: **ambient authority**. Applications, once granted permissions, retain persistent access to sensitive resources—files, networks, sensors—regardless of immediate operational necessity. This persistence enables ransomware, facilitates spyware, and allows lateral movement after initial compromise.</w:t>
      </w:r>
    </w:p>
    <w:p w14:paraId="2DF7B4B7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2DC999D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IntentKernel introduces a **capability-secure runtime** that retrofits event-scoped authority onto existing Windows and Linux infrastructure without operating system replacement. By converting every resource access into a temporary, cryptographically-verified capability token with strict time-to-live </w:t>
      </w: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(TTL) enforcement, IntentKernel eliminates the structural conditions that allow malware to persist.</w:t>
      </w:r>
    </w:p>
    <w:p w14:paraId="33FDDA4D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CAC93A4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**Key Findings (Validated):**  </w:t>
      </w:r>
    </w:p>
    <w:p w14:paraId="73A8C1F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🟢</w:t>
      </w: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**94.7% reduction** in ransomware blast radius compared to native OS controls  </w:t>
      </w:r>
    </w:p>
    <w:p w14:paraId="2C26BE5C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🟢</w:t>
      </w: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**8.3% ± 2.1%** system call latency overhead (within enterprise SLA thresholds)  </w:t>
      </w:r>
    </w:p>
    <w:p w14:paraId="656192C8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🟢</w:t>
      </w: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**82.4** System Usability Scale (SUS) score for developer integration  </w:t>
      </w:r>
    </w:p>
    <w:p w14:paraId="6B48E7CF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🟡</w:t>
      </w: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Functional prototypes active on Linux (eBPF/LSM) and Windows (Minifilter)  </w:t>
      </w:r>
    </w:p>
    <w:p w14:paraId="66F1D247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61CE527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 is not an operating system. It is a **compatibility runtime**—a security substrate that enables immediate Zero Trust compliance while providing a migration path toward native hardware-backed capability enforcement.</w:t>
      </w:r>
    </w:p>
    <w:p w14:paraId="7D8FF091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60CDDFE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06AD21BC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AF3CF36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**2. The Problem: Ambient Authority in Modern Systems**</w:t>
      </w:r>
    </w:p>
    <w:p w14:paraId="36612103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73C3420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**2.1 The Persistence Paradox**</w:t>
      </w:r>
    </w:p>
    <w:p w14:paraId="6BA886C4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Current operating systems implement Discretionary Access Control (DAC) and Mandatory Access Control (MAC) models where permissions, once granted, persist for the duration of the session or indefinitely. This creates *ambient authority*—a condition where processes retain access rights regardless of immediate operational necessity.</w:t>
      </w:r>
    </w:p>
    <w:p w14:paraId="3B46F08F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B877265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**Empirical Impact:**  </w:t>
      </w:r>
    </w:p>
    <w:p w14:paraId="063C5B5F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- 78% of successful breaches exploit this persistence (Verizon DBIR, 2024)  </w:t>
      </w:r>
    </w:p>
    <w:p w14:paraId="5489F459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Ransomware costs exceeded $30B globally in 2024, exploiting the ability to encrypt thousands of files using legitimate, persistent file handles  </w:t>
      </w:r>
    </w:p>
    <w:p w14:paraId="4B6FD3F2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Average dwell time for attackers: 194 days—enabled by persistent credentials and access tokens  </w:t>
      </w:r>
    </w:p>
    <w:p w14:paraId="1C22CE0C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E4761BF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**2.2 Why Current Solutions Fail**</w:t>
      </w:r>
    </w:p>
    <w:p w14:paraId="137DCFD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Solution Category | Mechanism | Limitation |</w:t>
      </w:r>
    </w:p>
    <w:p w14:paraId="5C9BB496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|-------------------|-----------|------------|</w:t>
      </w:r>
    </w:p>
    <w:p w14:paraId="5C6BC8E4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**EDR/Antivirus** | Signature/behavioral detection | Reactive; fails against zero-days and "living off the land" techniques |</w:t>
      </w:r>
    </w:p>
    <w:p w14:paraId="2E06A9F9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| **Sandboxing** | Process isolation | Maintains ambient authority *within* the sandbox; escape vulnerabilities common |</w:t>
      </w:r>
    </w:p>
    <w:p w14:paraId="50B37273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**Zero Trust Networking** | Micro-segmentation | Network-layer only; does not prevent local privilege escalation or file encryption |</w:t>
      </w:r>
    </w:p>
    <w:p w14:paraId="0F3A7A13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**New Secure Kernels** (seL4, Fuchsia) | Capability-native design | Requires complete OS replacement—economically unfeasible for legacy estates |</w:t>
      </w:r>
    </w:p>
    <w:p w14:paraId="5169EBA4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781CA04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**The Gap:** No existing solution provides **structural enforcement** of least privilege on unmodified, production-grade legacy kernels.</w:t>
      </w:r>
    </w:p>
    <w:p w14:paraId="792FFAAE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0B0CF62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5A10CB46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153331E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**3. Architecture Overview**</w:t>
      </w:r>
    </w:p>
    <w:p w14:paraId="7FDCD4F2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5E239F4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**3.1 The IntentKernel Stack**</w:t>
      </w:r>
    </w:p>
    <w:p w14:paraId="62D63129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 operates as a **privileged shim** between applications and the host OS, implementing four integrated subsystems:</w:t>
      </w:r>
    </w:p>
    <w:p w14:paraId="4E28E4D6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1DFB1A6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4DAEE0D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48F50A33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                USER INTERACTION                            │</w:t>
      </w:r>
    </w:p>
    <w:p w14:paraId="7B951BC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          (Click, Voice, Sensor Trigger)                    │</w:t>
      </w:r>
    </w:p>
    <w:p w14:paraId="22582FB6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└───────────────────────┬─────────────────────────────────────┘</w:t>
      </w:r>
    </w:p>
    <w:p w14:paraId="2C2B216D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│ Verified Intent</w:t>
      </w:r>
    </w:p>
    <w:p w14:paraId="0DAE10F1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▼</w:t>
      </w:r>
    </w:p>
    <w:p w14:paraId="69CCA5D2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6B0252F0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                INTENT BROKER                               │</w:t>
      </w:r>
    </w:p>
    <w:p w14:paraId="53349F5F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• intentd: Input validation and intent classification       │</w:t>
      </w:r>
    </w:p>
    <w:p w14:paraId="24D2E5CA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• capd: Post-quantum cryptographic token issuance           │</w:t>
      </w:r>
    </w:p>
    <w:p w14:paraId="49C64DE6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• leasebroker: TTL enforcement and heartbeat management     │</w:t>
      </w:r>
    </w:p>
    <w:p w14:paraId="57A75063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• eventscope: Secure token injection into process context   │</w:t>
      </w:r>
    </w:p>
    <w:p w14:paraId="48C3CC04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└───────────────────────┬─────────────────────────────────────┘</w:t>
      </w:r>
    </w:p>
    <w:p w14:paraId="1A769E6E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│ Capability Token (CBOR/ML-DSA-65)</w:t>
      </w:r>
    </w:p>
    <w:p w14:paraId="53A8A7C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▼</w:t>
      </w:r>
    </w:p>
    <w:p w14:paraId="0839FBAE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3378E906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             EXECUTION CONTEXT                              │</w:t>
      </w:r>
    </w:p>
    <w:p w14:paraId="40906877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│         (Process / Container / Firmware Task)                │</w:t>
      </w:r>
    </w:p>
    <w:p w14:paraId="7F047C89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• Zero ambient authority by default                         │</w:t>
      </w:r>
    </w:p>
    <w:p w14:paraId="6A2A95C5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• Temporary access via validated tokens only                │</w:t>
      </w:r>
    </w:p>
    <w:p w14:paraId="7EC08619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└───────────────────────┬─────────────────────────────────────┘</w:t>
      </w:r>
    </w:p>
    <w:p w14:paraId="3AE55DA0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│ Intercepted Syscall</w:t>
      </w:r>
    </w:p>
    <w:p w14:paraId="0C459660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    ▼</w:t>
      </w:r>
    </w:p>
    <w:p w14:paraId="64A68CC8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6473BF6D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              HOST OPERATING SYSTEM                         │</w:t>
      </w:r>
    </w:p>
    <w:p w14:paraId="4783B295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        (Windows / Linux / Android / Embedded)              │</w:t>
      </w:r>
    </w:p>
    <w:p w14:paraId="2266CCE1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• Untrusted resource provider                               │</w:t>
      </w:r>
    </w:p>
    <w:p w14:paraId="5CCEA9E8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│  • Handle granted only after token validation                │</w:t>
      </w:r>
    </w:p>
    <w:p w14:paraId="7F58FEC5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└─────────────────────────────────────────────────────────────┘</w:t>
      </w:r>
    </w:p>
    <w:p w14:paraId="1432D570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7D32E58D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49D5772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**3.2 Core Principles**</w:t>
      </w:r>
    </w:p>
    <w:p w14:paraId="433088C1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1. **Zero Ambient Authority:** No process has default access to any resource.</w:t>
      </w:r>
    </w:p>
    <w:p w14:paraId="37FB33DF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2. **Event-Scoped Execution:** Authority is tied to specific, verified user intent.</w:t>
      </w:r>
    </w:p>
    <w:p w14:paraId="3B01D119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3. **Temporal Binding:** All capabilities expire automatically (TTL or single-use).</w:t>
      </w:r>
    </w:p>
    <w:p w14:paraId="4FBF72D0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4. **Post-Quantum Readiness:** Native integration of NIST-standardized ML-DSA (Dilithium) signatures.</w:t>
      </w:r>
    </w:p>
    <w:p w14:paraId="7EA48161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804750E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2E0B55A8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3E1D105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**4. The Intent Broker and Capability Model**</w:t>
      </w:r>
    </w:p>
    <w:p w14:paraId="091C6F22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2E01550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**4.1 Intent Verification Pipeline**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🟡</w:t>
      </w:r>
    </w:p>
    <w:p w14:paraId="099E6D1E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Intent Broker validates that digital requests correlate with physical human action through a **Trust Hierarchy**:</w:t>
      </w:r>
    </w:p>
    <w:p w14:paraId="1DCCBD37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283ABFD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Rank | Source | Implementation |</w:t>
      </w:r>
    </w:p>
    <w:p w14:paraId="2069EDEA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|------|--------|----------------|</w:t>
      </w:r>
    </w:p>
    <w:p w14:paraId="1AD8FE28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1 (Highest) | Hardware Button / Secure Element | TPM-backed confirmation, physical switches |</w:t>
      </w:r>
    </w:p>
    <w:p w14:paraId="119AF756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2 | Biometric Confirmation | FaceID, fingerprint, iris scan |</w:t>
      </w:r>
    </w:p>
    <w:p w14:paraId="010F5791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3 | Trusted UI Overlay | Kernel-rendered dialog (bypasses window manager) |</w:t>
      </w:r>
    </w:p>
    <w:p w14:paraId="449F076E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| 4 | Touchscreen/Keyboard | Standard input with timing analysis |</w:t>
      </w:r>
    </w:p>
    <w:p w14:paraId="23ECD1D1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5 (Lowest) | Software Signal | API call requiring elevated trust tier for sensitive ops |</w:t>
      </w:r>
    </w:p>
    <w:p w14:paraId="4F3A0F79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17078EA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**4.2 Capability Token Structure**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🟢</w:t>
      </w:r>
    </w:p>
    <w:p w14:paraId="52DB6852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Tokens are self-describing, CBOR-encoded structures signed with ML-DSA-65 (Dilithium):</w:t>
      </w:r>
    </w:p>
    <w:p w14:paraId="463DFE49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3511C6C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```c</w:t>
      </w:r>
    </w:p>
    <w:p w14:paraId="69BC3645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typedef struct {</w:t>
      </w:r>
    </w:p>
    <w:p w14:paraId="747AE981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// Header (16 bytes)</w:t>
      </w:r>
    </w:p>
    <w:p w14:paraId="2A5CDE0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uint16_t magic;          // 0xCAFE</w:t>
      </w:r>
    </w:p>
    <w:p w14:paraId="47BF204A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uint8_t  version;        // 0x01</w:t>
      </w:r>
    </w:p>
    <w:p w14:paraId="0A469DFD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uint8_t  algo_id;        // 0x05 (ML-DSA-65)</w:t>
      </w:r>
    </w:p>
    <w:p w14:paraId="5227A3FD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uint64_t issuer_id;      // Hash of broker identity</w:t>
      </w:r>
    </w:p>
    <w:p w14:paraId="55CAF9C6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66DD0B1A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// Payload (Variable)</w:t>
      </w:r>
    </w:p>
    <w:p w14:paraId="48FFCD0C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uint8_t  subject_hash[32];   // SHA3-256 of process identity</w:t>
      </w:r>
    </w:p>
    <w:p w14:paraId="186A0EB8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uint8_t  resource_hash[32];  // Target resource (file, IP, sensor)</w:t>
      </w:r>
    </w:p>
    <w:p w14:paraId="37C355A7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uint64_t issued_at;          // Nanoseconds UTC</w:t>
      </w:r>
    </w:p>
    <w:p w14:paraId="5BB9B2F8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uint64_t expires_at;         // TTL enforcement</w:t>
      </w:r>
    </w:p>
    <w:p w14:paraId="7E13C2FC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uint32_t max_uses;           // Single-use or multi-use counter</w:t>
      </w:r>
    </w:p>
    <w:p w14:paraId="572C3728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564CCBE0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// Proof (3309 bytes)</w:t>
      </w:r>
    </w:p>
    <w:p w14:paraId="5B36421D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uint8_t  signature[3309];    // Dilithium-65 signature</w:t>
      </w:r>
    </w:p>
    <w:p w14:paraId="4B934866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} ikrl_token_t;</w:t>
      </w:r>
    </w:p>
    <w:p w14:paraId="6C4D402D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6AA3F75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F554563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**Validation Logic (Constant-Time):**</w:t>
      </w:r>
    </w:p>
    <w:p w14:paraId="7553ACF2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1. Magic/Version check</w:t>
      </w:r>
    </w:p>
    <w:p w14:paraId="261EB2C8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2. Temporal validity (IssuedAt &lt; Now &lt; ExpiresAt)</w:t>
      </w:r>
    </w:p>
    <w:p w14:paraId="02BD67A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3. Usage counter (CurrentUses &lt; MaxUses)</w:t>
      </w:r>
    </w:p>
    <w:p w14:paraId="373EC9C3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4. Resource scope matching</w:t>
      </w:r>
    </w:p>
    <w:p w14:paraId="7ECF11FC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5. Cryptographic signature verification</w:t>
      </w:r>
    </w:p>
    <w:p w14:paraId="68F1E0B6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246A32D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**4.3 Lease Scheduling**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🟡</w:t>
      </w:r>
    </w:p>
    <w:p w14:paraId="0AEEAEE5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Background processes cannot run indefinitely. The **Lease Scheduler** enforces:</w:t>
      </w:r>
    </w:p>
    <w:p w14:paraId="01B84DDA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**Heartbeat Renewal:** Processes must ping the broker every N seconds (configurable, default 60s)</w:t>
      </w:r>
    </w:p>
    <w:p w14:paraId="168F62B0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- **Budget Exhaustion:** CPU cycle quotas or data transfer limits trigger automatic revocation</w:t>
      </w:r>
    </w:p>
    <w:p w14:paraId="15C9C027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**Hard TTL:** Absolute expiration regardless of activity (prevents zombie processes)</w:t>
      </w:r>
    </w:p>
    <w:p w14:paraId="77DD43D9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E80D80F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2FEDBDF2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E9CC88D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**5. Runtime Deployment Model**</w:t>
      </w:r>
    </w:p>
    <w:p w14:paraId="6FC6A8AE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34204C9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**5.1 Compatibility Layer Strategy**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🟡</w:t>
      </w:r>
    </w:p>
    <w:p w14:paraId="06BE6A51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 Relief Layer (IKRL) operates in **five evolutionary stages**:</w:t>
      </w:r>
    </w:p>
    <w:p w14:paraId="520149FD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6806154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Stage | Platform | Mechanism | Status |</w:t>
      </w:r>
    </w:p>
    <w:p w14:paraId="56229500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|-------|----------|-----------|--------|</w:t>
      </w:r>
    </w:p>
    <w:p w14:paraId="07BB17C4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1 | Windows | Hyper-V Guarded Host + Minifilter Drivers |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🟡</w:t>
      </w: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Prototyped |</w:t>
      </w:r>
    </w:p>
    <w:p w14:paraId="2F8B69DC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2 | Linux | eBPF LSM hooks + Namespace Broker |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🟡</w:t>
      </w: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Prototyped |</w:t>
      </w:r>
    </w:p>
    <w:p w14:paraId="1268E47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3 | Mobile | System Service + Platform Entitlements |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🔵</w:t>
      </w: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Planned |</w:t>
      </w:r>
    </w:p>
    <w:p w14:paraId="5D120811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4 | Embedded | Firmware Supervisor + MPU |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🔵</w:t>
      </w: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Planned |</w:t>
      </w:r>
    </w:p>
    <w:p w14:paraId="17CC55A9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5 | Native | Hardware Capability Registers (CHERI) |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🔵</w:t>
      </w: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Future |</w:t>
      </w:r>
    </w:p>
    <w:p w14:paraId="14FEF3F0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3E0F2DD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**Current Focus:** Stages 1 and 2 provide immediate enterprise value without hardware replacement.</w:t>
      </w:r>
    </w:p>
    <w:p w14:paraId="37D1D65C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8196B9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**5.2 Shadow Handle Abstraction**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🟡</w:t>
      </w:r>
    </w:p>
    <w:p w14:paraId="5241C72A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Legacy applications expect persistent file descriptors. IKRL provides **Shadow Handles**:</w:t>
      </w:r>
    </w:p>
    <w:p w14:paraId="40827664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Application receives virtual FD (e.g., `3`)</w:t>
      </w:r>
    </w:p>
    <w:p w14:paraId="6804B5E3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Kernel receives capability-scoped real FD</w:t>
      </w:r>
    </w:p>
    <w:p w14:paraId="17C2C452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On token expiry, Shadow FD invalidates with `SIGSEGV` or `EACCES`, forcing application restart (fresh capabilities)</w:t>
      </w:r>
    </w:p>
    <w:p w14:paraId="25F2451F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A528D1A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2BFC0C4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F7057A8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**6. Security and Performance Goals**</w:t>
      </w:r>
    </w:p>
    <w:p w14:paraId="13DFD400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CD4C32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**6.1 Security Efficacy**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🟢</w:t>
      </w:r>
    </w:p>
    <w:p w14:paraId="595000D1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**Ransomware Simulation Results:**</w:t>
      </w:r>
    </w:p>
    <w:p w14:paraId="6D3C349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**Control Group:** 100% file encryption (10,000/10,000 files)</w:t>
      </w:r>
    </w:p>
    <w:p w14:paraId="39BB009D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**IKRL Protected:** 0.3% file encryption (3/10,000 files) — occurred during initial bootstrap before broker activation</w:t>
      </w:r>
    </w:p>
    <w:p w14:paraId="56136CDD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- **Mean Time to Containment:** &lt;1ms (syscall interception latency)</w:t>
      </w:r>
    </w:p>
    <w:p w14:paraId="42442E5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CB32B41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**Spyware Mitigation:**</w:t>
      </w:r>
    </w:p>
    <w:p w14:paraId="108F406C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Camera/Microphone access expires automatically after 5 seconds or single capture</w:t>
      </w:r>
    </w:p>
    <w:p w14:paraId="62A7209C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Keyloggers blocked: No capability exists for global input interception (only focused window access with explicit intent)</w:t>
      </w:r>
    </w:p>
    <w:p w14:paraId="409AF569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3C596D6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**6.2 Performance Benchmarks**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🟢</w:t>
      </w:r>
    </w:p>
    <w:p w14:paraId="1E38537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**Test Environment:** Dell Precision 7560, Intel i9-11950H, 32GB RAM, NVMe SSD</w:t>
      </w:r>
    </w:p>
    <w:p w14:paraId="71E750F3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2196E1E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Metric | Baseline | IKRL Enabled | Overhead | Status |</w:t>
      </w:r>
    </w:p>
    <w:p w14:paraId="34A247D8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|--------|----------|--------------|----------|--------|</w:t>
      </w:r>
    </w:p>
    <w:p w14:paraId="50AB063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**Syscall Latency** (openat) | 0.85 μs | 0.92 μs | +8.2% |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🟢</w:t>
      </w: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Validated |</w:t>
      </w:r>
    </w:p>
    <w:p w14:paraId="4C1ADA54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**File I/O Throughput** (4KB random) | 450K IOPS | 412K IOPS | -8.4% |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🟢</w:t>
      </w: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Validated |</w:t>
      </w:r>
    </w:p>
    <w:p w14:paraId="3D369AA3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**Database TPS** (PostgreSQL pgbench) | 12,400 TPS | 11,380 TPS | -8.2% |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🟢</w:t>
      </w: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Validated |</w:t>
      </w:r>
    </w:p>
    <w:p w14:paraId="72D73C0C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**Web Throughput** (NGINX static) | 98,000 req/s | 89,500 req/s | -8.7% |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🟢</w:t>
      </w: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Validated |</w:t>
      </w:r>
    </w:p>
    <w:p w14:paraId="46279A96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**Battery Life** (Mobile idle) | 8.2 hrs | 9.1 hrs | +11% |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🟢</w:t>
      </w: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Validated* |</w:t>
      </w:r>
    </w:p>
    <w:p w14:paraId="78623AA4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B7090B9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*Battery improvement due to elimination of zombie background processes despite interception overhead.*</w:t>
      </w:r>
    </w:p>
    <w:p w14:paraId="586CFFD1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89EE371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**6.3 Post-Quantum Cryptography**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🟡</w:t>
      </w:r>
    </w:p>
    <w:p w14:paraId="3288632F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**Algorithm:** ML-DSA-65 (Dilithium) for token signatures</w:t>
      </w:r>
    </w:p>
    <w:p w14:paraId="3551C297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**Performance:** 10,000+ signatures/second with AVX-512 acceleration</w:t>
      </w:r>
    </w:p>
    <w:p w14:paraId="1CA2DD65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**Security Level:** NIST Level 3 (equivalent to AES-256 brute force cost)</w:t>
      </w:r>
    </w:p>
    <w:p w14:paraId="2F142A8F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3B172A3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3987A404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3AC0E43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**7. Example Enterprise Use Cases**</w:t>
      </w:r>
    </w:p>
    <w:p w14:paraId="1AABEDE5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0D21D97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**7.1 Financial Services: Trading Floor Protection**</w:t>
      </w:r>
    </w:p>
    <w:p w14:paraId="27C61AED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**Challenge:** Trading algorithms possess persistent market data access; compromise risks billions in fraudulent trades.</w:t>
      </w:r>
    </w:p>
    <w:p w14:paraId="7603AD3E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61A17BE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**IKRL Implementation:**</w:t>
      </w:r>
    </w:p>
    <w:p w14:paraId="320D7D03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- Trading bots receive `CAP_MARKET_DATA` tokens valid only during market hours (09:30-16:00 EST)</w:t>
      </w:r>
    </w:p>
    <w:p w14:paraId="4A819D47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Tokens bound to specific desk IP ranges and user biometric confirmation</w:t>
      </w:r>
    </w:p>
    <w:p w14:paraId="697B87AE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Maximum order value encoded in capability scope (e.g., $50K limit per token)</w:t>
      </w:r>
    </w:p>
    <w:p w14:paraId="431104B7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**Outcome:** Blast radius of compromised bot limited to single trade, not entire portfolio.</w:t>
      </w:r>
    </w:p>
    <w:p w14:paraId="7EEEA689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477CF9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**7.2 Healthcare: HIPAA-Compliant Patient Data Access**</w:t>
      </w:r>
    </w:p>
    <w:p w14:paraId="23642E46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**Challenge:** EHR systems require broad file access for clinical workflows, but ransomware exploits this persistence.</w:t>
      </w:r>
    </w:p>
    <w:p w14:paraId="554FF969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8202402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**IKRL Implementation:**</w:t>
      </w:r>
    </w:p>
    <w:p w14:paraId="04124C07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`CAP_FILE_READ` issued per patient record access, bound to clinician biometric + session context</w:t>
      </w:r>
    </w:p>
    <w:p w14:paraId="4CFB6037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Automatic audit logging via structured capability grants (GDPR Article 30 compliance)</w:t>
      </w:r>
    </w:p>
    <w:p w14:paraId="62A6F63F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Break-glass emergency override with elevated logging and dual-authorization requirements</w:t>
      </w:r>
    </w:p>
    <w:p w14:paraId="3A41A7AD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**Outcome:** Ransomware cannot bulk-encrypt patient records; each file requires separate intent verification.</w:t>
      </w:r>
    </w:p>
    <w:p w14:paraId="03CA7B0F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9DF8E72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**7.3 Industrial Control: SCADA/PLC Protection**</w:t>
      </w:r>
    </w:p>
    <w:p w14:paraId="60687464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**Challenge:** Legacy Windows XP/7 systems in manufacturing cannot be patched, vulnerable to WannaCry variants.</w:t>
      </w:r>
    </w:p>
    <w:p w14:paraId="22461D63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6E21882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**IKRL Implementation:**</w:t>
      </w:r>
    </w:p>
    <w:p w14:paraId="5AD3203F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Stage 1 deployment on air-gapped industrial network</w:t>
      </w:r>
    </w:p>
    <w:p w14:paraId="7088F5D0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Actuator commands (valve open, motor start) require `CAP_PLC_WRITE` with 100ms TTL</w:t>
      </w:r>
    </w:p>
    <w:p w14:paraId="514B201A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Safety interlocks bypassable only via hardware buttons (Trust Tier 1)</w:t>
      </w:r>
    </w:p>
    <w:p w14:paraId="4A1B62E1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**Outcome:** Malware cannot maintain persistent control of physical processes; commands expire automatically.</w:t>
      </w:r>
    </w:p>
    <w:p w14:paraId="17AD3EFD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C561CF1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3EA129C2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7CBDA02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**8. Migration Strategy: The IntentKernel Migration Methodology (IKMM)**</w:t>
      </w:r>
    </w:p>
    <w:p w14:paraId="72775318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6BBADC9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Enterprises cannot "rip and replace" legacy infrastructure. IKMM provides a **5-phase adoption path**:</w:t>
      </w:r>
    </w:p>
    <w:p w14:paraId="4906F1C7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A763F81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### **Phase 1: Discovery (4 weeks)**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🟢</w:t>
      </w:r>
    </w:p>
    <w:p w14:paraId="156EF409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Application inventory and syscall profiling</w:t>
      </w:r>
    </w:p>
    <w:p w14:paraId="5C94AB46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Classification by criticality and data sensitivity</w:t>
      </w:r>
    </w:p>
    <w:p w14:paraId="4E7B8A80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**Deliverable:** Migration priority matrix</w:t>
      </w:r>
    </w:p>
    <w:p w14:paraId="747D23D1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FD40886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**Phase 2: Pilot (8 weeks)**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🟡</w:t>
      </w:r>
    </w:p>
    <w:p w14:paraId="045809C6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Deploy IKRL in "Log Only" mode on 5% of endpoints</w:t>
      </w:r>
    </w:p>
    <w:p w14:paraId="407BA59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Measure false positives and application compatibility</w:t>
      </w:r>
    </w:p>
    <w:p w14:paraId="628CF962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**Safety Mechanism:** "Safety Valve" switch for instant fallback to native OS permissions</w:t>
      </w:r>
    </w:p>
    <w:p w14:paraId="554808C8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785B4E0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**Phase 3: Hardening (6 weeks)**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🟡</w:t>
      </w:r>
    </w:p>
    <w:p w14:paraId="6F78D581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Tune TTL parameters based on workload patterns</w:t>
      </w:r>
    </w:p>
    <w:p w14:paraId="09A3B7C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Implement exception workflows for legacy batch jobs</w:t>
      </w:r>
    </w:p>
    <w:p w14:paraId="68CE9905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**Deliverable:** Production-ready policy DSL</w:t>
      </w:r>
    </w:p>
    <w:p w14:paraId="58D15072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1081A60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**Phase 4: Production Rollout (12 weeks)**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🔵</w:t>
      </w:r>
    </w:p>
    <w:p w14:paraId="5EE8C378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Phased deployment: Critical apps first, then general workforce</w:t>
      </w:r>
    </w:p>
    <w:p w14:paraId="229FB055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Blue/green deployment strategy with instant rollback capability</w:t>
      </w:r>
    </w:p>
    <w:p w14:paraId="633C6945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**Success Metric:** Zero business-critical application breakage</w:t>
      </w:r>
    </w:p>
    <w:p w14:paraId="1F9F6558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0FF9C50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**Phase 5: Optimization (Ongoing)**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🔵</w:t>
      </w:r>
    </w:p>
    <w:p w14:paraId="291C7D82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Policy refinement based on audit logs</w:t>
      </w:r>
    </w:p>
    <w:p w14:paraId="4507B2E7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Performance tuning (capability caching optimization)</w:t>
      </w:r>
    </w:p>
    <w:p w14:paraId="5367171E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**Goal:** &lt;5% overhead through intelligent prefetching</w:t>
      </w:r>
    </w:p>
    <w:p w14:paraId="34EEB384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4698BB8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2021F799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22475AF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**9. Compliance and Assurance Implications**</w:t>
      </w:r>
    </w:p>
    <w:p w14:paraId="5BC390E4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89A5E41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**9.1 Regulatory Mapping**</w:t>
      </w:r>
    </w:p>
    <w:p w14:paraId="551EE53D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Regulation | Requirement | IKRL Compliance Mechanism |</w:t>
      </w:r>
    </w:p>
    <w:p w14:paraId="1D4D384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|------------|-------------|---------------------------|</w:t>
      </w:r>
    </w:p>
    <w:p w14:paraId="367554A3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**NIST 800-207 (Zero Trust)** | Least privilege, continuous verification | Event-scoped capabilities with automatic revocation |</w:t>
      </w:r>
    </w:p>
    <w:p w14:paraId="4E3CBE51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**GDPR Article 32** | Technical measures for data protection | Temporal scoping limits data exposure window |</w:t>
      </w:r>
    </w:p>
    <w:p w14:paraId="0B5DFFBF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**ISO 27001:2022 A.5.15** | Access control policy | Capability tokens as cryptographic proof of authorization |</w:t>
      </w:r>
    </w:p>
    <w:p w14:paraId="3028FF74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| **SEC Cybersecurity Rules (2024)** | Incident detection and response | Immutable audit logs of all capability grants/revocations |</w:t>
      </w:r>
    </w:p>
    <w:p w14:paraId="2FDCE068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**HIPAA Security Rule** | Access management | Per-record capabilities with biometric binding |</w:t>
      </w:r>
    </w:p>
    <w:p w14:paraId="4799B266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E5DCADE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**9.2 Certification Program: "IntentKernel Compatible"**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🔵</w:t>
      </w:r>
    </w:p>
    <w:p w14:paraId="1F3CA25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**Planned Program Structure:**</w:t>
      </w:r>
    </w:p>
    <w:p w14:paraId="742D52B3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**Level 1 (Compatible):** Protocol conformance, basic token validation</w:t>
      </w:r>
    </w:p>
    <w:p w14:paraId="09CA8E79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**Level 2 (Verified):** Source audit, fuzz testing, no critical CVEs</w:t>
      </w:r>
    </w:p>
    <w:p w14:paraId="3AC86BBC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**Level 3 (Assured):** Common Criteria EAL4+, formal verification evidence, side-channel analysis</w:t>
      </w:r>
    </w:p>
    <w:p w14:paraId="35D9D27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06C8198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5DB44D94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9110AC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**10. Product Roadmap**</w:t>
      </w:r>
    </w:p>
    <w:p w14:paraId="4DD805D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36582EA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**Immediate (0-6 months):**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🟡</w:t>
      </w:r>
    </w:p>
    <w:p w14:paraId="185C3B7A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Stage 2 Linux (eBPF) hardened release</w:t>
      </w:r>
    </w:p>
    <w:p w14:paraId="25628386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Stage 1 Windows (Minifilter) pilot program</w:t>
      </w:r>
    </w:p>
    <w:p w14:paraId="4F5C7B1A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SIEM integration plugins (Splunk, Sentinel, ELK)</w:t>
      </w:r>
    </w:p>
    <w:p w14:paraId="29EB82F7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B0C147F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**Short-term (6-12 months):**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🔵</w:t>
      </w:r>
    </w:p>
    <w:p w14:paraId="297B3304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Stage 3 Mobile (iOS/Android) system service</w:t>
      </w:r>
    </w:p>
    <w:p w14:paraId="7660E2FD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IntentKernel Cloud Runtime (Kubernetes admission controller)</w:t>
      </w:r>
    </w:p>
    <w:p w14:paraId="7DF0E923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ARM64 native optimization</w:t>
      </w:r>
    </w:p>
    <w:p w14:paraId="1E2CCCD7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7BB27F3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**Medium-term (1-2 years):**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🔵</w:t>
      </w:r>
    </w:p>
    <w:p w14:paraId="21F878EF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Stage 4 Embedded ( bare-metal firmware supervisor)</w:t>
      </w:r>
    </w:p>
    <w:p w14:paraId="544432A1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Cross-organizational federation protocol</w:t>
      </w:r>
    </w:p>
    <w:p w14:paraId="5757211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ML-based intent prediction (behavioral biometrics)</w:t>
      </w:r>
    </w:p>
    <w:p w14:paraId="449DE1C0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7EA4D86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**Long-term (3+ years):** </w:t>
      </w:r>
      <w:r w:rsidRPr="00A474EA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🔵</w:t>
      </w:r>
    </w:p>
    <w:p w14:paraId="72AD1885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Stage 5 Native Silicon (CHERI-RISC-V, Intel TDX integration)</w:t>
      </w:r>
    </w:p>
    <w:p w14:paraId="7592967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IETF standardization of IBPS protocol</w:t>
      </w:r>
    </w:p>
    <w:p w14:paraId="13A3E9BE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Global "Post-Permission" hardware ecosystem</w:t>
      </w:r>
    </w:p>
    <w:p w14:paraId="124AD7A5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C3FA291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104C7569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04103BA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**11. Conclusion**</w:t>
      </w:r>
    </w:p>
    <w:p w14:paraId="3938D475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43B56D5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IntentKernel represents a fundamental shift from **detecting malicious activity** to **preventing malicious structure**. By retrofitting event-scoped capability enforcement onto legacy operating systems, it offers enterprises immediate protection against ransomware and insider threats without the economic impossibility of OS replacement.</w:t>
      </w:r>
    </w:p>
    <w:p w14:paraId="037F0A6A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BBF409A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empirical validation presented in this whitepaper—94.7% blast radius reduction, 8.3% performance overhead, and 82.4 usability scores—demonstrates that capability-based security is not merely theoretically desirable but practically deployable today.</w:t>
      </w:r>
    </w:p>
    <w:p w14:paraId="331E2159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5F21F29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As organizations face escalating regulatory pressure and quantum threats, IntentKernel provides the bridge between legacy infrastructure and the post-permission future.</w:t>
      </w:r>
    </w:p>
    <w:p w14:paraId="54A23AD7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EB826DD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**The era of persistent permission is ending. The era of event-scoped authority has begun.**</w:t>
      </w:r>
    </w:p>
    <w:p w14:paraId="29B7E78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F3A91B2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54F4171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3273E8D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**12. References &amp; Further Reading**</w:t>
      </w:r>
    </w:p>
    <w:p w14:paraId="0397759A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4874845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1. **IntentKernel Architecture Thesis** (2025). Zenodo DOI: 10.5281/zenodo.XXXXX</w:t>
      </w:r>
    </w:p>
    <w:p w14:paraId="34EC692A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2. **IBPS Protocol Specification v1.0**. RFC-IK-001</w:t>
      </w:r>
    </w:p>
    <w:p w14:paraId="6C8B51E3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3. **NIST FIPS 204**: Module-Lattice-Based Digital Signature Standard (ML-DSA)</w:t>
      </w:r>
    </w:p>
    <w:p w14:paraId="37D1654E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4. **Verizon DBIR** (2024). Data Breach Investigations Report.</w:t>
      </w:r>
    </w:p>
    <w:p w14:paraId="77283447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5. **Klein, G. et al.** (2009). seL4: Formal verification of an OS kernel. *SOSP*.</w:t>
      </w:r>
    </w:p>
    <w:p w14:paraId="5C6A8AE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E602E69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4AE17891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6DB276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**Contact Information**  </w:t>
      </w:r>
    </w:p>
    <w:p w14:paraId="60841E6B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IntentKernel Architecture Project  </w:t>
      </w:r>
    </w:p>
    <w:p w14:paraId="478FD3F3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Email: [contact@intentkernel.io]  </w:t>
      </w:r>
    </w:p>
    <w:p w14:paraId="73C2EC63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GitHub: github.com/intentkernel  </w:t>
      </w:r>
    </w:p>
    <w:p w14:paraId="17F38D60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Documentation: docs.intentkernel.io</w:t>
      </w:r>
    </w:p>
    <w:p w14:paraId="758355A4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A797681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30C40B81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BFA2921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**Document Control**  </w:t>
      </w:r>
    </w:p>
    <w:p w14:paraId="7708CBF3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Version: 1.0  </w:t>
      </w:r>
    </w:p>
    <w:p w14:paraId="278517F3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Last Updated: July 2025  </w:t>
      </w:r>
    </w:p>
    <w:p w14:paraId="37F483B2" w14:textId="77777777" w:rsidR="00A474EA" w:rsidRPr="00A474EA" w:rsidRDefault="00A474EA" w:rsidP="00A474E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Classification: Public Release  </w:t>
      </w:r>
    </w:p>
    <w:p w14:paraId="480F5DA4" w14:textId="3A6D02E7" w:rsidR="00AD0927" w:rsidRDefault="00A474EA" w:rsidP="00A474EA">
      <w:r w:rsidRPr="00A474E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License: Apache 2.0</w:t>
      </w:r>
    </w:p>
    <w:sectPr w:rsidR="00AD0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4EA"/>
    <w:rsid w:val="000170E4"/>
    <w:rsid w:val="00397D11"/>
    <w:rsid w:val="006244DD"/>
    <w:rsid w:val="00682C75"/>
    <w:rsid w:val="006F30D8"/>
    <w:rsid w:val="00A474EA"/>
    <w:rsid w:val="00AD0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7592A"/>
  <w15:chartTrackingRefBased/>
  <w15:docId w15:val="{1E4F71B9-F503-49F4-BBB9-572B32747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4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2588</Words>
  <Characters>14753</Characters>
  <Application>Microsoft Office Word</Application>
  <DocSecurity>0</DocSecurity>
  <Lines>122</Lines>
  <Paragraphs>34</Paragraphs>
  <ScaleCrop>false</ScaleCrop>
  <Company/>
  <LinksUpToDate>false</LinksUpToDate>
  <CharactersWithSpaces>17307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Owings</dc:creator>
  <cp:keywords/>
  <dc:description/>
  <cp:lastModifiedBy>Dan Owings</cp:lastModifiedBy>
  <cp:revision>3</cp:revision>
  <dcterms:created xsi:type="dcterms:W3CDTF">2026-03-30T15:07:00Z</dcterms:created>
  <dcterms:modified xsi:type="dcterms:W3CDTF">2026-04-01T02:28:00Z</dcterms:modified>
</cp:coreProperties>
</file>