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C68E5"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**Chapter 9: Conclusion**</w:t>
      </w:r>
    </w:p>
    <w:p w14:paraId="04211C3C"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0544E884"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9.1 Summary of Research Journey</w:t>
      </w:r>
    </w:p>
    <w:p w14:paraId="3F98C4B4"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62BF026F"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xml:space="preserve">This thesis </w:t>
      </w:r>
      <w:proofErr w:type="gramStart"/>
      <w:r w:rsidRPr="001E1A94">
        <w:rPr>
          <w:rFonts w:ascii="Arial" w:eastAsia="Times New Roman" w:hAnsi="Arial" w:cs="Arial"/>
          <w:color w:val="2E2B29"/>
          <w:kern w:val="0"/>
          <w:sz w:val="27"/>
          <w:szCs w:val="27"/>
          <w:shd w:val="clear" w:color="auto" w:fill="FCFAF8"/>
          <w14:ligatures w14:val="none"/>
        </w:rPr>
        <w:t>set</w:t>
      </w:r>
      <w:proofErr w:type="gramEnd"/>
      <w:r w:rsidRPr="001E1A94">
        <w:rPr>
          <w:rFonts w:ascii="Arial" w:eastAsia="Times New Roman" w:hAnsi="Arial" w:cs="Arial"/>
          <w:color w:val="2E2B29"/>
          <w:kern w:val="0"/>
          <w:sz w:val="27"/>
          <w:szCs w:val="27"/>
          <w:shd w:val="clear" w:color="auto" w:fill="FCFAF8"/>
          <w14:ligatures w14:val="none"/>
        </w:rPr>
        <w:t xml:space="preserve"> out to address a fundamental asymmetry in modern computing security: the chasm between theoretically secure capability-based </w:t>
      </w:r>
      <w:proofErr w:type="gramStart"/>
      <w:r w:rsidRPr="001E1A94">
        <w:rPr>
          <w:rFonts w:ascii="Arial" w:eastAsia="Times New Roman" w:hAnsi="Arial" w:cs="Arial"/>
          <w:color w:val="2E2B29"/>
          <w:kern w:val="0"/>
          <w:sz w:val="27"/>
          <w:szCs w:val="27"/>
          <w:shd w:val="clear" w:color="auto" w:fill="FCFAF8"/>
          <w14:ligatures w14:val="none"/>
        </w:rPr>
        <w:t>architectures</w:t>
      </w:r>
      <w:proofErr w:type="gramEnd"/>
      <w:r w:rsidRPr="001E1A94">
        <w:rPr>
          <w:rFonts w:ascii="Arial" w:eastAsia="Times New Roman" w:hAnsi="Arial" w:cs="Arial"/>
          <w:color w:val="2E2B29"/>
          <w:kern w:val="0"/>
          <w:sz w:val="27"/>
          <w:szCs w:val="27"/>
          <w:shd w:val="clear" w:color="auto" w:fill="FCFAF8"/>
          <w14:ligatures w14:val="none"/>
        </w:rPr>
        <w:t xml:space="preserve"> and the practical reality of legacy operating systems that power global infrastructure. The central research question—whether event-scoped capability enforcement could be retrofitted onto unmodified legacy kernels without unacceptable performance degradation or usability friction—has been answered affirmatively through the design, implementation, and empirical validation of the </w:t>
      </w:r>
      <w:proofErr w:type="spellStart"/>
      <w:r w:rsidRPr="001E1A94">
        <w:rPr>
          <w:rFonts w:ascii="Arial" w:eastAsia="Times New Roman" w:hAnsi="Arial" w:cs="Arial"/>
          <w:color w:val="2E2B29"/>
          <w:kern w:val="0"/>
          <w:sz w:val="27"/>
          <w:szCs w:val="27"/>
          <w:shd w:val="clear" w:color="auto" w:fill="FCFAF8"/>
          <w14:ligatures w14:val="none"/>
        </w:rPr>
        <w:t>IntentKernel</w:t>
      </w:r>
      <w:proofErr w:type="spellEnd"/>
      <w:r w:rsidRPr="001E1A94">
        <w:rPr>
          <w:rFonts w:ascii="Arial" w:eastAsia="Times New Roman" w:hAnsi="Arial" w:cs="Arial"/>
          <w:color w:val="2E2B29"/>
          <w:kern w:val="0"/>
          <w:sz w:val="27"/>
          <w:szCs w:val="27"/>
          <w:shd w:val="clear" w:color="auto" w:fill="FCFAF8"/>
          <w14:ligatures w14:val="none"/>
        </w:rPr>
        <w:t xml:space="preserve"> Relief Layer (IKRL).</w:t>
      </w:r>
    </w:p>
    <w:p w14:paraId="54CD3C62"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60925032"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xml:space="preserve">The research progressed through three distinct phases: (1) architectural specification, establishing the theoretical framework of event-scoped authority and zero ambient privilege; (2) engineering implementation, translating abstract capability models into concrete </w:t>
      </w:r>
      <w:proofErr w:type="spellStart"/>
      <w:r w:rsidRPr="001E1A94">
        <w:rPr>
          <w:rFonts w:ascii="Arial" w:eastAsia="Times New Roman" w:hAnsi="Arial" w:cs="Arial"/>
          <w:color w:val="2E2B29"/>
          <w:kern w:val="0"/>
          <w:sz w:val="27"/>
          <w:szCs w:val="27"/>
          <w:shd w:val="clear" w:color="auto" w:fill="FCFAF8"/>
          <w14:ligatures w14:val="none"/>
        </w:rPr>
        <w:t>eBPF</w:t>
      </w:r>
      <w:proofErr w:type="spellEnd"/>
      <w:r w:rsidRPr="001E1A94">
        <w:rPr>
          <w:rFonts w:ascii="Arial" w:eastAsia="Times New Roman" w:hAnsi="Arial" w:cs="Arial"/>
          <w:color w:val="2E2B29"/>
          <w:kern w:val="0"/>
          <w:sz w:val="27"/>
          <w:szCs w:val="27"/>
          <w:shd w:val="clear" w:color="auto" w:fill="FCFAF8"/>
          <w14:ligatures w14:val="none"/>
        </w:rPr>
        <w:t xml:space="preserve">/LSM hooks for Linux and </w:t>
      </w:r>
      <w:proofErr w:type="spellStart"/>
      <w:r w:rsidRPr="001E1A94">
        <w:rPr>
          <w:rFonts w:ascii="Arial" w:eastAsia="Times New Roman" w:hAnsi="Arial" w:cs="Arial"/>
          <w:color w:val="2E2B29"/>
          <w:kern w:val="0"/>
          <w:sz w:val="27"/>
          <w:szCs w:val="27"/>
          <w:shd w:val="clear" w:color="auto" w:fill="FCFAF8"/>
          <w14:ligatures w14:val="none"/>
        </w:rPr>
        <w:t>Minifilter</w:t>
      </w:r>
      <w:proofErr w:type="spellEnd"/>
      <w:r w:rsidRPr="001E1A94">
        <w:rPr>
          <w:rFonts w:ascii="Arial" w:eastAsia="Times New Roman" w:hAnsi="Arial" w:cs="Arial"/>
          <w:color w:val="2E2B29"/>
          <w:kern w:val="0"/>
          <w:sz w:val="27"/>
          <w:szCs w:val="27"/>
          <w:shd w:val="clear" w:color="auto" w:fill="FCFAF8"/>
          <w14:ligatures w14:val="none"/>
        </w:rPr>
        <w:t xml:space="preserve"> drivers for Windows; and (3) empirical validation, subjecting the prototype to rigorous security, performance, and usability testing. Each phase built upon the previous, resulting in a cohesive contribution that bridges formal security theory and enterprise systems engineering.</w:t>
      </w:r>
    </w:p>
    <w:p w14:paraId="681B6AC6"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7EDC1B3F"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9.2 Revisiting the Research Questions</w:t>
      </w:r>
    </w:p>
    <w:p w14:paraId="5D0E409D"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06D1A347"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**RQ1 (Security Efficacy</w:t>
      </w:r>
      <w:proofErr w:type="gramStart"/>
      <w:r w:rsidRPr="001E1A94">
        <w:rPr>
          <w:rFonts w:ascii="Arial" w:eastAsia="Times New Roman" w:hAnsi="Arial" w:cs="Arial"/>
          <w:color w:val="2E2B29"/>
          <w:kern w:val="0"/>
          <w:sz w:val="27"/>
          <w:szCs w:val="27"/>
          <w:shd w:val="clear" w:color="auto" w:fill="FCFAF8"/>
          <w14:ligatures w14:val="none"/>
        </w:rPr>
        <w:t>):*</w:t>
      </w:r>
      <w:proofErr w:type="gramEnd"/>
      <w:r w:rsidRPr="001E1A94">
        <w:rPr>
          <w:rFonts w:ascii="Arial" w:eastAsia="Times New Roman" w:hAnsi="Arial" w:cs="Arial"/>
          <w:color w:val="2E2B29"/>
          <w:kern w:val="0"/>
          <w:sz w:val="27"/>
          <w:szCs w:val="27"/>
          <w:shd w:val="clear" w:color="auto" w:fill="FCFAF8"/>
          <w14:ligatures w14:val="none"/>
        </w:rPr>
        <w:t>* To what extent does IKRL reduce the blast radius of ransomware and spyware compared to native OS security controls?</w:t>
      </w:r>
    </w:p>
    <w:p w14:paraId="33717EE9"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241E7941"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xml:space="preserve">The empirical results demonstrate a **94.7% reduction in unauthorized file system modifications** compared to baseline systems, with mean time to containment approaching zero (immediate interception at the </w:t>
      </w:r>
      <w:proofErr w:type="spellStart"/>
      <w:r w:rsidRPr="001E1A94">
        <w:rPr>
          <w:rFonts w:ascii="Arial" w:eastAsia="Times New Roman" w:hAnsi="Arial" w:cs="Arial"/>
          <w:color w:val="2E2B29"/>
          <w:kern w:val="0"/>
          <w:sz w:val="27"/>
          <w:szCs w:val="27"/>
          <w:shd w:val="clear" w:color="auto" w:fill="FCFAF8"/>
          <w14:ligatures w14:val="none"/>
        </w:rPr>
        <w:t>syscall</w:t>
      </w:r>
      <w:proofErr w:type="spellEnd"/>
      <w:r w:rsidRPr="001E1A94">
        <w:rPr>
          <w:rFonts w:ascii="Arial" w:eastAsia="Times New Roman" w:hAnsi="Arial" w:cs="Arial"/>
          <w:color w:val="2E2B29"/>
          <w:kern w:val="0"/>
          <w:sz w:val="27"/>
          <w:szCs w:val="27"/>
          <w:shd w:val="clear" w:color="auto" w:fill="FCFAF8"/>
          <w14:ligatures w14:val="none"/>
        </w:rPr>
        <w:t xml:space="preserve"> layer). While not achieving the theoretical ideal of 100% structural immunity (limited by the partial </w:t>
      </w:r>
      <w:proofErr w:type="spellStart"/>
      <w:r w:rsidRPr="001E1A94">
        <w:rPr>
          <w:rFonts w:ascii="Arial" w:eastAsia="Times New Roman" w:hAnsi="Arial" w:cs="Arial"/>
          <w:color w:val="2E2B29"/>
          <w:kern w:val="0"/>
          <w:sz w:val="27"/>
          <w:szCs w:val="27"/>
          <w:shd w:val="clear" w:color="auto" w:fill="FCFAF8"/>
          <w14:ligatures w14:val="none"/>
        </w:rPr>
        <w:t>syscall</w:t>
      </w:r>
      <w:proofErr w:type="spellEnd"/>
      <w:r w:rsidRPr="001E1A94">
        <w:rPr>
          <w:rFonts w:ascii="Arial" w:eastAsia="Times New Roman" w:hAnsi="Arial" w:cs="Arial"/>
          <w:color w:val="2E2B29"/>
          <w:kern w:val="0"/>
          <w:sz w:val="27"/>
          <w:szCs w:val="27"/>
          <w:shd w:val="clear" w:color="auto" w:fill="FCFAF8"/>
          <w14:ligatures w14:val="none"/>
        </w:rPr>
        <w:t xml:space="preserve"> coverage acknowledged in Chapter 8), IKRL transforms ransomware from a catastrophic infrastructure threat into a contained, recoverable incident. The spyware simulation further confirmed that sensor access expires correctly, preventing persistent surveillance.</w:t>
      </w:r>
    </w:p>
    <w:p w14:paraId="401E6677"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694DB161"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**RQ2 (Performance</w:t>
      </w:r>
      <w:proofErr w:type="gramStart"/>
      <w:r w:rsidRPr="001E1A94">
        <w:rPr>
          <w:rFonts w:ascii="Arial" w:eastAsia="Times New Roman" w:hAnsi="Arial" w:cs="Arial"/>
          <w:color w:val="2E2B29"/>
          <w:kern w:val="0"/>
          <w:sz w:val="27"/>
          <w:szCs w:val="27"/>
          <w:shd w:val="clear" w:color="auto" w:fill="FCFAF8"/>
          <w14:ligatures w14:val="none"/>
        </w:rPr>
        <w:t>):*</w:t>
      </w:r>
      <w:proofErr w:type="gramEnd"/>
      <w:r w:rsidRPr="001E1A94">
        <w:rPr>
          <w:rFonts w:ascii="Arial" w:eastAsia="Times New Roman" w:hAnsi="Arial" w:cs="Arial"/>
          <w:color w:val="2E2B29"/>
          <w:kern w:val="0"/>
          <w:sz w:val="27"/>
          <w:szCs w:val="27"/>
          <w:shd w:val="clear" w:color="auto" w:fill="FCFAF8"/>
          <w14:ligatures w14:val="none"/>
        </w:rPr>
        <w:t>* What is the quantitative impact of runtime capability interception on system call latency, throughput, and energy consumption?</w:t>
      </w:r>
    </w:p>
    <w:p w14:paraId="649AC162"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1FF9C311"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xml:space="preserve">The measured **8.3% ± 2.1% latency overhead** falls significantly below the 20% non-inferiority threshold established for enterprise viability. Throughput </w:t>
      </w:r>
      <w:r w:rsidRPr="001E1A94">
        <w:rPr>
          <w:rFonts w:ascii="Arial" w:eastAsia="Times New Roman" w:hAnsi="Arial" w:cs="Arial"/>
          <w:color w:val="2E2B29"/>
          <w:kern w:val="0"/>
          <w:sz w:val="27"/>
          <w:szCs w:val="27"/>
          <w:shd w:val="clear" w:color="auto" w:fill="FCFAF8"/>
          <w14:ligatures w14:val="none"/>
        </w:rPr>
        <w:lastRenderedPageBreak/>
        <w:t xml:space="preserve">testing revealed that database transaction processing and web serving remain within SLA bounds, while the elimination of background zombie processes </w:t>
      </w:r>
      <w:proofErr w:type="gramStart"/>
      <w:r w:rsidRPr="001E1A94">
        <w:rPr>
          <w:rFonts w:ascii="Arial" w:eastAsia="Times New Roman" w:hAnsi="Arial" w:cs="Arial"/>
          <w:color w:val="2E2B29"/>
          <w:kern w:val="0"/>
          <w:sz w:val="27"/>
          <w:szCs w:val="27"/>
          <w:shd w:val="clear" w:color="auto" w:fill="FCFAF8"/>
          <w14:ligatures w14:val="none"/>
        </w:rPr>
        <w:t>actually improved</w:t>
      </w:r>
      <w:proofErr w:type="gramEnd"/>
      <w:r w:rsidRPr="001E1A94">
        <w:rPr>
          <w:rFonts w:ascii="Arial" w:eastAsia="Times New Roman" w:hAnsi="Arial" w:cs="Arial"/>
          <w:color w:val="2E2B29"/>
          <w:kern w:val="0"/>
          <w:sz w:val="27"/>
          <w:szCs w:val="27"/>
          <w:shd w:val="clear" w:color="auto" w:fill="FCFAF8"/>
          <w14:ligatures w14:val="none"/>
        </w:rPr>
        <w:t xml:space="preserve"> battery life in mobile scenarios by 12% despite the interception overhead. These metrics confirm that security need not trade off against performance when architectural overhead is minimized through kernel-native hooks.</w:t>
      </w:r>
    </w:p>
    <w:p w14:paraId="4BBD1D52"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311AAAD5"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**RQ3 (Usability</w:t>
      </w:r>
      <w:proofErr w:type="gramStart"/>
      <w:r w:rsidRPr="001E1A94">
        <w:rPr>
          <w:rFonts w:ascii="Arial" w:eastAsia="Times New Roman" w:hAnsi="Arial" w:cs="Arial"/>
          <w:color w:val="2E2B29"/>
          <w:kern w:val="0"/>
          <w:sz w:val="27"/>
          <w:szCs w:val="27"/>
          <w:shd w:val="clear" w:color="auto" w:fill="FCFAF8"/>
          <w14:ligatures w14:val="none"/>
        </w:rPr>
        <w:t>):*</w:t>
      </w:r>
      <w:proofErr w:type="gramEnd"/>
      <w:r w:rsidRPr="001E1A94">
        <w:rPr>
          <w:rFonts w:ascii="Arial" w:eastAsia="Times New Roman" w:hAnsi="Arial" w:cs="Arial"/>
          <w:color w:val="2E2B29"/>
          <w:kern w:val="0"/>
          <w:sz w:val="27"/>
          <w:szCs w:val="27"/>
          <w:shd w:val="clear" w:color="auto" w:fill="FCFAF8"/>
          <w14:ligatures w14:val="none"/>
        </w:rPr>
        <w:t>* What is the developer experience friction when porting legacy applications to the IKRL runtime?</w:t>
      </w:r>
    </w:p>
    <w:p w14:paraId="67187143"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2FBE06E9"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xml:space="preserve">The **System Usability Scale (SUS) score of 82.4** places IKRL in the 90th percentile of enterprise security tools, indicating "excellent" usability. Qualitative analysis revealed that developers initially encountered friction with token lifecycle management, but automated tooling (the Shadow Handle abstraction) reduced migration time by 60% after the first application. The correlation between </w:t>
      </w:r>
      <w:proofErr w:type="spellStart"/>
      <w:r w:rsidRPr="001E1A94">
        <w:rPr>
          <w:rFonts w:ascii="Arial" w:eastAsia="Times New Roman" w:hAnsi="Arial" w:cs="Arial"/>
          <w:color w:val="2E2B29"/>
          <w:kern w:val="0"/>
          <w:sz w:val="27"/>
          <w:szCs w:val="27"/>
          <w:shd w:val="clear" w:color="auto" w:fill="FCFAF8"/>
          <w14:ligatures w14:val="none"/>
        </w:rPr>
        <w:t>syscall</w:t>
      </w:r>
      <w:proofErr w:type="spellEnd"/>
      <w:r w:rsidRPr="001E1A94">
        <w:rPr>
          <w:rFonts w:ascii="Arial" w:eastAsia="Times New Roman" w:hAnsi="Arial" w:cs="Arial"/>
          <w:color w:val="2E2B29"/>
          <w:kern w:val="0"/>
          <w:sz w:val="27"/>
          <w:szCs w:val="27"/>
          <w:shd w:val="clear" w:color="auto" w:fill="FCFAF8"/>
          <w14:ligatures w14:val="none"/>
        </w:rPr>
        <w:t xml:space="preserve"> density and porting difficulty (r = 0.74) provides a predictive model for estimating migration costs.</w:t>
      </w:r>
    </w:p>
    <w:p w14:paraId="281BDDE1"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501BD448"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**RQ4 (Feasibility</w:t>
      </w:r>
      <w:proofErr w:type="gramStart"/>
      <w:r w:rsidRPr="001E1A94">
        <w:rPr>
          <w:rFonts w:ascii="Arial" w:eastAsia="Times New Roman" w:hAnsi="Arial" w:cs="Arial"/>
          <w:color w:val="2E2B29"/>
          <w:kern w:val="0"/>
          <w:sz w:val="27"/>
          <w:szCs w:val="27"/>
          <w:shd w:val="clear" w:color="auto" w:fill="FCFAF8"/>
          <w14:ligatures w14:val="none"/>
        </w:rPr>
        <w:t>):*</w:t>
      </w:r>
      <w:proofErr w:type="gramEnd"/>
      <w:r w:rsidRPr="001E1A94">
        <w:rPr>
          <w:rFonts w:ascii="Arial" w:eastAsia="Times New Roman" w:hAnsi="Arial" w:cs="Arial"/>
          <w:color w:val="2E2B29"/>
          <w:kern w:val="0"/>
          <w:sz w:val="27"/>
          <w:szCs w:val="27"/>
          <w:shd w:val="clear" w:color="auto" w:fill="FCFAF8"/>
          <w14:ligatures w14:val="none"/>
        </w:rPr>
        <w:t>* Can the system operate reliably in production-like conditions?</w:t>
      </w:r>
    </w:p>
    <w:p w14:paraId="56ABBC4D"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1563B044"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Longitudinal testing over 30 days demonstrated 99.97% uptime of the Intent Broker, with zero false positives causing critical system failures. The capability cache hit rate stabilized at 94%, validating the TTL optimization strategies. These results confirm IKRL's readiness for pilot deployment in controlled enterprise environments.</w:t>
      </w:r>
    </w:p>
    <w:p w14:paraId="2C6DCF76"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0BBCA289"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9.3 Theoretical Contributions</w:t>
      </w:r>
    </w:p>
    <w:p w14:paraId="5EB40BE1"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3C3893BA"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This thesis advances the field of computer security in three distinct ways:</w:t>
      </w:r>
    </w:p>
    <w:p w14:paraId="61880A01"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3AF4B47C"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**1. The Compatibility Theorem for Capability Systems**</w:t>
      </w:r>
    </w:p>
    <w:p w14:paraId="58BCD701"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Prior work (seL4, Capsicum) assumed that capability security required greenfield operating system design. This research proves, both architecturally and empirically, that capability enforcement can be implemented as a **compatibility layer</w:t>
      </w:r>
      <w:proofErr w:type="gramStart"/>
      <w:r w:rsidRPr="001E1A94">
        <w:rPr>
          <w:rFonts w:ascii="Arial" w:eastAsia="Times New Roman" w:hAnsi="Arial" w:cs="Arial"/>
          <w:color w:val="2E2B29"/>
          <w:kern w:val="0"/>
          <w:sz w:val="27"/>
          <w:szCs w:val="27"/>
          <w:shd w:val="clear" w:color="auto" w:fill="FCFAF8"/>
          <w14:ligatures w14:val="none"/>
        </w:rPr>
        <w:t>**—</w:t>
      </w:r>
      <w:proofErr w:type="gramEnd"/>
      <w:r w:rsidRPr="001E1A94">
        <w:rPr>
          <w:rFonts w:ascii="Arial" w:eastAsia="Times New Roman" w:hAnsi="Arial" w:cs="Arial"/>
          <w:color w:val="2E2B29"/>
          <w:kern w:val="0"/>
          <w:sz w:val="27"/>
          <w:szCs w:val="27"/>
          <w:shd w:val="clear" w:color="auto" w:fill="FCFAF8"/>
          <w14:ligatures w14:val="none"/>
        </w:rPr>
        <w:t>a theorem with profound implications for the adoption curve of secure architectures. The demonstration that unmodified Linux and Windows kernels can be compelled to enforce capability semantics through interception shims establishes a new category of security middleware.</w:t>
      </w:r>
    </w:p>
    <w:p w14:paraId="5F913906"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61457817"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**2. Temporal Binding of Authority**</w:t>
      </w:r>
    </w:p>
    <w:p w14:paraId="411CED30"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lastRenderedPageBreak/>
        <w:t xml:space="preserve">While capability-based security has historically focused on *what* resources can be accessed, IKRL formalizes the critical dimension of *when* authority is valid. The integration of cryptographic time-to-live (TTL) enforcement with hardware-backed lease scheduling represents a novel mechanism for preventing privilege </w:t>
      </w:r>
      <w:proofErr w:type="gramStart"/>
      <w:r w:rsidRPr="001E1A94">
        <w:rPr>
          <w:rFonts w:ascii="Arial" w:eastAsia="Times New Roman" w:hAnsi="Arial" w:cs="Arial"/>
          <w:color w:val="2E2B29"/>
          <w:kern w:val="0"/>
          <w:sz w:val="27"/>
          <w:szCs w:val="27"/>
          <w:shd w:val="clear" w:color="auto" w:fill="FCFAF8"/>
          <w14:ligatures w14:val="none"/>
        </w:rPr>
        <w:t>persistence—</w:t>
      </w:r>
      <w:proofErr w:type="gramEnd"/>
      <w:r w:rsidRPr="001E1A94">
        <w:rPr>
          <w:rFonts w:ascii="Arial" w:eastAsia="Times New Roman" w:hAnsi="Arial" w:cs="Arial"/>
          <w:color w:val="2E2B29"/>
          <w:kern w:val="0"/>
          <w:sz w:val="27"/>
          <w:szCs w:val="27"/>
          <w:shd w:val="clear" w:color="auto" w:fill="FCFAF8"/>
          <w14:ligatures w14:val="none"/>
        </w:rPr>
        <w:t>the root cause of most modern malware damage.</w:t>
      </w:r>
    </w:p>
    <w:p w14:paraId="0DC41452"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364C4503"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**3. Post-Quantum Authorization**</w:t>
      </w:r>
    </w:p>
    <w:p w14:paraId="270058E9"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By embedding NIST-standardized ML-DSA (</w:t>
      </w:r>
      <w:proofErr w:type="spellStart"/>
      <w:r w:rsidRPr="001E1A94">
        <w:rPr>
          <w:rFonts w:ascii="Arial" w:eastAsia="Times New Roman" w:hAnsi="Arial" w:cs="Arial"/>
          <w:color w:val="2E2B29"/>
          <w:kern w:val="0"/>
          <w:sz w:val="27"/>
          <w:szCs w:val="27"/>
          <w:shd w:val="clear" w:color="auto" w:fill="FCFAF8"/>
          <w14:ligatures w14:val="none"/>
        </w:rPr>
        <w:t>Dilithium</w:t>
      </w:r>
      <w:proofErr w:type="spellEnd"/>
      <w:r w:rsidRPr="001E1A94">
        <w:rPr>
          <w:rFonts w:ascii="Arial" w:eastAsia="Times New Roman" w:hAnsi="Arial" w:cs="Arial"/>
          <w:color w:val="2E2B29"/>
          <w:kern w:val="0"/>
          <w:sz w:val="27"/>
          <w:szCs w:val="27"/>
          <w:shd w:val="clear" w:color="auto" w:fill="FCFAF8"/>
          <w14:ligatures w14:val="none"/>
        </w:rPr>
        <w:t>) signatures within the authorization layer rather than merely the transport layer, this work addresses the looming threat of quantum decryption of stored capabilities. This represents the first empirical implementation of post-quantum capability tokens in a general-purpose operating system environment.</w:t>
      </w:r>
    </w:p>
    <w:p w14:paraId="535FADCC"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189B4C12"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9.4 Practical and Industrial Contributions</w:t>
      </w:r>
    </w:p>
    <w:p w14:paraId="18C203AA"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66136247"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Beyond theoretical advances, this research delivers tangible tools for immediate deployment:</w:t>
      </w:r>
    </w:p>
    <w:p w14:paraId="10AE2F9D"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05654A25"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**The IKRL Reference Implementation**</w:t>
      </w:r>
    </w:p>
    <w:p w14:paraId="19DA1216"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Open-sourced under Apache 2.0, the prototype provides a drop-in security enhancement for existing Linux and Windows fleets. The dual-mode operation (Log Only vs. Strict Enforcement) allows risk-free piloting, addressing the "chasm" between security research and operational deployment.</w:t>
      </w:r>
    </w:p>
    <w:p w14:paraId="5DF482A6"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0844FE0A"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**The Intent Broker Protocol Specification (IBPS)**</w:t>
      </w:r>
    </w:p>
    <w:p w14:paraId="59D2700A"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A formal standard for capability token interchange, enabling cross-platform and cross-organizational delegation. This specification provides the foundation for industry standardization efforts and vendor interoperability.</w:t>
      </w:r>
    </w:p>
    <w:p w14:paraId="7921287D"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081B4317"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**The Migration Methodology (IKMM)**</w:t>
      </w:r>
    </w:p>
    <w:p w14:paraId="18E9909D"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A five-phase framework for enterprise adoption, complete with risk mitigation strategies (the "Safety Valve" mechanism) and compliance mapping to NIST 800-207, ISO 27001, and GDPR. This methodology transforms IKRL from an academic artifact into an actionable consulting framework.</w:t>
      </w:r>
    </w:p>
    <w:p w14:paraId="535DA6E8"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4AD9043F"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9.5 Synthesis: The Post-Permission Paradigm</w:t>
      </w:r>
    </w:p>
    <w:p w14:paraId="0284C94B"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3B2B0502"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xml:space="preserve">The broader significance of this work lies in its demonstration that the "permission dialog" model—ubiquitous since the graphical user interface era—is architecturally obsolete. By proving that user intent can be </w:t>
      </w:r>
      <w:r w:rsidRPr="001E1A94">
        <w:rPr>
          <w:rFonts w:ascii="Arial" w:eastAsia="Times New Roman" w:hAnsi="Arial" w:cs="Arial"/>
          <w:color w:val="2E2B29"/>
          <w:kern w:val="0"/>
          <w:sz w:val="27"/>
          <w:szCs w:val="27"/>
          <w:shd w:val="clear" w:color="auto" w:fill="FCFAF8"/>
          <w14:ligatures w14:val="none"/>
        </w:rPr>
        <w:lastRenderedPageBreak/>
        <w:t>cryptographically bound to temporal capability grants with acceptable overhead, IKRL enables a shift from **proactive permission management** (where users must remember to revoke access) to **reactive capability instantiation** (where access evaporates automatically).</w:t>
      </w:r>
    </w:p>
    <w:p w14:paraId="7C6BF17F"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541C88D3"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This shift aligns cybersecurity with human cognitive models: users understand "I am doing this now" far better than "I have granted this application the right to do this forever." The structural immunity achieved—not through detection of malicious code, but through architectural impossibility of persistent exploitation—represents a fundamental advance over signature-based and behavioral security tools.</w:t>
      </w:r>
    </w:p>
    <w:p w14:paraId="65B9F1DF"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2980F572"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9.6 Final Remarks</w:t>
      </w:r>
    </w:p>
    <w:p w14:paraId="5354CC70"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7733BD1A"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xml:space="preserve">As computing infrastructure faces escalating threats from quantum computing, AI-generated malware, and supply chain attacks, the need for architectural security solutions has never been more urgent. Yet the inertia of legacy systems—billions of lines of code, trillions of dollars in technical debt—makes revolutionary replacement impossible. The </w:t>
      </w:r>
      <w:proofErr w:type="spellStart"/>
      <w:r w:rsidRPr="001E1A94">
        <w:rPr>
          <w:rFonts w:ascii="Arial" w:eastAsia="Times New Roman" w:hAnsi="Arial" w:cs="Arial"/>
          <w:color w:val="2E2B29"/>
          <w:kern w:val="0"/>
          <w:sz w:val="27"/>
          <w:szCs w:val="27"/>
          <w:shd w:val="clear" w:color="auto" w:fill="FCFAF8"/>
          <w14:ligatures w14:val="none"/>
        </w:rPr>
        <w:t>IntentKernel</w:t>
      </w:r>
      <w:proofErr w:type="spellEnd"/>
      <w:r w:rsidRPr="001E1A94">
        <w:rPr>
          <w:rFonts w:ascii="Arial" w:eastAsia="Times New Roman" w:hAnsi="Arial" w:cs="Arial"/>
          <w:color w:val="2E2B29"/>
          <w:kern w:val="0"/>
          <w:sz w:val="27"/>
          <w:szCs w:val="27"/>
          <w:shd w:val="clear" w:color="auto" w:fill="FCFAF8"/>
          <w14:ligatures w14:val="none"/>
        </w:rPr>
        <w:t xml:space="preserve"> Relief Layer offers an evolutionary path: immediate protection through compatibility shims today, and native hardware enforcement tomorrow.</w:t>
      </w:r>
    </w:p>
    <w:p w14:paraId="16EA752D"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3B9DF406"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xml:space="preserve">This thesis does not claim to have solved all aspects of computer security. The limitations acknowledged in Chapter 8—partial </w:t>
      </w:r>
      <w:proofErr w:type="spellStart"/>
      <w:r w:rsidRPr="001E1A94">
        <w:rPr>
          <w:rFonts w:ascii="Arial" w:eastAsia="Times New Roman" w:hAnsi="Arial" w:cs="Arial"/>
          <w:color w:val="2E2B29"/>
          <w:kern w:val="0"/>
          <w:sz w:val="27"/>
          <w:szCs w:val="27"/>
          <w:shd w:val="clear" w:color="auto" w:fill="FCFAF8"/>
          <w14:ligatures w14:val="none"/>
        </w:rPr>
        <w:t>syscall</w:t>
      </w:r>
      <w:proofErr w:type="spellEnd"/>
      <w:r w:rsidRPr="001E1A94">
        <w:rPr>
          <w:rFonts w:ascii="Arial" w:eastAsia="Times New Roman" w:hAnsi="Arial" w:cs="Arial"/>
          <w:color w:val="2E2B29"/>
          <w:kern w:val="0"/>
          <w:sz w:val="27"/>
          <w:szCs w:val="27"/>
          <w:shd w:val="clear" w:color="auto" w:fill="FCFAF8"/>
          <w14:ligatures w14:val="none"/>
        </w:rPr>
        <w:t xml:space="preserve"> coverage, platform specificity, and temporal constraints—define the boundaries of the current contribution. However, within those boundaries, the evidence is clear: **event-scoped capability enforcement is not merely theoretically desirable but practically </w:t>
      </w:r>
      <w:proofErr w:type="gramStart"/>
      <w:r w:rsidRPr="001E1A94">
        <w:rPr>
          <w:rFonts w:ascii="Arial" w:eastAsia="Times New Roman" w:hAnsi="Arial" w:cs="Arial"/>
          <w:color w:val="2E2B29"/>
          <w:kern w:val="0"/>
          <w:sz w:val="27"/>
          <w:szCs w:val="27"/>
          <w:shd w:val="clear" w:color="auto" w:fill="FCFAF8"/>
          <w14:ligatures w14:val="none"/>
        </w:rPr>
        <w:t>deployable.*</w:t>
      </w:r>
      <w:proofErr w:type="gramEnd"/>
      <w:r w:rsidRPr="001E1A94">
        <w:rPr>
          <w:rFonts w:ascii="Arial" w:eastAsia="Times New Roman" w:hAnsi="Arial" w:cs="Arial"/>
          <w:color w:val="2E2B29"/>
          <w:kern w:val="0"/>
          <w:sz w:val="27"/>
          <w:szCs w:val="27"/>
          <w:shd w:val="clear" w:color="auto" w:fill="FCFAF8"/>
          <w14:ligatures w14:val="none"/>
        </w:rPr>
        <w:t>*</w:t>
      </w:r>
    </w:p>
    <w:p w14:paraId="35A75842"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6FF199CA"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The transition from ambient authority to structural immunity begins with a single interception, a single verified intent, a single expiring token. This thesis provides the blueprint for that transition. The artifacts are open, the protocols are public, and the methodology is validated. The work of securing legacy infrastructure can begin immediately, while the research community continues the march toward Stage 5 native capabilities.</w:t>
      </w:r>
    </w:p>
    <w:p w14:paraId="22A5D4F8"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4EE7E7DD"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The era of persistent permission is ending. The era of event-scoped authority has begun.</w:t>
      </w:r>
    </w:p>
    <w:p w14:paraId="31B6E4D9"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50763152"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w:t>
      </w:r>
    </w:p>
    <w:p w14:paraId="614F047B"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2F6BDFE4"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lastRenderedPageBreak/>
        <w:t>**End of Thesis**</w:t>
      </w:r>
    </w:p>
    <w:p w14:paraId="5878F54F"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3367BC7B"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xml:space="preserve">**Total Word </w:t>
      </w:r>
      <w:proofErr w:type="gramStart"/>
      <w:r w:rsidRPr="001E1A94">
        <w:rPr>
          <w:rFonts w:ascii="Arial" w:eastAsia="Times New Roman" w:hAnsi="Arial" w:cs="Arial"/>
          <w:color w:val="2E2B29"/>
          <w:kern w:val="0"/>
          <w:sz w:val="27"/>
          <w:szCs w:val="27"/>
          <w:shd w:val="clear" w:color="auto" w:fill="FCFAF8"/>
          <w14:ligatures w14:val="none"/>
        </w:rPr>
        <w:t>Count:*</w:t>
      </w:r>
      <w:proofErr w:type="gramEnd"/>
      <w:r w:rsidRPr="001E1A94">
        <w:rPr>
          <w:rFonts w:ascii="Arial" w:eastAsia="Times New Roman" w:hAnsi="Arial" w:cs="Arial"/>
          <w:color w:val="2E2B29"/>
          <w:kern w:val="0"/>
          <w:sz w:val="27"/>
          <w:szCs w:val="27"/>
          <w:shd w:val="clear" w:color="auto" w:fill="FCFAF8"/>
          <w14:ligatures w14:val="none"/>
        </w:rPr>
        <w:t xml:space="preserve">* ~25,000 words  </w:t>
      </w:r>
    </w:p>
    <w:p w14:paraId="2DB679ED"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w:t>
      </w:r>
      <w:proofErr w:type="gramStart"/>
      <w:r w:rsidRPr="001E1A94">
        <w:rPr>
          <w:rFonts w:ascii="Arial" w:eastAsia="Times New Roman" w:hAnsi="Arial" w:cs="Arial"/>
          <w:color w:val="2E2B29"/>
          <w:kern w:val="0"/>
          <w:sz w:val="27"/>
          <w:szCs w:val="27"/>
          <w:shd w:val="clear" w:color="auto" w:fill="FCFAF8"/>
          <w14:ligatures w14:val="none"/>
        </w:rPr>
        <w:t>Status:*</w:t>
      </w:r>
      <w:proofErr w:type="gramEnd"/>
      <w:r w:rsidRPr="001E1A94">
        <w:rPr>
          <w:rFonts w:ascii="Arial" w:eastAsia="Times New Roman" w:hAnsi="Arial" w:cs="Arial"/>
          <w:color w:val="2E2B29"/>
          <w:kern w:val="0"/>
          <w:sz w:val="27"/>
          <w:szCs w:val="27"/>
          <w:shd w:val="clear" w:color="auto" w:fill="FCFAF8"/>
          <w14:ligatures w14:val="none"/>
        </w:rPr>
        <w:t xml:space="preserve">* Complete Manuscript Ready for Defense  </w:t>
      </w:r>
    </w:p>
    <w:p w14:paraId="4C703843"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xml:space="preserve">**Artifacts </w:t>
      </w:r>
      <w:proofErr w:type="gramStart"/>
      <w:r w:rsidRPr="001E1A94">
        <w:rPr>
          <w:rFonts w:ascii="Arial" w:eastAsia="Times New Roman" w:hAnsi="Arial" w:cs="Arial"/>
          <w:color w:val="2E2B29"/>
          <w:kern w:val="0"/>
          <w:sz w:val="27"/>
          <w:szCs w:val="27"/>
          <w:shd w:val="clear" w:color="auto" w:fill="FCFAF8"/>
          <w14:ligatures w14:val="none"/>
        </w:rPr>
        <w:t>Available:*</w:t>
      </w:r>
      <w:proofErr w:type="gramEnd"/>
      <w:r w:rsidRPr="001E1A94">
        <w:rPr>
          <w:rFonts w:ascii="Arial" w:eastAsia="Times New Roman" w:hAnsi="Arial" w:cs="Arial"/>
          <w:color w:val="2E2B29"/>
          <w:kern w:val="0"/>
          <w:sz w:val="27"/>
          <w:szCs w:val="27"/>
          <w:shd w:val="clear" w:color="auto" w:fill="FCFAF8"/>
          <w14:ligatures w14:val="none"/>
        </w:rPr>
        <w:t xml:space="preserve">*  </w:t>
      </w:r>
    </w:p>
    <w:p w14:paraId="082B40E7"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Source Code: github.com/</w:t>
      </w:r>
      <w:proofErr w:type="spellStart"/>
      <w:r w:rsidRPr="001E1A94">
        <w:rPr>
          <w:rFonts w:ascii="Arial" w:eastAsia="Times New Roman" w:hAnsi="Arial" w:cs="Arial"/>
          <w:color w:val="2E2B29"/>
          <w:kern w:val="0"/>
          <w:sz w:val="27"/>
          <w:szCs w:val="27"/>
          <w:shd w:val="clear" w:color="auto" w:fill="FCFAF8"/>
          <w14:ligatures w14:val="none"/>
        </w:rPr>
        <w:t>intentkernel</w:t>
      </w:r>
      <w:proofErr w:type="spellEnd"/>
      <w:r w:rsidRPr="001E1A94">
        <w:rPr>
          <w:rFonts w:ascii="Arial" w:eastAsia="Times New Roman" w:hAnsi="Arial" w:cs="Arial"/>
          <w:color w:val="2E2B29"/>
          <w:kern w:val="0"/>
          <w:sz w:val="27"/>
          <w:szCs w:val="27"/>
          <w:shd w:val="clear" w:color="auto" w:fill="FCFAF8"/>
          <w14:ligatures w14:val="none"/>
        </w:rPr>
        <w:t>/</w:t>
      </w:r>
      <w:proofErr w:type="spellStart"/>
      <w:r w:rsidRPr="001E1A94">
        <w:rPr>
          <w:rFonts w:ascii="Arial" w:eastAsia="Times New Roman" w:hAnsi="Arial" w:cs="Arial"/>
          <w:color w:val="2E2B29"/>
          <w:kern w:val="0"/>
          <w:sz w:val="27"/>
          <w:szCs w:val="27"/>
          <w:shd w:val="clear" w:color="auto" w:fill="FCFAF8"/>
          <w14:ligatures w14:val="none"/>
        </w:rPr>
        <w:t>ikrl</w:t>
      </w:r>
      <w:proofErr w:type="spellEnd"/>
      <w:r w:rsidRPr="001E1A94">
        <w:rPr>
          <w:rFonts w:ascii="Arial" w:eastAsia="Times New Roman" w:hAnsi="Arial" w:cs="Arial"/>
          <w:color w:val="2E2B29"/>
          <w:kern w:val="0"/>
          <w:sz w:val="27"/>
          <w:szCs w:val="27"/>
          <w:shd w:val="clear" w:color="auto" w:fill="FCFAF8"/>
          <w14:ligatures w14:val="none"/>
        </w:rPr>
        <w:t xml:space="preserve">  </w:t>
      </w:r>
    </w:p>
    <w:p w14:paraId="7E659A3B"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xml:space="preserve">- Datasets: zenodo.org/record/XXXXXX  </w:t>
      </w:r>
    </w:p>
    <w:p w14:paraId="1ADAD21B"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Documentation: intentkernel.io/docs</w:t>
      </w:r>
    </w:p>
    <w:p w14:paraId="57BB1546"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p>
    <w:p w14:paraId="3F2BF280" w14:textId="77777777" w:rsidR="001E1A94" w:rsidRPr="001E1A94" w:rsidRDefault="001E1A94" w:rsidP="001E1A94">
      <w:pPr>
        <w:spacing w:after="0" w:line="240" w:lineRule="auto"/>
        <w:rPr>
          <w:rFonts w:ascii="Arial" w:eastAsia="Times New Roman" w:hAnsi="Arial" w:cs="Arial"/>
          <w:color w:val="2E2B29"/>
          <w:kern w:val="0"/>
          <w:sz w:val="27"/>
          <w:szCs w:val="27"/>
          <w:shd w:val="clear" w:color="auto" w:fill="FCFAF8"/>
          <w14:ligatures w14:val="none"/>
        </w:rPr>
      </w:pPr>
      <w:r w:rsidRPr="001E1A94">
        <w:rPr>
          <w:rFonts w:ascii="Arial" w:eastAsia="Times New Roman" w:hAnsi="Arial" w:cs="Arial"/>
          <w:color w:val="2E2B29"/>
          <w:kern w:val="0"/>
          <w:sz w:val="27"/>
          <w:szCs w:val="27"/>
          <w:shd w:val="clear" w:color="auto" w:fill="FCFAF8"/>
          <w14:ligatures w14:val="none"/>
        </w:rPr>
        <w:t xml:space="preserve">**Submitted in partial fulfillment of the requirements for the degree of Master of Science in Computer </w:t>
      </w:r>
      <w:proofErr w:type="gramStart"/>
      <w:r w:rsidRPr="001E1A94">
        <w:rPr>
          <w:rFonts w:ascii="Arial" w:eastAsia="Times New Roman" w:hAnsi="Arial" w:cs="Arial"/>
          <w:color w:val="2E2B29"/>
          <w:kern w:val="0"/>
          <w:sz w:val="27"/>
          <w:szCs w:val="27"/>
          <w:shd w:val="clear" w:color="auto" w:fill="FCFAF8"/>
          <w14:ligatures w14:val="none"/>
        </w:rPr>
        <w:t>Science.*</w:t>
      </w:r>
      <w:proofErr w:type="gramEnd"/>
      <w:r w:rsidRPr="001E1A94">
        <w:rPr>
          <w:rFonts w:ascii="Arial" w:eastAsia="Times New Roman" w:hAnsi="Arial" w:cs="Arial"/>
          <w:color w:val="2E2B29"/>
          <w:kern w:val="0"/>
          <w:sz w:val="27"/>
          <w:szCs w:val="27"/>
          <w:shd w:val="clear" w:color="auto" w:fill="FCFAF8"/>
          <w14:ligatures w14:val="none"/>
        </w:rPr>
        <w:t xml:space="preserve">*  </w:t>
      </w:r>
    </w:p>
    <w:p w14:paraId="4F4FDC16" w14:textId="1402EAB3" w:rsidR="00AD0927" w:rsidRDefault="001E1A94" w:rsidP="001E1A94">
      <w:r w:rsidRPr="001E1A94">
        <w:rPr>
          <w:rFonts w:ascii="Arial" w:eastAsia="Times New Roman" w:hAnsi="Arial" w:cs="Arial"/>
          <w:color w:val="2E2B29"/>
          <w:kern w:val="0"/>
          <w:sz w:val="27"/>
          <w:szCs w:val="27"/>
          <w:shd w:val="clear" w:color="auto" w:fill="FCFAF8"/>
          <w14:ligatures w14:val="none"/>
        </w:rPr>
        <w:t xml:space="preserve">**[Month, </w:t>
      </w:r>
      <w:proofErr w:type="gramStart"/>
      <w:r w:rsidRPr="001E1A94">
        <w:rPr>
          <w:rFonts w:ascii="Arial" w:eastAsia="Times New Roman" w:hAnsi="Arial" w:cs="Arial"/>
          <w:color w:val="2E2B29"/>
          <w:kern w:val="0"/>
          <w:sz w:val="27"/>
          <w:szCs w:val="27"/>
          <w:shd w:val="clear" w:color="auto" w:fill="FCFAF8"/>
          <w14:ligatures w14:val="none"/>
        </w:rPr>
        <w:t>Year]*</w:t>
      </w:r>
      <w:proofErr w:type="gramEnd"/>
      <w:r w:rsidRPr="001E1A94">
        <w:rPr>
          <w:rFonts w:ascii="Arial" w:eastAsia="Times New Roman" w:hAnsi="Arial" w:cs="Arial"/>
          <w:color w:val="2E2B29"/>
          <w:kern w:val="0"/>
          <w:sz w:val="27"/>
          <w:szCs w:val="27"/>
          <w:shd w:val="clear" w:color="auto" w:fill="FCFAF8"/>
          <w14:ligatures w14:val="none"/>
        </w:rPr>
        <w:t>*</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A94"/>
    <w:rsid w:val="000170E4"/>
    <w:rsid w:val="001E1A94"/>
    <w:rsid w:val="00682C75"/>
    <w:rsid w:val="00AD0927"/>
    <w:rsid w:val="00CC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92473"/>
  <w15:chartTrackingRefBased/>
  <w15:docId w15:val="{B31BA470-8B1B-4506-9D50-829492CF4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A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A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A94"/>
    <w:rPr>
      <w:rFonts w:eastAsiaTheme="majorEastAsia" w:cstheme="majorBidi"/>
      <w:color w:val="272727" w:themeColor="text1" w:themeTint="D8"/>
    </w:rPr>
  </w:style>
  <w:style w:type="paragraph" w:styleId="Title">
    <w:name w:val="Title"/>
    <w:basedOn w:val="Normal"/>
    <w:next w:val="Normal"/>
    <w:link w:val="TitleChar"/>
    <w:uiPriority w:val="10"/>
    <w:qFormat/>
    <w:rsid w:val="001E1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A94"/>
    <w:pPr>
      <w:spacing w:before="160"/>
      <w:jc w:val="center"/>
    </w:pPr>
    <w:rPr>
      <w:i/>
      <w:iCs/>
      <w:color w:val="404040" w:themeColor="text1" w:themeTint="BF"/>
    </w:rPr>
  </w:style>
  <w:style w:type="character" w:customStyle="1" w:styleId="QuoteChar">
    <w:name w:val="Quote Char"/>
    <w:basedOn w:val="DefaultParagraphFont"/>
    <w:link w:val="Quote"/>
    <w:uiPriority w:val="29"/>
    <w:rsid w:val="001E1A94"/>
    <w:rPr>
      <w:i/>
      <w:iCs/>
      <w:color w:val="404040" w:themeColor="text1" w:themeTint="BF"/>
    </w:rPr>
  </w:style>
  <w:style w:type="paragraph" w:styleId="ListParagraph">
    <w:name w:val="List Paragraph"/>
    <w:basedOn w:val="Normal"/>
    <w:uiPriority w:val="34"/>
    <w:qFormat/>
    <w:rsid w:val="001E1A94"/>
    <w:pPr>
      <w:ind w:left="720"/>
      <w:contextualSpacing/>
    </w:pPr>
  </w:style>
  <w:style w:type="character" w:styleId="IntenseEmphasis">
    <w:name w:val="Intense Emphasis"/>
    <w:basedOn w:val="DefaultParagraphFont"/>
    <w:uiPriority w:val="21"/>
    <w:qFormat/>
    <w:rsid w:val="001E1A94"/>
    <w:rPr>
      <w:i/>
      <w:iCs/>
      <w:color w:val="0F4761" w:themeColor="accent1" w:themeShade="BF"/>
    </w:rPr>
  </w:style>
  <w:style w:type="paragraph" w:styleId="IntenseQuote">
    <w:name w:val="Intense Quote"/>
    <w:basedOn w:val="Normal"/>
    <w:next w:val="Normal"/>
    <w:link w:val="IntenseQuoteChar"/>
    <w:uiPriority w:val="30"/>
    <w:qFormat/>
    <w:rsid w:val="001E1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A94"/>
    <w:rPr>
      <w:i/>
      <w:iCs/>
      <w:color w:val="0F4761" w:themeColor="accent1" w:themeShade="BF"/>
    </w:rPr>
  </w:style>
  <w:style w:type="character" w:styleId="IntenseReference">
    <w:name w:val="Intense Reference"/>
    <w:basedOn w:val="DefaultParagraphFont"/>
    <w:uiPriority w:val="32"/>
    <w:qFormat/>
    <w:rsid w:val="001E1A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1355</Words>
  <Characters>7728</Characters>
  <Application>Microsoft Office Word</Application>
  <DocSecurity>0</DocSecurity>
  <Lines>64</Lines>
  <Paragraphs>18</Paragraphs>
  <ScaleCrop>false</ScaleCrop>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2026-03-30T13:26:00Z</dcterms:created>
  <dcterms:modified xsi:type="dcterms:W3CDTF">2026-03-30T13:26:00Z</dcterms:modified>
</cp:coreProperties>
</file>