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7538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Excellent. Below is a refined, thesis-ready version of **Chapter 8 — Limitations and Future Work**, written in formal academic style and aligned with the architecture and experimental framing we have developed.</w:t>
      </w:r>
    </w:p>
    <w:p w14:paraId="121C683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6D7D24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00AB2A7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188D8F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CHAPTER 8 — LIMITATIONS AND FUTURE WORK</w:t>
      </w:r>
    </w:p>
    <w:p w14:paraId="39F77AD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630F8A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8.1 Introduction</w:t>
      </w:r>
    </w:p>
    <w:p w14:paraId="7FC0EBD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725C0D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No applied systems-security thesis can claim unlimited generalizability, especially when the work includes a prototype implementation under realistic time and resource constraints. This study is designed to provide a rigorous and practical evaluation of event-scoped capability enforcement as a compatibility-layer security model. However, the prototype, test scope, and evaluation period impose boundaries on the conclusions that can be drawn.</w:t>
      </w:r>
    </w:p>
    <w:p w14:paraId="6E6421F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1277F87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This chapter identifies the principal limitations of the study, explains how these limitations affect interpretation of results, outlines mitigation measures already built into the research design, and proposes a set of future research directions that can extend the work toward broader deployment and stronger assurance.</w:t>
      </w:r>
    </w:p>
    <w:p w14:paraId="1F83D14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1EFFBDA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541A652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13A6CA8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8.2 Limitations of the Study</w:t>
      </w:r>
    </w:p>
    <w:p w14:paraId="00B47C9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71C03F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8.2.1 Limited System Call Coverage</w:t>
      </w:r>
    </w:p>
    <w:p w14:paraId="78D02E0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581F8E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prototype developed in this thesis intercepts only a subset of operating system interactions, primarily focusing on:</w:t>
      </w:r>
    </w:p>
    <w:p w14:paraId="4637776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58EDC74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file access operations</w:t>
      </w:r>
    </w:p>
    <w:p w14:paraId="35029C2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network connection and transmission operations</w:t>
      </w:r>
    </w:p>
    <w:p w14:paraId="402C4D5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lease-mediated background execution events</w:t>
      </w:r>
    </w:p>
    <w:p w14:paraId="7E9FFB0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5A6D9E5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This design choice was necessary to keep the implementation feasible within the scope of a master’s thesis. However, it limits the completeness of the security guarantees that can be claimed.</w:t>
      </w:r>
    </w:p>
    <w:p w14:paraId="3A5F8FEC"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F212C4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A real-world operating environment contains many additional attack surfaces and privilege pathways, including:</w:t>
      </w:r>
    </w:p>
    <w:p w14:paraId="36AD381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lastRenderedPageBreak/>
        <w:t>- process injection</w:t>
      </w:r>
    </w:p>
    <w:p w14:paraId="2E4E04D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shared memory abuse</w:t>
      </w:r>
    </w:p>
    <w:p w14:paraId="021CFD0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inter-process communication channels</w:t>
      </w:r>
    </w:p>
    <w:p w14:paraId="2D22F91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device I/O access</w:t>
      </w:r>
    </w:p>
    <w:p w14:paraId="31BAA62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registry or configuration store manipulation</w:t>
      </w:r>
    </w:p>
    <w:p w14:paraId="6084D28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kernel-driver interactions</w:t>
      </w:r>
    </w:p>
    <w:p w14:paraId="628D4CE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indirect capability laundering through trusted helper processes</w:t>
      </w:r>
    </w:p>
    <w:p w14:paraId="61CBF4C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87BA08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As a result, the prototype should be interpreted </w:t>
      </w:r>
      <w:proofErr w:type="gramStart"/>
      <w:r w:rsidRPr="00D26D58">
        <w:rPr>
          <w:rFonts w:ascii="Arial" w:eastAsia="Times New Roman" w:hAnsi="Arial" w:cs="Arial"/>
          <w:color w:val="2E2B29"/>
          <w:kern w:val="0"/>
          <w:sz w:val="27"/>
          <w:szCs w:val="27"/>
          <w:shd w:val="clear" w:color="auto" w:fill="FCFAF8"/>
          <w14:ligatures w14:val="none"/>
        </w:rPr>
        <w:t>as a</w:t>
      </w:r>
      <w:proofErr w:type="gramEnd"/>
      <w:r w:rsidRPr="00D26D58">
        <w:rPr>
          <w:rFonts w:ascii="Arial" w:eastAsia="Times New Roman" w:hAnsi="Arial" w:cs="Arial"/>
          <w:color w:val="2E2B29"/>
          <w:kern w:val="0"/>
          <w:sz w:val="27"/>
          <w:szCs w:val="27"/>
          <w:shd w:val="clear" w:color="auto" w:fill="FCFAF8"/>
          <w14:ligatures w14:val="none"/>
        </w:rPr>
        <w:t xml:space="preserve"> **proof of feasibility for key resource classes**, not a comprehensive replacement for full-system security mediation.</w:t>
      </w:r>
    </w:p>
    <w:p w14:paraId="69CB755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3D61CAA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Implication</w:t>
      </w:r>
    </w:p>
    <w:p w14:paraId="6BA80AA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results can demonstrate whether event-scoped enforcement is effective and practical in selected high-value domains, but they cannot yet establish complete operating-system-wide protection.</w:t>
      </w:r>
    </w:p>
    <w:p w14:paraId="28AEC73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541E967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347F90F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1CE890D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8.2.2 Architecture and Hardware Scope</w:t>
      </w:r>
    </w:p>
    <w:p w14:paraId="21089A4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212CB3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The evaluation in this thesis is conducted on **x86-based systems**, with the implementation and measurement environment optimized around hardware and tooling available for that architecture. Although the broader </w:t>
      </w:r>
      <w:proofErr w:type="spellStart"/>
      <w:r w:rsidRPr="00D26D58">
        <w:rPr>
          <w:rFonts w:ascii="Arial" w:eastAsia="Times New Roman" w:hAnsi="Arial" w:cs="Arial"/>
          <w:color w:val="2E2B29"/>
          <w:kern w:val="0"/>
          <w:sz w:val="27"/>
          <w:szCs w:val="27"/>
          <w:shd w:val="clear" w:color="auto" w:fill="FCFAF8"/>
          <w14:ligatures w14:val="none"/>
        </w:rPr>
        <w:t>IntentKernel</w:t>
      </w:r>
      <w:proofErr w:type="spellEnd"/>
      <w:r w:rsidRPr="00D26D58">
        <w:rPr>
          <w:rFonts w:ascii="Arial" w:eastAsia="Times New Roman" w:hAnsi="Arial" w:cs="Arial"/>
          <w:color w:val="2E2B29"/>
          <w:kern w:val="0"/>
          <w:sz w:val="27"/>
          <w:szCs w:val="27"/>
          <w:shd w:val="clear" w:color="auto" w:fill="FCFAF8"/>
          <w14:ligatures w14:val="none"/>
        </w:rPr>
        <w:t xml:space="preserve"> and UCCS concepts are intended to be architecture-independent, the study does not provide full empirical validation across:</w:t>
      </w:r>
    </w:p>
    <w:p w14:paraId="060BC74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0CE848F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ARM systems</w:t>
      </w:r>
    </w:p>
    <w:p w14:paraId="46439CE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RISC-V systems</w:t>
      </w:r>
    </w:p>
    <w:p w14:paraId="2AE6D86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embedded microcontroller environments</w:t>
      </w:r>
    </w:p>
    <w:p w14:paraId="7507DD3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heterogeneous edge and IoT devices</w:t>
      </w:r>
    </w:p>
    <w:p w14:paraId="49BFBC3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5BA3527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An ARM pilot is conceptually </w:t>
      </w:r>
      <w:proofErr w:type="gramStart"/>
      <w:r w:rsidRPr="00D26D58">
        <w:rPr>
          <w:rFonts w:ascii="Arial" w:eastAsia="Times New Roman" w:hAnsi="Arial" w:cs="Arial"/>
          <w:color w:val="2E2B29"/>
          <w:kern w:val="0"/>
          <w:sz w:val="27"/>
          <w:szCs w:val="27"/>
          <w:shd w:val="clear" w:color="auto" w:fill="FCFAF8"/>
          <w14:ligatures w14:val="none"/>
        </w:rPr>
        <w:t>planned, but</w:t>
      </w:r>
      <w:proofErr w:type="gramEnd"/>
      <w:r w:rsidRPr="00D26D58">
        <w:rPr>
          <w:rFonts w:ascii="Arial" w:eastAsia="Times New Roman" w:hAnsi="Arial" w:cs="Arial"/>
          <w:color w:val="2E2B29"/>
          <w:kern w:val="0"/>
          <w:sz w:val="27"/>
          <w:szCs w:val="27"/>
          <w:shd w:val="clear" w:color="auto" w:fill="FCFAF8"/>
          <w14:ligatures w14:val="none"/>
        </w:rPr>
        <w:t xml:space="preserve"> not fully completed within the present study.</w:t>
      </w:r>
    </w:p>
    <w:p w14:paraId="23A018B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FE2059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Implication</w:t>
      </w:r>
    </w:p>
    <w:p w14:paraId="2CFE5B0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current findings should be interpreted as strong evidence for feasibility on x86-class systems, particularly desktops, servers, and virtualized enterprise endpoints, but not yet as comprehensive cross-architecture proof.</w:t>
      </w:r>
    </w:p>
    <w:p w14:paraId="34F6490C"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75D2BB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7C63344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04DA042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8.2.3 Simulated or Controlled Malware Conditions</w:t>
      </w:r>
    </w:p>
    <w:p w14:paraId="3ADE1D04"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60BFBE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security evaluation relies on **simulated malware behavior** or carefully contained, approved malicious samples in isolated test environments. While this is necessary for safety, ethics, and repeatability, it introduces limitations.</w:t>
      </w:r>
    </w:p>
    <w:p w14:paraId="44CC3B9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A15F16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experiments do not fully replicate:</w:t>
      </w:r>
    </w:p>
    <w:p w14:paraId="66DA0FE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adaptive zero-day malware</w:t>
      </w:r>
    </w:p>
    <w:p w14:paraId="56A1A9F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advanced kernel exploitation</w:t>
      </w:r>
    </w:p>
    <w:p w14:paraId="13029C1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real attacker decision-making</w:t>
      </w:r>
    </w:p>
    <w:p w14:paraId="662BB22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evasive payloads that alter behavior in sandboxed or instrumented environments</w:t>
      </w:r>
    </w:p>
    <w:p w14:paraId="355EE6D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multi-stage intrusion chains involving credential theft, persistence, and lateral movement</w:t>
      </w:r>
    </w:p>
    <w:p w14:paraId="14CAFAC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A02BBD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Therefore, the study demonstrates structural resistance under controlled adversarial conditions rather than full adversarial proof against all possible threat actors.</w:t>
      </w:r>
    </w:p>
    <w:p w14:paraId="65ED1F5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54D92114"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Implication</w:t>
      </w:r>
    </w:p>
    <w:p w14:paraId="28D6E47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results can strongly indicate protective value against representative misuse patterns such as unauthorized file writes and unauthorized outbound connections, but they should not be overstated as proving absolute immunity to all advanced threats.</w:t>
      </w:r>
    </w:p>
    <w:p w14:paraId="570882A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C890214"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2F21A90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395F7E9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8.2.4 Limited Longitudinal Observation Period</w:t>
      </w:r>
    </w:p>
    <w:p w14:paraId="1F882E0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65AFE8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thesis is constrained by an approximately **nine-month to twelve-month research timeline**, which limits the ability to observe long-term behavior in production-like deployment conditions. As a result, the study cannot fully assess:</w:t>
      </w:r>
    </w:p>
    <w:p w14:paraId="2BE3C3DC"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5BDD8C9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long-term policy drift</w:t>
      </w:r>
    </w:p>
    <w:p w14:paraId="5D67432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user habituation to prompts or approvals</w:t>
      </w:r>
    </w:p>
    <w:p w14:paraId="5D877E1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operational maintenance burden</w:t>
      </w:r>
    </w:p>
    <w:p w14:paraId="31FD132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compatibility issues emerging over large application portfolios</w:t>
      </w:r>
    </w:p>
    <w:p w14:paraId="54D5382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cumulative performance effects over extended workloads</w:t>
      </w:r>
    </w:p>
    <w:p w14:paraId="12D820B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evolution of attacker adaptation over time</w:t>
      </w:r>
    </w:p>
    <w:p w14:paraId="086BB93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7AD375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Longitudinal field studies typically require enterprise pilots lasting many months or years, which is beyond the scope of this thesis.</w:t>
      </w:r>
    </w:p>
    <w:p w14:paraId="3B2FEB14"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385A312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Implication</w:t>
      </w:r>
    </w:p>
    <w:p w14:paraId="771BE18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present work provides short-to-medium-term experimental evidence, but not long-term deployment validation.</w:t>
      </w:r>
    </w:p>
    <w:p w14:paraId="03A7113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3B4D494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1F00BC6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A496BB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8.2.5 Prototype-Level Security Hardening</w:t>
      </w:r>
    </w:p>
    <w:p w14:paraId="6DB5A484"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C754AC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prototype is designed for evaluation rather than production-grade deployment. As such, certain enterprise hardening measures are either simplified or absent, including:</w:t>
      </w:r>
    </w:p>
    <w:p w14:paraId="6AC25A4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3D0E599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full enclave-backed broker isolation</w:t>
      </w:r>
    </w:p>
    <w:p w14:paraId="6A8FE31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tamper-resistant secure UI path</w:t>
      </w:r>
    </w:p>
    <w:p w14:paraId="2D082FD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hardened revocation broadcast channels</w:t>
      </w:r>
    </w:p>
    <w:p w14:paraId="2E202B5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formally verified state transition logic</w:t>
      </w:r>
    </w:p>
    <w:p w14:paraId="232A7E9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production key lifecycle management</w:t>
      </w:r>
    </w:p>
    <w:p w14:paraId="3047619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high-availability broker clustering</w:t>
      </w:r>
    </w:p>
    <w:p w14:paraId="3D77A59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anti-rollback protection for policy artifacts</w:t>
      </w:r>
    </w:p>
    <w:p w14:paraId="321758A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4B0181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This is a common and acceptable limitation for design-science and prototype-based systems research, but it must be acknowledged explicitly.</w:t>
      </w:r>
    </w:p>
    <w:p w14:paraId="3299110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352E4DB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Implication</w:t>
      </w:r>
    </w:p>
    <w:p w14:paraId="4C687D6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thesis validates architectural practicality and experimental behavior, not full production readiness.</w:t>
      </w:r>
    </w:p>
    <w:p w14:paraId="5FA0F34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3CA0B59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7C64404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D036B8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8.2.6 User Study Scope</w:t>
      </w:r>
    </w:p>
    <w:p w14:paraId="7741755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540174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If a user-interaction component is included, it will likely involve a relatively small participant pool and tightly scoped tasks. This means the usability findings will provide insight into prompt latency and friction, but not a definitive human-factors evaluation across diverse populations, skill levels, and organizational settings.</w:t>
      </w:r>
    </w:p>
    <w:p w14:paraId="26CAA68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763AD2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lastRenderedPageBreak/>
        <w:t>#### Implication</w:t>
      </w:r>
    </w:p>
    <w:p w14:paraId="55F5E99C"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User-facing findings should be treated as early indicators rather than broad usability generalizations.</w:t>
      </w:r>
    </w:p>
    <w:p w14:paraId="560FF3F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3D0F32F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0B22ADE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C75788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8.2.7 Federation Scope</w:t>
      </w:r>
    </w:p>
    <w:p w14:paraId="519D296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15496EB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cross-device federation model proposed in the architecture is broader than what can likely be fully implemented within a master’s thesis. Any federation component included in this work will likely remain a pilot-scale demonstration rather than a complete multi-organization distributed trust framework.</w:t>
      </w:r>
    </w:p>
    <w:p w14:paraId="3D2A363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176E582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Implication</w:t>
      </w:r>
    </w:p>
    <w:p w14:paraId="7F38EC9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Cross-device findings should be interpreted as validating conceptual feasibility and message flow correctness, not complete deployment at ecosystem scale.</w:t>
      </w:r>
    </w:p>
    <w:p w14:paraId="45DA4D6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2D93B5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42C581C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E10394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8.3 Mitigation Measures</w:t>
      </w:r>
    </w:p>
    <w:p w14:paraId="3F7178E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F37631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Although the above limitations constrain the scope of conclusions, the study includes several mitigation mechanisms to preserve rigor, transparency, and long-term value.</w:t>
      </w:r>
    </w:p>
    <w:p w14:paraId="0AE2811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E80224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8.3.1 Full Replication Artifacts</w:t>
      </w:r>
    </w:p>
    <w:p w14:paraId="04AF06F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9AABBB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To support reproducibility, the thesis will </w:t>
      </w:r>
      <w:proofErr w:type="gramStart"/>
      <w:r w:rsidRPr="00D26D58">
        <w:rPr>
          <w:rFonts w:ascii="Arial" w:eastAsia="Times New Roman" w:hAnsi="Arial" w:cs="Arial"/>
          <w:color w:val="2E2B29"/>
          <w:kern w:val="0"/>
          <w:sz w:val="27"/>
          <w:szCs w:val="27"/>
          <w:shd w:val="clear" w:color="auto" w:fill="FCFAF8"/>
          <w14:ligatures w14:val="none"/>
        </w:rPr>
        <w:t>publish</w:t>
      </w:r>
      <w:proofErr w:type="gramEnd"/>
      <w:r w:rsidRPr="00D26D58">
        <w:rPr>
          <w:rFonts w:ascii="Arial" w:eastAsia="Times New Roman" w:hAnsi="Arial" w:cs="Arial"/>
          <w:color w:val="2E2B29"/>
          <w:kern w:val="0"/>
          <w:sz w:val="27"/>
          <w:szCs w:val="27"/>
          <w:shd w:val="clear" w:color="auto" w:fill="FCFAF8"/>
          <w14:ligatures w14:val="none"/>
        </w:rPr>
        <w:t xml:space="preserve"> or archive:</w:t>
      </w:r>
    </w:p>
    <w:p w14:paraId="35EF7B9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3F647D0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source code</w:t>
      </w:r>
    </w:p>
    <w:p w14:paraId="0D1E8D4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build instructions</w:t>
      </w:r>
    </w:p>
    <w:p w14:paraId="681FAF8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test scripts</w:t>
      </w:r>
    </w:p>
    <w:p w14:paraId="229E48E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benchmark configurations</w:t>
      </w:r>
    </w:p>
    <w:p w14:paraId="2D5FA4D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result-processing notebooks</w:t>
      </w:r>
    </w:p>
    <w:p w14:paraId="49441E5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system setup details</w:t>
      </w:r>
    </w:p>
    <w:p w14:paraId="554D56C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experiment logs</w:t>
      </w:r>
    </w:p>
    <w:p w14:paraId="1306382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token and lease configuration examples</w:t>
      </w:r>
    </w:p>
    <w:p w14:paraId="70A5FF2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B3B193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These materials allow other researchers to reproduce, critique, and extend the work.</w:t>
      </w:r>
    </w:p>
    <w:p w14:paraId="15444CD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844D4D4"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8.3.2 Public Archival Strategy</w:t>
      </w:r>
    </w:p>
    <w:p w14:paraId="03A5CB7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0A7B773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A key mitigation measure is the use of:</w:t>
      </w:r>
    </w:p>
    <w:p w14:paraId="3D992A6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37FDB9A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**GitHub repository** for living implementation artifacts</w:t>
      </w:r>
    </w:p>
    <w:p w14:paraId="1BC8AAB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w:t>
      </w:r>
      <w:proofErr w:type="spellStart"/>
      <w:r w:rsidRPr="00D26D58">
        <w:rPr>
          <w:rFonts w:ascii="Arial" w:eastAsia="Times New Roman" w:hAnsi="Arial" w:cs="Arial"/>
          <w:color w:val="2E2B29"/>
          <w:kern w:val="0"/>
          <w:sz w:val="27"/>
          <w:szCs w:val="27"/>
          <w:shd w:val="clear" w:color="auto" w:fill="FCFAF8"/>
          <w14:ligatures w14:val="none"/>
        </w:rPr>
        <w:t>Zenodo</w:t>
      </w:r>
      <w:proofErr w:type="spellEnd"/>
      <w:r w:rsidRPr="00D26D58">
        <w:rPr>
          <w:rFonts w:ascii="Arial" w:eastAsia="Times New Roman" w:hAnsi="Arial" w:cs="Arial"/>
          <w:color w:val="2E2B29"/>
          <w:kern w:val="0"/>
          <w:sz w:val="27"/>
          <w:szCs w:val="27"/>
          <w:shd w:val="clear" w:color="auto" w:fill="FCFAF8"/>
          <w14:ligatures w14:val="none"/>
        </w:rPr>
        <w:t xml:space="preserve"> DOI archive** for citable, timestamped release preservation</w:t>
      </w:r>
    </w:p>
    <w:p w14:paraId="7C490C6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196DF64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This strategy supports:</w:t>
      </w:r>
    </w:p>
    <w:p w14:paraId="2A8CFAD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transparent authorship</w:t>
      </w:r>
    </w:p>
    <w:p w14:paraId="7D802B7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exact version replication</w:t>
      </w:r>
    </w:p>
    <w:p w14:paraId="3911B11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permanent citation</w:t>
      </w:r>
    </w:p>
    <w:p w14:paraId="76C3358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research continuity beyond the thesis timeline</w:t>
      </w:r>
    </w:p>
    <w:p w14:paraId="39E9D0D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59FD9C8C"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8.3.3 Controlled Experimental Design</w:t>
      </w:r>
    </w:p>
    <w:p w14:paraId="716B9BE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84895C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use of:</w:t>
      </w:r>
    </w:p>
    <w:p w14:paraId="23A5E6C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baseline vs protected comparisons,</w:t>
      </w:r>
    </w:p>
    <w:p w14:paraId="2E94309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repeated trials,</w:t>
      </w:r>
    </w:p>
    <w:p w14:paraId="061832A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fixed test environments,</w:t>
      </w:r>
    </w:p>
    <w:p w14:paraId="695CBDF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logged enforcement outcomes,</w:t>
      </w:r>
    </w:p>
    <w:p w14:paraId="25F0592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and statistical analysis</w:t>
      </w:r>
    </w:p>
    <w:p w14:paraId="10996F1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94755C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helps ensure that the findings remain reliable even if the prototype is partial.</w:t>
      </w:r>
    </w:p>
    <w:p w14:paraId="70B2119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A59184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8.3.4 Explicit Boundary Statements</w:t>
      </w:r>
    </w:p>
    <w:p w14:paraId="470560F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3464CED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thesis will explicitly delimit what the prototype does and does not claim. This reduces ambiguity and strengthens the credibility of the conclusions.</w:t>
      </w:r>
    </w:p>
    <w:p w14:paraId="1A6037B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84756D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63DBD97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04317B6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8.4 Future Work</w:t>
      </w:r>
    </w:p>
    <w:p w14:paraId="7958C0F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5CF0932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research presented in this thesis opens multiple directions for deeper academic investigation and real-world development. These directions span hardware, formal methods, machine learning, distributed systems, and enterprise deployment.</w:t>
      </w:r>
    </w:p>
    <w:p w14:paraId="144B53DC"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8DCD3F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3ABCC20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66BBCA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lastRenderedPageBreak/>
        <w:t>### 8.4.1 Native Stage 5 Hardware and Silicon Enforcement</w:t>
      </w:r>
    </w:p>
    <w:p w14:paraId="1E319BD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034C8C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One of the most important future directions is the move from compatibility-layer enforcement to **native hardware-backed capability execution**, corresponding to Stage 5 of the </w:t>
      </w:r>
      <w:proofErr w:type="spellStart"/>
      <w:r w:rsidRPr="00D26D58">
        <w:rPr>
          <w:rFonts w:ascii="Arial" w:eastAsia="Times New Roman" w:hAnsi="Arial" w:cs="Arial"/>
          <w:color w:val="2E2B29"/>
          <w:kern w:val="0"/>
          <w:sz w:val="27"/>
          <w:szCs w:val="27"/>
          <w:shd w:val="clear" w:color="auto" w:fill="FCFAF8"/>
          <w14:ligatures w14:val="none"/>
        </w:rPr>
        <w:t>IntentKernel</w:t>
      </w:r>
      <w:proofErr w:type="spellEnd"/>
      <w:r w:rsidRPr="00D26D58">
        <w:rPr>
          <w:rFonts w:ascii="Arial" w:eastAsia="Times New Roman" w:hAnsi="Arial" w:cs="Arial"/>
          <w:color w:val="2E2B29"/>
          <w:kern w:val="0"/>
          <w:sz w:val="27"/>
          <w:szCs w:val="27"/>
          <w:shd w:val="clear" w:color="auto" w:fill="FCFAF8"/>
          <w14:ligatures w14:val="none"/>
        </w:rPr>
        <w:t xml:space="preserve"> roadmap.</w:t>
      </w:r>
    </w:p>
    <w:p w14:paraId="3408025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324EA15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A particularly promising path is integration with **CHERI-style capability hardware**, which provides architectural support for fine-grained memory and pointer safety. Future work could </w:t>
      </w:r>
      <w:proofErr w:type="gramStart"/>
      <w:r w:rsidRPr="00D26D58">
        <w:rPr>
          <w:rFonts w:ascii="Arial" w:eastAsia="Times New Roman" w:hAnsi="Arial" w:cs="Arial"/>
          <w:color w:val="2E2B29"/>
          <w:kern w:val="0"/>
          <w:sz w:val="27"/>
          <w:szCs w:val="27"/>
          <w:shd w:val="clear" w:color="auto" w:fill="FCFAF8"/>
          <w14:ligatures w14:val="none"/>
        </w:rPr>
        <w:t>explore</w:t>
      </w:r>
      <w:proofErr w:type="gramEnd"/>
      <w:r w:rsidRPr="00D26D58">
        <w:rPr>
          <w:rFonts w:ascii="Arial" w:eastAsia="Times New Roman" w:hAnsi="Arial" w:cs="Arial"/>
          <w:color w:val="2E2B29"/>
          <w:kern w:val="0"/>
          <w:sz w:val="27"/>
          <w:szCs w:val="27"/>
          <w:shd w:val="clear" w:color="auto" w:fill="FCFAF8"/>
          <w14:ligatures w14:val="none"/>
        </w:rPr>
        <w:t>:</w:t>
      </w:r>
    </w:p>
    <w:p w14:paraId="0D90695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826D7B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mapping IBPS-issued capabilities to hardware-enforced resource handles</w:t>
      </w:r>
    </w:p>
    <w:p w14:paraId="052DA96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combining software-issued event-scoped authority with architectural capability registers</w:t>
      </w:r>
    </w:p>
    <w:p w14:paraId="43C775F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reducing broker-to-kernel enforcement overhead</w:t>
      </w:r>
    </w:p>
    <w:p w14:paraId="560506A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strengthening anti-forgery guarantees at the silicon boundary</w:t>
      </w:r>
    </w:p>
    <w:p w14:paraId="19DE106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72865C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This would transform the runtime model into a full-stack secure execution environment with stronger enforcement guarantees and lower performance cost.</w:t>
      </w:r>
    </w:p>
    <w:p w14:paraId="63D4A69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0086E2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0E7608C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13BD95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8.4.2 Machine Learning for Intent Prediction and Friction Reduction</w:t>
      </w:r>
    </w:p>
    <w:p w14:paraId="500EB68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5F7D288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A second major opportunity is the use of **machine learning for intent prediction**. While this thesis emphasizes explicit verification and conservative issuance, future work could investigate whether trusted local models can safely reduce interaction friction by predicting likely user intent.</w:t>
      </w:r>
    </w:p>
    <w:p w14:paraId="5F892B9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C5B456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Potential research questions include:</w:t>
      </w:r>
    </w:p>
    <w:p w14:paraId="44828E0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Can repeated interaction patterns be learned without violating privacy?</w:t>
      </w:r>
    </w:p>
    <w:p w14:paraId="5F8FAE4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Can low-risk actions be pre-authorized probabilistically while maintaining safety bounds?</w:t>
      </w:r>
    </w:p>
    <w:p w14:paraId="261DF72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How should confidence thresholds map to trust-anchor requirements?</w:t>
      </w:r>
    </w:p>
    <w:p w14:paraId="669F0B0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Can prediction reduce prompt fatigue without reintroducing ambient authority?</w:t>
      </w:r>
    </w:p>
    <w:p w14:paraId="7E75E08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0B34947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Such work must be approached carefully, since incorrect prediction risks authority inflation. However, if bounded properly, it could significantly improve usability.</w:t>
      </w:r>
    </w:p>
    <w:p w14:paraId="7B30237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00CE948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lastRenderedPageBreak/>
        <w:t>---</w:t>
      </w:r>
    </w:p>
    <w:p w14:paraId="1025E82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1946D39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8.4.3 Formal Verification of Broker Logic</w:t>
      </w:r>
    </w:p>
    <w:p w14:paraId="4D31180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F73622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The Intent Broker is the critical semantic authority point in </w:t>
      </w:r>
      <w:proofErr w:type="gramStart"/>
      <w:r w:rsidRPr="00D26D58">
        <w:rPr>
          <w:rFonts w:ascii="Arial" w:eastAsia="Times New Roman" w:hAnsi="Arial" w:cs="Arial"/>
          <w:color w:val="2E2B29"/>
          <w:kern w:val="0"/>
          <w:sz w:val="27"/>
          <w:szCs w:val="27"/>
          <w:shd w:val="clear" w:color="auto" w:fill="FCFAF8"/>
          <w14:ligatures w14:val="none"/>
        </w:rPr>
        <w:t>the architecture</w:t>
      </w:r>
      <w:proofErr w:type="gramEnd"/>
      <w:r w:rsidRPr="00D26D58">
        <w:rPr>
          <w:rFonts w:ascii="Arial" w:eastAsia="Times New Roman" w:hAnsi="Arial" w:cs="Arial"/>
          <w:color w:val="2E2B29"/>
          <w:kern w:val="0"/>
          <w:sz w:val="27"/>
          <w:szCs w:val="27"/>
          <w:shd w:val="clear" w:color="auto" w:fill="FCFAF8"/>
          <w14:ligatures w14:val="none"/>
        </w:rPr>
        <w:t>. Future work should therefore focus on **formal verification** of broker behavior.</w:t>
      </w:r>
    </w:p>
    <w:p w14:paraId="388A3F2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AA576B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A promising direction is the use of **Coq** or related theorem-proving systems to verify:</w:t>
      </w:r>
    </w:p>
    <w:p w14:paraId="28C8F3A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capability issuance invariants</w:t>
      </w:r>
    </w:p>
    <w:p w14:paraId="4037E99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lease lifecycle transitions</w:t>
      </w:r>
    </w:p>
    <w:p w14:paraId="3C0A22B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revocation correctness</w:t>
      </w:r>
    </w:p>
    <w:p w14:paraId="6BE2E24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delegation narrowing rules</w:t>
      </w:r>
    </w:p>
    <w:p w14:paraId="7A0EC9A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trust-anchor enforcement properties</w:t>
      </w:r>
    </w:p>
    <w:p w14:paraId="245AF73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50C9DF74"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Formal verification would be especially valuable for high-assurance environments such as:</w:t>
      </w:r>
    </w:p>
    <w:p w14:paraId="6B8E380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industrial control</w:t>
      </w:r>
    </w:p>
    <w:p w14:paraId="4A07A0E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medical devices</w:t>
      </w:r>
    </w:p>
    <w:p w14:paraId="21B3D73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defense systems</w:t>
      </w:r>
    </w:p>
    <w:p w14:paraId="0B534B8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critical cloud infrastructure</w:t>
      </w:r>
    </w:p>
    <w:p w14:paraId="1584E33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60C994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This could evolve into a formally verified reference broker implementation.</w:t>
      </w:r>
    </w:p>
    <w:p w14:paraId="4C6127C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63F3E0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033C6D3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03781F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8.4.4 Cross-Organization Federation Protocol</w:t>
      </w:r>
    </w:p>
    <w:p w14:paraId="2C80F104"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9AAF79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current federation model focuses on cross-device or broker-to-broker delegation within a trusted architecture family. Future work should extend this into a **cross-organization federation protocol** capable of operating between enterprises, cloud providers, vendors, and device domains.</w:t>
      </w:r>
    </w:p>
    <w:p w14:paraId="5EE99DE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35C2B7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Key open research areas include:</w:t>
      </w:r>
    </w:p>
    <w:p w14:paraId="41FB7D8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federated broker trust establishment</w:t>
      </w:r>
    </w:p>
    <w:p w14:paraId="680C221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revocation propagation across administrative boundaries</w:t>
      </w:r>
    </w:p>
    <w:p w14:paraId="3485FD4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delegated capability narrowing across policy domains</w:t>
      </w:r>
    </w:p>
    <w:p w14:paraId="1352EDA8"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cross-organization audit interoperability</w:t>
      </w:r>
    </w:p>
    <w:p w14:paraId="6F73FD7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privacy-preserving trust exchange</w:t>
      </w:r>
    </w:p>
    <w:p w14:paraId="4FD01B0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post-quantum federation key rotation</w:t>
      </w:r>
    </w:p>
    <w:p w14:paraId="7DAA5A3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0B5425C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This is likely to become essential if </w:t>
      </w:r>
      <w:proofErr w:type="gramStart"/>
      <w:r w:rsidRPr="00D26D58">
        <w:rPr>
          <w:rFonts w:ascii="Arial" w:eastAsia="Times New Roman" w:hAnsi="Arial" w:cs="Arial"/>
          <w:color w:val="2E2B29"/>
          <w:kern w:val="0"/>
          <w:sz w:val="27"/>
          <w:szCs w:val="27"/>
          <w:shd w:val="clear" w:color="auto" w:fill="FCFAF8"/>
          <w14:ligatures w14:val="none"/>
        </w:rPr>
        <w:t>the architecture</w:t>
      </w:r>
      <w:proofErr w:type="gramEnd"/>
      <w:r w:rsidRPr="00D26D58">
        <w:rPr>
          <w:rFonts w:ascii="Arial" w:eastAsia="Times New Roman" w:hAnsi="Arial" w:cs="Arial"/>
          <w:color w:val="2E2B29"/>
          <w:kern w:val="0"/>
          <w:sz w:val="27"/>
          <w:szCs w:val="27"/>
          <w:shd w:val="clear" w:color="auto" w:fill="FCFAF8"/>
          <w14:ligatures w14:val="none"/>
        </w:rPr>
        <w:t xml:space="preserve"> evolves into a universal computing substrate spanning cloud, edge, and device ecosystems.</w:t>
      </w:r>
    </w:p>
    <w:p w14:paraId="3639506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FCF545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5FE3794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34B0734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8.4.5 Broader OS and Architecture Porting</w:t>
      </w:r>
    </w:p>
    <w:p w14:paraId="7044615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0A57E11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Future work should extend the prototype beyond the present platform. Important targets include:</w:t>
      </w:r>
    </w:p>
    <w:p w14:paraId="6862DAB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ARM-based systems</w:t>
      </w:r>
    </w:p>
    <w:p w14:paraId="336E650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mobile environments</w:t>
      </w:r>
    </w:p>
    <w:p w14:paraId="2D263AEC"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embedded RTOS environments</w:t>
      </w:r>
    </w:p>
    <w:p w14:paraId="2EAF3BD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cloud micro-VM infrastructure</w:t>
      </w:r>
    </w:p>
    <w:p w14:paraId="139855B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industrial controllers</w:t>
      </w:r>
    </w:p>
    <w:p w14:paraId="561E264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5DB02E5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Such work would test whether the UCCS abstraction remains practical across heterogeneous execution environments.</w:t>
      </w:r>
    </w:p>
    <w:p w14:paraId="4AEF902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37B323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08424B5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250F68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8.4.6 Broader Resource Coverage</w:t>
      </w:r>
    </w:p>
    <w:p w14:paraId="270ECCD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DD65E7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prototype should also be expanded to intercept and mediate additional resource classes, including:</w:t>
      </w:r>
    </w:p>
    <w:p w14:paraId="23F2610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camera and microphone access</w:t>
      </w:r>
    </w:p>
    <w:p w14:paraId="24804DB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inter-process communication</w:t>
      </w:r>
    </w:p>
    <w:p w14:paraId="6931291C"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process creation and injection</w:t>
      </w:r>
    </w:p>
    <w:p w14:paraId="1E02FEA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clipboard and desktop capture</w:t>
      </w:r>
    </w:p>
    <w:p w14:paraId="73EFFA3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USB and device bus access</w:t>
      </w:r>
    </w:p>
    <w:p w14:paraId="585F4754"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cloud API invocation</w:t>
      </w:r>
    </w:p>
    <w:p w14:paraId="5A404DA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industrial or automotive control messages</w:t>
      </w:r>
    </w:p>
    <w:p w14:paraId="6FEF442C"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91743A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This would provide a more complete view of event-scoped enforcement in realistic environments.</w:t>
      </w:r>
    </w:p>
    <w:p w14:paraId="1C8AEDE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18D686E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7901EB4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59AD3A0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8.4.7 Enterprise Validation Studies</w:t>
      </w:r>
    </w:p>
    <w:p w14:paraId="6597C9A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0B1EE9F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A high-value practical next step would be enterprise pilot studies evaluating:</w:t>
      </w:r>
    </w:p>
    <w:p w14:paraId="3C02D00C"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lastRenderedPageBreak/>
        <w:t>- deployment complexity</w:t>
      </w:r>
    </w:p>
    <w:p w14:paraId="52F426F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policy design burden</w:t>
      </w:r>
    </w:p>
    <w:p w14:paraId="7B888E7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user acceptance</w:t>
      </w:r>
    </w:p>
    <w:p w14:paraId="40CDCA1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integration with EDR/SIEM/MDM ecosystems</w:t>
      </w:r>
    </w:p>
    <w:p w14:paraId="31CF899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operational overhead</w:t>
      </w:r>
    </w:p>
    <w:p w14:paraId="01DE0B2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security incident reduction</w:t>
      </w:r>
    </w:p>
    <w:p w14:paraId="3E5F5BF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B59044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These studies would convert the prototype from a research artifact into an operational framework.</w:t>
      </w:r>
    </w:p>
    <w:p w14:paraId="510602F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EABA7CC"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4A512B8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700B68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8.4.8 Compliance and Certification Framework</w:t>
      </w:r>
    </w:p>
    <w:p w14:paraId="6167785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598081E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A future standardization track could define an **</w:t>
      </w:r>
      <w:proofErr w:type="spellStart"/>
      <w:r w:rsidRPr="00D26D58">
        <w:rPr>
          <w:rFonts w:ascii="Arial" w:eastAsia="Times New Roman" w:hAnsi="Arial" w:cs="Arial"/>
          <w:color w:val="2E2B29"/>
          <w:kern w:val="0"/>
          <w:sz w:val="27"/>
          <w:szCs w:val="27"/>
          <w:shd w:val="clear" w:color="auto" w:fill="FCFAF8"/>
          <w14:ligatures w14:val="none"/>
        </w:rPr>
        <w:t>IntentKernel</w:t>
      </w:r>
      <w:proofErr w:type="spellEnd"/>
      <w:r w:rsidRPr="00D26D58">
        <w:rPr>
          <w:rFonts w:ascii="Arial" w:eastAsia="Times New Roman" w:hAnsi="Arial" w:cs="Arial"/>
          <w:color w:val="2E2B29"/>
          <w:kern w:val="0"/>
          <w:sz w:val="27"/>
          <w:szCs w:val="27"/>
          <w:shd w:val="clear" w:color="auto" w:fill="FCFAF8"/>
          <w14:ligatures w14:val="none"/>
        </w:rPr>
        <w:t xml:space="preserve"> Compatible** certification program. Research could establish:</w:t>
      </w:r>
    </w:p>
    <w:p w14:paraId="3203CAF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required guarantees</w:t>
      </w:r>
    </w:p>
    <w:p w14:paraId="568E35F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interoperability tests</w:t>
      </w:r>
    </w:p>
    <w:p w14:paraId="28B9A644"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capability lifecycle conformance profiles</w:t>
      </w:r>
    </w:p>
    <w:p w14:paraId="752C4E8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broker audit requirements</w:t>
      </w:r>
    </w:p>
    <w:p w14:paraId="3FCC6F7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secure UI criteria</w:t>
      </w:r>
    </w:p>
    <w:p w14:paraId="20DE43A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revocation handling compliance</w:t>
      </w:r>
    </w:p>
    <w:p w14:paraId="09D69326"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federation compatibility levels</w:t>
      </w:r>
    </w:p>
    <w:p w14:paraId="07D7C9B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C62FC39"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Such a framework would support vendor ecosystems and regulated adoption.</w:t>
      </w:r>
    </w:p>
    <w:p w14:paraId="7C73091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6431D22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665952E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0BCD5A9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8.5 Closing Discussion</w:t>
      </w:r>
    </w:p>
    <w:p w14:paraId="6019B01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5486577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The limitations of this thesis do not weaken its value; rather, they define the proper interpretation of its contribution. This study is best understood as a rigorous and practical first step toward a new class of computing security architecture. It does not claim to solve every layer of the problem. Instead, it demonstrates that a capability-secure, broker-mediated runtime can be meaningfully specified, implemented, and evaluated in current computing environments.</w:t>
      </w:r>
    </w:p>
    <w:p w14:paraId="40D792D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929AEB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At the same time, the future work pathways are unusually strong. This research can evolve not only into deeper academic work, but also into </w:t>
      </w:r>
      <w:r w:rsidRPr="00D26D58">
        <w:rPr>
          <w:rFonts w:ascii="Arial" w:eastAsia="Times New Roman" w:hAnsi="Arial" w:cs="Arial"/>
          <w:color w:val="2E2B29"/>
          <w:kern w:val="0"/>
          <w:sz w:val="27"/>
          <w:szCs w:val="27"/>
          <w:shd w:val="clear" w:color="auto" w:fill="FCFAF8"/>
          <w14:ligatures w14:val="none"/>
        </w:rPr>
        <w:lastRenderedPageBreak/>
        <w:t>enterprise platforms, certification ecosystems, and native hardware-backed secure execution environments.</w:t>
      </w:r>
    </w:p>
    <w:p w14:paraId="3F21073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11F77B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5F3F948B"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532913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8.6 Chapter Summary</w:t>
      </w:r>
    </w:p>
    <w:p w14:paraId="1FF969A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3E563B5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This chapter identified the principal limitations of the study, including partial </w:t>
      </w:r>
      <w:proofErr w:type="spellStart"/>
      <w:r w:rsidRPr="00D26D58">
        <w:rPr>
          <w:rFonts w:ascii="Arial" w:eastAsia="Times New Roman" w:hAnsi="Arial" w:cs="Arial"/>
          <w:color w:val="2E2B29"/>
          <w:kern w:val="0"/>
          <w:sz w:val="27"/>
          <w:szCs w:val="27"/>
          <w:shd w:val="clear" w:color="auto" w:fill="FCFAF8"/>
          <w14:ligatures w14:val="none"/>
        </w:rPr>
        <w:t>syscall</w:t>
      </w:r>
      <w:proofErr w:type="spellEnd"/>
      <w:r w:rsidRPr="00D26D58">
        <w:rPr>
          <w:rFonts w:ascii="Arial" w:eastAsia="Times New Roman" w:hAnsi="Arial" w:cs="Arial"/>
          <w:color w:val="2E2B29"/>
          <w:kern w:val="0"/>
          <w:sz w:val="27"/>
          <w:szCs w:val="27"/>
          <w:shd w:val="clear" w:color="auto" w:fill="FCFAF8"/>
          <w14:ligatures w14:val="none"/>
        </w:rPr>
        <w:t xml:space="preserve"> coverage, architecture scope, simulated adversarial conditions, limited longitudinal duration, prototype-grade hardening, and limited federation scale. It also described mitigation steps such as full replication support through a GitHub repository and </w:t>
      </w:r>
      <w:proofErr w:type="spellStart"/>
      <w:r w:rsidRPr="00D26D58">
        <w:rPr>
          <w:rFonts w:ascii="Arial" w:eastAsia="Times New Roman" w:hAnsi="Arial" w:cs="Arial"/>
          <w:color w:val="2E2B29"/>
          <w:kern w:val="0"/>
          <w:sz w:val="27"/>
          <w:szCs w:val="27"/>
          <w:shd w:val="clear" w:color="auto" w:fill="FCFAF8"/>
          <w14:ligatures w14:val="none"/>
        </w:rPr>
        <w:t>Zenodo</w:t>
      </w:r>
      <w:proofErr w:type="spellEnd"/>
      <w:r w:rsidRPr="00D26D58">
        <w:rPr>
          <w:rFonts w:ascii="Arial" w:eastAsia="Times New Roman" w:hAnsi="Arial" w:cs="Arial"/>
          <w:color w:val="2E2B29"/>
          <w:kern w:val="0"/>
          <w:sz w:val="27"/>
          <w:szCs w:val="27"/>
          <w:shd w:val="clear" w:color="auto" w:fill="FCFAF8"/>
          <w14:ligatures w14:val="none"/>
        </w:rPr>
        <w:t xml:space="preserve"> DOI archive. Finally, it outlined a substantial future research agenda spanning hardware integration, machine learning, formal verification, federation, broader platform support, enterprise deployment, and compliance certification.</w:t>
      </w:r>
    </w:p>
    <w:p w14:paraId="0D2FBAD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7B1EDCE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w:t>
      </w:r>
    </w:p>
    <w:p w14:paraId="6A0EA413"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4EB9526E"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If you want, I can now produce either of these next:</w:t>
      </w:r>
    </w:p>
    <w:p w14:paraId="369C248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1F31E500"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1. **Chapter 9 — Conclusion**</w:t>
      </w:r>
    </w:p>
    <w:p w14:paraId="582AECF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2. **A full thesis PDF-ready master draft structure**</w:t>
      </w:r>
    </w:p>
    <w:p w14:paraId="01D0BF62"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3. **A university-style front matter package**:</w:t>
      </w:r>
    </w:p>
    <w:p w14:paraId="404AC04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   - title page</w:t>
      </w:r>
    </w:p>
    <w:p w14:paraId="0EC068E7"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   - declaration</w:t>
      </w:r>
    </w:p>
    <w:p w14:paraId="06851401"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   - acknowledgments</w:t>
      </w:r>
    </w:p>
    <w:p w14:paraId="3A5D12A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   - abstract</w:t>
      </w:r>
    </w:p>
    <w:p w14:paraId="1FA2460D"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   - table of contents</w:t>
      </w:r>
    </w:p>
    <w:p w14:paraId="2F6613FA"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   - list of figures</w:t>
      </w:r>
    </w:p>
    <w:p w14:paraId="7A191A95"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r w:rsidRPr="00D26D58">
        <w:rPr>
          <w:rFonts w:ascii="Arial" w:eastAsia="Times New Roman" w:hAnsi="Arial" w:cs="Arial"/>
          <w:color w:val="2E2B29"/>
          <w:kern w:val="0"/>
          <w:sz w:val="27"/>
          <w:szCs w:val="27"/>
          <w:shd w:val="clear" w:color="auto" w:fill="FCFAF8"/>
          <w14:ligatures w14:val="none"/>
        </w:rPr>
        <w:t xml:space="preserve">   - list of abbreviations</w:t>
      </w:r>
    </w:p>
    <w:p w14:paraId="301DD23F" w14:textId="77777777" w:rsidR="00D26D58" w:rsidRPr="00D26D58" w:rsidRDefault="00D26D58" w:rsidP="00D26D58">
      <w:pPr>
        <w:spacing w:after="0" w:line="240" w:lineRule="auto"/>
        <w:rPr>
          <w:rFonts w:ascii="Arial" w:eastAsia="Times New Roman" w:hAnsi="Arial" w:cs="Arial"/>
          <w:color w:val="2E2B29"/>
          <w:kern w:val="0"/>
          <w:sz w:val="27"/>
          <w:szCs w:val="27"/>
          <w:shd w:val="clear" w:color="auto" w:fill="FCFAF8"/>
          <w14:ligatures w14:val="none"/>
        </w:rPr>
      </w:pPr>
    </w:p>
    <w:p w14:paraId="258EFEBC" w14:textId="03178824" w:rsidR="00AD0927" w:rsidRDefault="00D26D58" w:rsidP="00D26D58">
      <w:r w:rsidRPr="00D26D58">
        <w:rPr>
          <w:rFonts w:ascii="Arial" w:eastAsia="Times New Roman" w:hAnsi="Arial" w:cs="Arial"/>
          <w:color w:val="2E2B29"/>
          <w:kern w:val="0"/>
          <w:sz w:val="27"/>
          <w:szCs w:val="27"/>
          <w:shd w:val="clear" w:color="auto" w:fill="FCFAF8"/>
          <w14:ligatures w14:val="none"/>
        </w:rPr>
        <w:t>The best next step is **Chapter 9 — Conclusion**, so the thesis body becomes complete.</w:t>
      </w:r>
    </w:p>
    <w:sectPr w:rsidR="00AD0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D58"/>
    <w:rsid w:val="000170E4"/>
    <w:rsid w:val="00682C75"/>
    <w:rsid w:val="00AD0927"/>
    <w:rsid w:val="00CC6ECF"/>
    <w:rsid w:val="00D26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DED26"/>
  <w15:chartTrackingRefBased/>
  <w15:docId w15:val="{E0834FE8-0624-4E9F-8966-651F2339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D58"/>
    <w:rPr>
      <w:rFonts w:eastAsiaTheme="majorEastAsia" w:cstheme="majorBidi"/>
      <w:color w:val="272727" w:themeColor="text1" w:themeTint="D8"/>
    </w:rPr>
  </w:style>
  <w:style w:type="paragraph" w:styleId="Title">
    <w:name w:val="Title"/>
    <w:basedOn w:val="Normal"/>
    <w:next w:val="Normal"/>
    <w:link w:val="TitleChar"/>
    <w:uiPriority w:val="10"/>
    <w:qFormat/>
    <w:rsid w:val="00D26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D58"/>
    <w:pPr>
      <w:spacing w:before="160"/>
      <w:jc w:val="center"/>
    </w:pPr>
    <w:rPr>
      <w:i/>
      <w:iCs/>
      <w:color w:val="404040" w:themeColor="text1" w:themeTint="BF"/>
    </w:rPr>
  </w:style>
  <w:style w:type="character" w:customStyle="1" w:styleId="QuoteChar">
    <w:name w:val="Quote Char"/>
    <w:basedOn w:val="DefaultParagraphFont"/>
    <w:link w:val="Quote"/>
    <w:uiPriority w:val="29"/>
    <w:rsid w:val="00D26D58"/>
    <w:rPr>
      <w:i/>
      <w:iCs/>
      <w:color w:val="404040" w:themeColor="text1" w:themeTint="BF"/>
    </w:rPr>
  </w:style>
  <w:style w:type="paragraph" w:styleId="ListParagraph">
    <w:name w:val="List Paragraph"/>
    <w:basedOn w:val="Normal"/>
    <w:uiPriority w:val="34"/>
    <w:qFormat/>
    <w:rsid w:val="00D26D58"/>
    <w:pPr>
      <w:ind w:left="720"/>
      <w:contextualSpacing/>
    </w:pPr>
  </w:style>
  <w:style w:type="character" w:styleId="IntenseEmphasis">
    <w:name w:val="Intense Emphasis"/>
    <w:basedOn w:val="DefaultParagraphFont"/>
    <w:uiPriority w:val="21"/>
    <w:qFormat/>
    <w:rsid w:val="00D26D58"/>
    <w:rPr>
      <w:i/>
      <w:iCs/>
      <w:color w:val="0F4761" w:themeColor="accent1" w:themeShade="BF"/>
    </w:rPr>
  </w:style>
  <w:style w:type="paragraph" w:styleId="IntenseQuote">
    <w:name w:val="Intense Quote"/>
    <w:basedOn w:val="Normal"/>
    <w:next w:val="Normal"/>
    <w:link w:val="IntenseQuoteChar"/>
    <w:uiPriority w:val="30"/>
    <w:qFormat/>
    <w:rsid w:val="00D26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D58"/>
    <w:rPr>
      <w:i/>
      <w:iCs/>
      <w:color w:val="0F4761" w:themeColor="accent1" w:themeShade="BF"/>
    </w:rPr>
  </w:style>
  <w:style w:type="character" w:styleId="IntenseReference">
    <w:name w:val="Intense Reference"/>
    <w:basedOn w:val="DefaultParagraphFont"/>
    <w:uiPriority w:val="32"/>
    <w:qFormat/>
    <w:rsid w:val="00D26D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2275</Words>
  <Characters>12974</Characters>
  <Application>Microsoft Office Word</Application>
  <DocSecurity>0</DocSecurity>
  <Lines>108</Lines>
  <Paragraphs>30</Paragraphs>
  <ScaleCrop>false</ScaleCrop>
  <Company/>
  <LinksUpToDate>false</LinksUpToDate>
  <CharactersWithSpaces>15219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Owings</dc:creator>
  <cp:keywords/>
  <dc:description/>
  <cp:lastModifiedBy>Dan Owings</cp:lastModifiedBy>
  <cp:revision>1</cp:revision>
  <dcterms:created xsi:type="dcterms:W3CDTF">2026-03-30T13:11:00Z</dcterms:created>
  <dcterms:modified xsi:type="dcterms:W3CDTF">2026-03-30T13:11:00Z</dcterms:modified>
</cp:coreProperties>
</file>