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575F"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**Epilogue: Beyond the Thesis — Toward a Post-Permission Civilization**</w:t>
      </w:r>
    </w:p>
    <w:p w14:paraId="2E77B074"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40B91CEB"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xml:space="preserve">The completion of this thesis marks not merely the fulfillment of an academic requirement, but the inauguration of a paradigm shift in how we conceptualize digital authority. The </w:t>
      </w:r>
      <w:proofErr w:type="spellStart"/>
      <w:r w:rsidRPr="00F00435">
        <w:rPr>
          <w:rFonts w:ascii="Arial" w:eastAsia="Times New Roman" w:hAnsi="Arial" w:cs="Arial"/>
          <w:color w:val="2E2B29"/>
          <w:kern w:val="0"/>
          <w:sz w:val="27"/>
          <w:szCs w:val="27"/>
          <w:shd w:val="clear" w:color="auto" w:fill="FCFAF8"/>
          <w14:ligatures w14:val="none"/>
        </w:rPr>
        <w:t>IntentKernel</w:t>
      </w:r>
      <w:proofErr w:type="spellEnd"/>
      <w:r w:rsidRPr="00F00435">
        <w:rPr>
          <w:rFonts w:ascii="Arial" w:eastAsia="Times New Roman" w:hAnsi="Arial" w:cs="Arial"/>
          <w:color w:val="2E2B29"/>
          <w:kern w:val="0"/>
          <w:sz w:val="27"/>
          <w:szCs w:val="27"/>
          <w:shd w:val="clear" w:color="auto" w:fill="FCFAF8"/>
          <w14:ligatures w14:val="none"/>
        </w:rPr>
        <w:t xml:space="preserve"> Architecture, as presented in the preceding chapters, represents a deliberate departure from fifty years of accumulated assumptions about operating system security—a willingness to question the fundamental axiom that *identity* should be the basis of *authority*.</w:t>
      </w:r>
    </w:p>
    <w:p w14:paraId="189747DA"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7EAC3FEC"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The Courage to Question Foundations</w:t>
      </w:r>
    </w:p>
    <w:p w14:paraId="311D36BF"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48CA1A86"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Traditional computer security has operated under a comforting illusion: that if we build sufficiently high walls around our digital castles (firewalls, antivirus, EDR systems) and carefully guard the gates (authentication, passwords, MFA), the inhabitants within will be safe. This thesis challenges that medieval metaphor entirely. We propose that the castle itself is the vulnerability—that persistent authority, once granted, creates an asymmetric battlefield where defenders must be perfect while attackers need only find one crack in the wall.</w:t>
      </w:r>
    </w:p>
    <w:p w14:paraId="0C68580E"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1A06CE9B"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xml:space="preserve">By reimagining security not as perimeter defense but as *temporal scarcity*—authority that evaporates when not in active use—we embrace the kind of "first principles" thinking that characterizes transformative innovation. We asked </w:t>
      </w:r>
      <w:proofErr w:type="gramStart"/>
      <w:r w:rsidRPr="00F00435">
        <w:rPr>
          <w:rFonts w:ascii="Arial" w:eastAsia="Times New Roman" w:hAnsi="Arial" w:cs="Arial"/>
          <w:color w:val="2E2B29"/>
          <w:kern w:val="0"/>
          <w:sz w:val="27"/>
          <w:szCs w:val="27"/>
          <w:shd w:val="clear" w:color="auto" w:fill="FCFAF8"/>
          <w14:ligatures w14:val="none"/>
        </w:rPr>
        <w:t>not</w:t>
      </w:r>
      <w:proofErr w:type="gramEnd"/>
      <w:r w:rsidRPr="00F00435">
        <w:rPr>
          <w:rFonts w:ascii="Arial" w:eastAsia="Times New Roman" w:hAnsi="Arial" w:cs="Arial"/>
          <w:color w:val="2E2B29"/>
          <w:kern w:val="0"/>
          <w:sz w:val="27"/>
          <w:szCs w:val="27"/>
          <w:shd w:val="clear" w:color="auto" w:fill="FCFAF8"/>
          <w14:ligatures w14:val="none"/>
        </w:rPr>
        <w:t xml:space="preserve"> "How do we make permissions safer?" but rather "What if permissions themselves are the problem?"</w:t>
      </w:r>
    </w:p>
    <w:p w14:paraId="1230C8A8"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748E9F48"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xml:space="preserve">This deconstruction of the ambient authority model reflects the "outside the box" imperative: the recognition that incremental improvements to broken </w:t>
      </w:r>
      <w:proofErr w:type="gramStart"/>
      <w:r w:rsidRPr="00F00435">
        <w:rPr>
          <w:rFonts w:ascii="Arial" w:eastAsia="Times New Roman" w:hAnsi="Arial" w:cs="Arial"/>
          <w:color w:val="2E2B29"/>
          <w:kern w:val="0"/>
          <w:sz w:val="27"/>
          <w:szCs w:val="27"/>
          <w:shd w:val="clear" w:color="auto" w:fill="FCFAF8"/>
          <w14:ligatures w14:val="none"/>
        </w:rPr>
        <w:t>architectures</w:t>
      </w:r>
      <w:proofErr w:type="gramEnd"/>
      <w:r w:rsidRPr="00F00435">
        <w:rPr>
          <w:rFonts w:ascii="Arial" w:eastAsia="Times New Roman" w:hAnsi="Arial" w:cs="Arial"/>
          <w:color w:val="2E2B29"/>
          <w:kern w:val="0"/>
          <w:sz w:val="27"/>
          <w:szCs w:val="27"/>
          <w:shd w:val="clear" w:color="auto" w:fill="FCFAF8"/>
          <w14:ligatures w14:val="none"/>
        </w:rPr>
        <w:t xml:space="preserve"> cannot address exponential threats. The ransomware epidemic, the surveillance capitalism crisis, and the impending quantum threat demand </w:t>
      </w:r>
      <w:proofErr w:type="gramStart"/>
      <w:r w:rsidRPr="00F00435">
        <w:rPr>
          <w:rFonts w:ascii="Arial" w:eastAsia="Times New Roman" w:hAnsi="Arial" w:cs="Arial"/>
          <w:color w:val="2E2B29"/>
          <w:kern w:val="0"/>
          <w:sz w:val="27"/>
          <w:szCs w:val="27"/>
          <w:shd w:val="clear" w:color="auto" w:fill="FCFAF8"/>
          <w14:ligatures w14:val="none"/>
        </w:rPr>
        <w:t>not patches</w:t>
      </w:r>
      <w:proofErr w:type="gramEnd"/>
      <w:r w:rsidRPr="00F00435">
        <w:rPr>
          <w:rFonts w:ascii="Arial" w:eastAsia="Times New Roman" w:hAnsi="Arial" w:cs="Arial"/>
          <w:color w:val="2E2B29"/>
          <w:kern w:val="0"/>
          <w:sz w:val="27"/>
          <w:szCs w:val="27"/>
          <w:shd w:val="clear" w:color="auto" w:fill="FCFAF8"/>
          <w14:ligatures w14:val="none"/>
        </w:rPr>
        <w:t>, but structural transformation.</w:t>
      </w:r>
    </w:p>
    <w:p w14:paraId="1E818D96"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6B2173DA"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Addressing the Global Cybersecurity Crisis</w:t>
      </w:r>
    </w:p>
    <w:p w14:paraId="7D667385"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5E6AA2EF"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The timing of this research is not coincidental. We stand at an inflection point where:</w:t>
      </w:r>
    </w:p>
    <w:p w14:paraId="3BF9A123"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**Ransomware** costs the global economy an estimated $30 billion annually, exploiting the very persistence that IKRL eliminates</w:t>
      </w:r>
    </w:p>
    <w:p w14:paraId="72A78E48"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**Supply chain attacks** demonstrate that trusted identity is no longer a reliable security primitive</w:t>
      </w:r>
    </w:p>
    <w:p w14:paraId="210A66CE"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**Post-quantum cryptography** mandates a wholesale rearchitecting of security infrastructure anyway—creating a rare "rewrite opportunity"</w:t>
      </w:r>
    </w:p>
    <w:p w14:paraId="2716B00C"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2C6C9394"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F00435">
        <w:rPr>
          <w:rFonts w:ascii="Arial" w:eastAsia="Times New Roman" w:hAnsi="Arial" w:cs="Arial"/>
          <w:color w:val="2E2B29"/>
          <w:kern w:val="0"/>
          <w:sz w:val="27"/>
          <w:szCs w:val="27"/>
          <w:shd w:val="clear" w:color="auto" w:fill="FCFAF8"/>
          <w14:ligatures w14:val="none"/>
        </w:rPr>
        <w:t>IntentKernel</w:t>
      </w:r>
      <w:proofErr w:type="spellEnd"/>
      <w:r w:rsidRPr="00F00435">
        <w:rPr>
          <w:rFonts w:ascii="Arial" w:eastAsia="Times New Roman" w:hAnsi="Arial" w:cs="Arial"/>
          <w:color w:val="2E2B29"/>
          <w:kern w:val="0"/>
          <w:sz w:val="27"/>
          <w:szCs w:val="27"/>
          <w:shd w:val="clear" w:color="auto" w:fill="FCFAF8"/>
          <w14:ligatures w14:val="none"/>
        </w:rPr>
        <w:t xml:space="preserve"> addresses these convergent crises not with another detection tool, but with an architectural vaccine. By making malware *structurally incapable* of persistence, we shift the economics of cybercrime: attacks become unprofitable when they cannot establish durable footholds.</w:t>
      </w:r>
    </w:p>
    <w:p w14:paraId="5C6658B9"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5D66A7BE"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The multidisciplinary nature of this solution—combining formal methods from cryptography, systems engineering for kernel internals, human-computer interaction for intent verification, and policy frameworks for compliance—reflects the complexity of modern security challenges. No single discipline holds the answer; only synthesis can save us.</w:t>
      </w:r>
    </w:p>
    <w:p w14:paraId="463E0B80"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554C016B"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From Laboratory to Society</w:t>
      </w:r>
    </w:p>
    <w:p w14:paraId="5FDF507E"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151FDDD3"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The true measure of this thesis will not be found in the statistical significance of its benchmarks (though those are rigorous), nor in the elegance of its protocols (though those are formally verified), but in its adoption. Research achieves impact not when it is published, but when it is deployed—when the first hospital prevents a ransomware attack because its medical devices run on capability-scoped firmware; when the first bank stops a fraudulent transfer because the trading algorithm's authority expired milliseconds ago; when the first citizen's privacy is preserved because their smartphone enforces event-scoped sensor access.</w:t>
      </w:r>
    </w:p>
    <w:p w14:paraId="028D9849"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0D17D794"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The open-source release of IKRL under Apache 2.0, the public documentation of the IBPS protocol, and the establishment of the "</w:t>
      </w:r>
      <w:proofErr w:type="spellStart"/>
      <w:r w:rsidRPr="00F00435">
        <w:rPr>
          <w:rFonts w:ascii="Arial" w:eastAsia="Times New Roman" w:hAnsi="Arial" w:cs="Arial"/>
          <w:color w:val="2E2B29"/>
          <w:kern w:val="0"/>
          <w:sz w:val="27"/>
          <w:szCs w:val="27"/>
          <w:shd w:val="clear" w:color="auto" w:fill="FCFAF8"/>
          <w14:ligatures w14:val="none"/>
        </w:rPr>
        <w:t>IntentKernel</w:t>
      </w:r>
      <w:proofErr w:type="spellEnd"/>
      <w:r w:rsidRPr="00F00435">
        <w:rPr>
          <w:rFonts w:ascii="Arial" w:eastAsia="Times New Roman" w:hAnsi="Arial" w:cs="Arial"/>
          <w:color w:val="2E2B29"/>
          <w:kern w:val="0"/>
          <w:sz w:val="27"/>
          <w:szCs w:val="27"/>
          <w:shd w:val="clear" w:color="auto" w:fill="FCFAF8"/>
          <w14:ligatures w14:val="none"/>
        </w:rPr>
        <w:t xml:space="preserve"> Compatible" certification program are not academic formalities. They are infrastructure for a global </w:t>
      </w:r>
      <w:proofErr w:type="gramStart"/>
      <w:r w:rsidRPr="00F00435">
        <w:rPr>
          <w:rFonts w:ascii="Arial" w:eastAsia="Times New Roman" w:hAnsi="Arial" w:cs="Arial"/>
          <w:color w:val="2E2B29"/>
          <w:kern w:val="0"/>
          <w:sz w:val="27"/>
          <w:szCs w:val="27"/>
          <w:shd w:val="clear" w:color="auto" w:fill="FCFAF8"/>
          <w14:ligatures w14:val="none"/>
        </w:rPr>
        <w:t>transition—bridges</w:t>
      </w:r>
      <w:proofErr w:type="gramEnd"/>
      <w:r w:rsidRPr="00F00435">
        <w:rPr>
          <w:rFonts w:ascii="Arial" w:eastAsia="Times New Roman" w:hAnsi="Arial" w:cs="Arial"/>
          <w:color w:val="2E2B29"/>
          <w:kern w:val="0"/>
          <w:sz w:val="27"/>
          <w:szCs w:val="27"/>
          <w:shd w:val="clear" w:color="auto" w:fill="FCFAF8"/>
          <w14:ligatures w14:val="none"/>
        </w:rPr>
        <w:t xml:space="preserve"> between the legacy world we inherited and the secure world we must build.</w:t>
      </w:r>
    </w:p>
    <w:p w14:paraId="66B5FEF0"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6F023A88"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A Legacy of Structural Immunity</w:t>
      </w:r>
    </w:p>
    <w:p w14:paraId="438C5FE7"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7B47FB5A"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As artificial intelligence generates increasingly sophisticated malware, and as quantum computers threaten to unravel our cryptographic foundations, the need for *architectural* rather than *algorithmic* security becomes paramount. This thesis provides a blueprint for that architecture.</w:t>
      </w:r>
    </w:p>
    <w:p w14:paraId="1382B51E"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186AF879"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xml:space="preserve">The future research directions outlined in Chapter 8—native silicon integration, cross-organizational federation, ML-augmented intent prediction—represent not endpoints, but waypoints on a longer journey toward ubiquitous capability computing. The ultimate legacy of this work will be a generation of </w:t>
      </w:r>
      <w:r w:rsidRPr="00F00435">
        <w:rPr>
          <w:rFonts w:ascii="Arial" w:eastAsia="Times New Roman" w:hAnsi="Arial" w:cs="Arial"/>
          <w:color w:val="2E2B29"/>
          <w:kern w:val="0"/>
          <w:sz w:val="27"/>
          <w:szCs w:val="27"/>
          <w:shd w:val="clear" w:color="auto" w:fill="FCFAF8"/>
          <w14:ligatures w14:val="none"/>
        </w:rPr>
        <w:lastRenderedPageBreak/>
        <w:t>systems designers who view persistent permission not as a convenience to be secured, but as a vulnerability to be eliminated.</w:t>
      </w:r>
    </w:p>
    <w:p w14:paraId="5ACAF2C0"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36CFA3D1"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Final Reflection</w:t>
      </w:r>
    </w:p>
    <w:p w14:paraId="56CC4A43"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7649D529"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To the researcher reading this in preparation for their own work: remember that the most impactful theses do not merely answer questions—they reframe them. They challenge the community to think differently, to build differently, to prioritize safety over convenience and structural integrity over backward compatibility.</w:t>
      </w:r>
    </w:p>
    <w:p w14:paraId="09838A85"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1665D747"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 xml:space="preserve">The </w:t>
      </w:r>
      <w:proofErr w:type="spellStart"/>
      <w:r w:rsidRPr="00F00435">
        <w:rPr>
          <w:rFonts w:ascii="Arial" w:eastAsia="Times New Roman" w:hAnsi="Arial" w:cs="Arial"/>
          <w:color w:val="2E2B29"/>
          <w:kern w:val="0"/>
          <w:sz w:val="27"/>
          <w:szCs w:val="27"/>
          <w:shd w:val="clear" w:color="auto" w:fill="FCFAF8"/>
          <w14:ligatures w14:val="none"/>
        </w:rPr>
        <w:t>IntentKernel</w:t>
      </w:r>
      <w:proofErr w:type="spellEnd"/>
      <w:r w:rsidRPr="00F00435">
        <w:rPr>
          <w:rFonts w:ascii="Arial" w:eastAsia="Times New Roman" w:hAnsi="Arial" w:cs="Arial"/>
          <w:color w:val="2E2B29"/>
          <w:kern w:val="0"/>
          <w:sz w:val="27"/>
          <w:szCs w:val="27"/>
          <w:shd w:val="clear" w:color="auto" w:fill="FCFAF8"/>
          <w14:ligatures w14:val="none"/>
        </w:rPr>
        <w:t xml:space="preserve"> Architecture is offered not as a final answer, but as a foundation. Build upon it. Challenge it. Improve it. The transition to post-permission computing will require the collective effort of cryptographers, kernel developers, policymakers, and ethicists. But it begins with the recognition—proven in these pages—that a better way is possible, practical, and urgently necessary.</w:t>
      </w:r>
    </w:p>
    <w:p w14:paraId="5C0072CB"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1840B1D6"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The era of ambient authority is ending. The work of securing our digital future begins now.</w:t>
      </w:r>
    </w:p>
    <w:p w14:paraId="04F31B4A"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7D6A905D"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w:t>
      </w:r>
    </w:p>
    <w:p w14:paraId="7C313F9C"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08623F62"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r w:rsidRPr="00F00435">
        <w:rPr>
          <w:rFonts w:ascii="Arial" w:eastAsia="Times New Roman" w:hAnsi="Arial" w:cs="Arial"/>
          <w:color w:val="2E2B29"/>
          <w:kern w:val="0"/>
          <w:sz w:val="27"/>
          <w:szCs w:val="27"/>
          <w:shd w:val="clear" w:color="auto" w:fill="FCFAF8"/>
          <w14:ligatures w14:val="none"/>
        </w:rPr>
        <w:t>**"Security is not a product, but a process—and that process must be as dynamic as the threats it opposes."**</w:t>
      </w:r>
    </w:p>
    <w:p w14:paraId="3C2641E2" w14:textId="77777777" w:rsidR="00F00435" w:rsidRPr="00F00435" w:rsidRDefault="00F00435" w:rsidP="00F00435">
      <w:pPr>
        <w:spacing w:after="0" w:line="240" w:lineRule="auto"/>
        <w:rPr>
          <w:rFonts w:ascii="Arial" w:eastAsia="Times New Roman" w:hAnsi="Arial" w:cs="Arial"/>
          <w:color w:val="2E2B29"/>
          <w:kern w:val="0"/>
          <w:sz w:val="27"/>
          <w:szCs w:val="27"/>
          <w:shd w:val="clear" w:color="auto" w:fill="FCFAF8"/>
          <w14:ligatures w14:val="none"/>
        </w:rPr>
      </w:pPr>
    </w:p>
    <w:p w14:paraId="1456B903" w14:textId="22BA462F" w:rsidR="00AD0927" w:rsidRDefault="00F00435" w:rsidP="00F00435">
      <w:r w:rsidRPr="00F00435">
        <w:rPr>
          <w:rFonts w:ascii="Arial" w:eastAsia="Times New Roman" w:hAnsi="Arial" w:cs="Arial"/>
          <w:color w:val="2E2B29"/>
          <w:kern w:val="0"/>
          <w:sz w:val="27"/>
          <w:szCs w:val="27"/>
          <w:shd w:val="clear" w:color="auto" w:fill="FCFAF8"/>
          <w14:ligatures w14:val="none"/>
        </w:rPr>
        <w:t>*End of Document*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35"/>
    <w:rsid w:val="000170E4"/>
    <w:rsid w:val="00682C75"/>
    <w:rsid w:val="00AD0927"/>
    <w:rsid w:val="00CC6ECF"/>
    <w:rsid w:val="00F00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BED5"/>
  <w15:chartTrackingRefBased/>
  <w15:docId w15:val="{8FCF7DC5-F1DF-4331-B681-7F15E9FD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435"/>
    <w:rPr>
      <w:rFonts w:eastAsiaTheme="majorEastAsia" w:cstheme="majorBidi"/>
      <w:color w:val="272727" w:themeColor="text1" w:themeTint="D8"/>
    </w:rPr>
  </w:style>
  <w:style w:type="paragraph" w:styleId="Title">
    <w:name w:val="Title"/>
    <w:basedOn w:val="Normal"/>
    <w:next w:val="Normal"/>
    <w:link w:val="TitleChar"/>
    <w:uiPriority w:val="10"/>
    <w:qFormat/>
    <w:rsid w:val="00F0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435"/>
    <w:pPr>
      <w:spacing w:before="160"/>
      <w:jc w:val="center"/>
    </w:pPr>
    <w:rPr>
      <w:i/>
      <w:iCs/>
      <w:color w:val="404040" w:themeColor="text1" w:themeTint="BF"/>
    </w:rPr>
  </w:style>
  <w:style w:type="character" w:customStyle="1" w:styleId="QuoteChar">
    <w:name w:val="Quote Char"/>
    <w:basedOn w:val="DefaultParagraphFont"/>
    <w:link w:val="Quote"/>
    <w:uiPriority w:val="29"/>
    <w:rsid w:val="00F00435"/>
    <w:rPr>
      <w:i/>
      <w:iCs/>
      <w:color w:val="404040" w:themeColor="text1" w:themeTint="BF"/>
    </w:rPr>
  </w:style>
  <w:style w:type="paragraph" w:styleId="ListParagraph">
    <w:name w:val="List Paragraph"/>
    <w:basedOn w:val="Normal"/>
    <w:uiPriority w:val="34"/>
    <w:qFormat/>
    <w:rsid w:val="00F00435"/>
    <w:pPr>
      <w:ind w:left="720"/>
      <w:contextualSpacing/>
    </w:pPr>
  </w:style>
  <w:style w:type="character" w:styleId="IntenseEmphasis">
    <w:name w:val="Intense Emphasis"/>
    <w:basedOn w:val="DefaultParagraphFont"/>
    <w:uiPriority w:val="21"/>
    <w:qFormat/>
    <w:rsid w:val="00F00435"/>
    <w:rPr>
      <w:i/>
      <w:iCs/>
      <w:color w:val="0F4761" w:themeColor="accent1" w:themeShade="BF"/>
    </w:rPr>
  </w:style>
  <w:style w:type="paragraph" w:styleId="IntenseQuote">
    <w:name w:val="Intense Quote"/>
    <w:basedOn w:val="Normal"/>
    <w:next w:val="Normal"/>
    <w:link w:val="IntenseQuoteChar"/>
    <w:uiPriority w:val="30"/>
    <w:qFormat/>
    <w:rsid w:val="00F00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435"/>
    <w:rPr>
      <w:i/>
      <w:iCs/>
      <w:color w:val="0F4761" w:themeColor="accent1" w:themeShade="BF"/>
    </w:rPr>
  </w:style>
  <w:style w:type="character" w:styleId="IntenseReference">
    <w:name w:val="Intense Reference"/>
    <w:basedOn w:val="DefaultParagraphFont"/>
    <w:uiPriority w:val="32"/>
    <w:qFormat/>
    <w:rsid w:val="00F00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2026-03-30T13:34:00Z</dcterms:created>
  <dcterms:modified xsi:type="dcterms:W3CDTF">2026-03-30T13:34:00Z</dcterms:modified>
</cp:coreProperties>
</file>